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0A" w:rsidRDefault="00DD365B" w:rsidP="00735180">
      <w:pPr>
        <w:spacing w:line="360" w:lineRule="auto"/>
        <w:rPr>
          <w:rFonts w:ascii="Times New Roman" w:hAnsi="Times New Roman" w:cs="Times New Roman"/>
          <w:sz w:val="24"/>
          <w:szCs w:val="24"/>
        </w:rPr>
      </w:pPr>
      <w:bookmarkStart w:id="0" w:name="_Toc450908986"/>
      <w:bookmarkStart w:id="1" w:name="_Toc450908987"/>
      <w:r>
        <w:rPr>
          <w:rFonts w:ascii="Times New Roman" w:hAnsi="Times New Roman" w:cs="Times New Roman"/>
          <w:sz w:val="24"/>
          <w:szCs w:val="24"/>
        </w:rPr>
        <w:t>УДК</w:t>
      </w:r>
      <w:r w:rsidR="00F22601" w:rsidRPr="00F22601">
        <w:t xml:space="preserve"> </w:t>
      </w:r>
      <w:r w:rsidR="00F22601" w:rsidRPr="00F22601">
        <w:rPr>
          <w:rFonts w:ascii="Times New Roman" w:hAnsi="Times New Roman" w:cs="Times New Roman"/>
          <w:sz w:val="24"/>
          <w:szCs w:val="24"/>
        </w:rPr>
        <w:t>657.6.</w:t>
      </w:r>
    </w:p>
    <w:p w:rsidR="00DD365B" w:rsidRPr="00735180" w:rsidRDefault="00DD365B" w:rsidP="00735180">
      <w:pPr>
        <w:spacing w:line="360" w:lineRule="auto"/>
        <w:rPr>
          <w:rFonts w:ascii="Times New Roman" w:hAnsi="Times New Roman" w:cs="Times New Roman"/>
          <w:sz w:val="24"/>
          <w:szCs w:val="24"/>
        </w:rPr>
      </w:pPr>
    </w:p>
    <w:p w:rsidR="00D21805" w:rsidRDefault="00DD365B" w:rsidP="00D21805">
      <w:pPr>
        <w:spacing w:line="360" w:lineRule="auto"/>
        <w:jc w:val="center"/>
        <w:rPr>
          <w:rFonts w:ascii="Times New Roman" w:hAnsi="Times New Roman" w:cs="Times New Roman"/>
          <w:b/>
          <w:sz w:val="28"/>
          <w:szCs w:val="28"/>
        </w:rPr>
      </w:pPr>
      <w:r w:rsidRPr="00D21805">
        <w:rPr>
          <w:rFonts w:ascii="Times New Roman" w:hAnsi="Times New Roman" w:cs="Times New Roman"/>
          <w:b/>
          <w:sz w:val="28"/>
          <w:szCs w:val="28"/>
        </w:rPr>
        <w:t>О</w:t>
      </w:r>
      <w:r w:rsidR="006B5F32" w:rsidRPr="00D21805">
        <w:rPr>
          <w:rFonts w:ascii="Times New Roman" w:hAnsi="Times New Roman" w:cs="Times New Roman"/>
          <w:b/>
          <w:sz w:val="28"/>
          <w:szCs w:val="28"/>
        </w:rPr>
        <w:t>ценк</w:t>
      </w:r>
      <w:r w:rsidRPr="00D21805">
        <w:rPr>
          <w:rFonts w:ascii="Times New Roman" w:hAnsi="Times New Roman" w:cs="Times New Roman"/>
          <w:b/>
          <w:sz w:val="28"/>
          <w:szCs w:val="28"/>
        </w:rPr>
        <w:t>а</w:t>
      </w:r>
      <w:r w:rsidR="006B5F32" w:rsidRPr="00D21805">
        <w:rPr>
          <w:rFonts w:ascii="Times New Roman" w:hAnsi="Times New Roman" w:cs="Times New Roman"/>
          <w:b/>
          <w:sz w:val="28"/>
          <w:szCs w:val="28"/>
        </w:rPr>
        <w:t xml:space="preserve"> эффективности внутреннего контроля в </w:t>
      </w:r>
      <w:r w:rsidR="00D21805">
        <w:rPr>
          <w:rFonts w:ascii="Times New Roman" w:hAnsi="Times New Roman" w:cs="Times New Roman"/>
          <w:b/>
          <w:sz w:val="28"/>
          <w:szCs w:val="28"/>
        </w:rPr>
        <w:t>энергетических ко</w:t>
      </w:r>
      <w:r w:rsidR="00D21805">
        <w:rPr>
          <w:rFonts w:ascii="Times New Roman" w:hAnsi="Times New Roman" w:cs="Times New Roman"/>
          <w:b/>
          <w:sz w:val="28"/>
          <w:szCs w:val="28"/>
        </w:rPr>
        <w:t>м</w:t>
      </w:r>
      <w:r w:rsidR="00D21805">
        <w:rPr>
          <w:rFonts w:ascii="Times New Roman" w:hAnsi="Times New Roman" w:cs="Times New Roman"/>
          <w:b/>
          <w:sz w:val="28"/>
          <w:szCs w:val="28"/>
        </w:rPr>
        <w:t>паниях</w:t>
      </w:r>
    </w:p>
    <w:p w:rsidR="00D21805" w:rsidRPr="00D21805" w:rsidRDefault="00D21805" w:rsidP="00D21805">
      <w:pPr>
        <w:spacing w:line="360" w:lineRule="auto"/>
        <w:jc w:val="center"/>
        <w:rPr>
          <w:rFonts w:ascii="Times New Roman" w:hAnsi="Times New Roman" w:cs="Times New Roman"/>
          <w:b/>
          <w:sz w:val="28"/>
          <w:szCs w:val="28"/>
          <w:lang w:val="en-US"/>
        </w:rPr>
      </w:pPr>
      <w:r w:rsidRPr="00D21805">
        <w:rPr>
          <w:rFonts w:ascii="Times New Roman" w:hAnsi="Times New Roman" w:cs="Times New Roman"/>
          <w:b/>
          <w:sz w:val="28"/>
          <w:szCs w:val="28"/>
          <w:lang w:val="en-US"/>
        </w:rPr>
        <w:t>Evaluation of the effectiveness of internal control in energy compa</w:t>
      </w:r>
      <w:r>
        <w:rPr>
          <w:rFonts w:ascii="Times New Roman" w:hAnsi="Times New Roman" w:cs="Times New Roman"/>
          <w:b/>
          <w:sz w:val="28"/>
          <w:szCs w:val="28"/>
          <w:lang w:val="en-US"/>
        </w:rPr>
        <w:t>nies</w:t>
      </w:r>
    </w:p>
    <w:p w:rsidR="00D21805" w:rsidRDefault="00D21805" w:rsidP="00D21805">
      <w:pPr>
        <w:spacing w:line="360" w:lineRule="auto"/>
        <w:jc w:val="center"/>
        <w:rPr>
          <w:rFonts w:ascii="Times New Roman" w:hAnsi="Times New Roman" w:cs="Times New Roman"/>
          <w:sz w:val="28"/>
          <w:szCs w:val="28"/>
        </w:rPr>
      </w:pPr>
      <w:r w:rsidRPr="00D21805">
        <w:rPr>
          <w:rFonts w:ascii="Times New Roman" w:hAnsi="Times New Roman" w:cs="Times New Roman"/>
          <w:sz w:val="28"/>
          <w:szCs w:val="28"/>
        </w:rPr>
        <w:t>Василиса</w:t>
      </w:r>
      <w:r w:rsidRPr="00B25BC0">
        <w:rPr>
          <w:rFonts w:ascii="Times New Roman" w:hAnsi="Times New Roman" w:cs="Times New Roman"/>
          <w:sz w:val="28"/>
          <w:szCs w:val="28"/>
        </w:rPr>
        <w:t xml:space="preserve"> </w:t>
      </w:r>
      <w:r w:rsidRPr="00D21805">
        <w:rPr>
          <w:rFonts w:ascii="Times New Roman" w:hAnsi="Times New Roman" w:cs="Times New Roman"/>
          <w:sz w:val="28"/>
          <w:szCs w:val="28"/>
        </w:rPr>
        <w:t>Александровна</w:t>
      </w:r>
      <w:r w:rsidRPr="00B25BC0">
        <w:rPr>
          <w:rFonts w:ascii="Times New Roman" w:hAnsi="Times New Roman" w:cs="Times New Roman"/>
          <w:sz w:val="28"/>
          <w:szCs w:val="28"/>
        </w:rPr>
        <w:t xml:space="preserve"> </w:t>
      </w:r>
      <w:r w:rsidRPr="00D21805">
        <w:rPr>
          <w:rFonts w:ascii="Times New Roman" w:hAnsi="Times New Roman" w:cs="Times New Roman"/>
          <w:sz w:val="28"/>
          <w:szCs w:val="28"/>
        </w:rPr>
        <w:t>Макарова</w:t>
      </w:r>
    </w:p>
    <w:p w:rsidR="00D21805" w:rsidRPr="00B25BC0" w:rsidRDefault="00D21805" w:rsidP="00D21805">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Vasilisa</w:t>
      </w:r>
      <w:proofErr w:type="spellEnd"/>
      <w:r w:rsidRPr="00B25BC0">
        <w:rPr>
          <w:rFonts w:ascii="Times New Roman" w:hAnsi="Times New Roman" w:cs="Times New Roman"/>
          <w:sz w:val="28"/>
          <w:szCs w:val="28"/>
        </w:rPr>
        <w:t xml:space="preserve"> </w:t>
      </w:r>
      <w:r>
        <w:rPr>
          <w:rFonts w:ascii="Times New Roman" w:hAnsi="Times New Roman" w:cs="Times New Roman"/>
          <w:sz w:val="28"/>
          <w:szCs w:val="28"/>
          <w:lang w:val="en-US"/>
        </w:rPr>
        <w:t>Makarova</w:t>
      </w:r>
    </w:p>
    <w:p w:rsidR="00D21805" w:rsidRPr="00B25BC0" w:rsidRDefault="00D21805" w:rsidP="00D21805">
      <w:pPr>
        <w:spacing w:line="360" w:lineRule="auto"/>
        <w:jc w:val="center"/>
        <w:rPr>
          <w:rFonts w:ascii="Times New Roman" w:hAnsi="Times New Roman" w:cs="Times New Roman"/>
          <w:sz w:val="28"/>
          <w:szCs w:val="28"/>
        </w:rPr>
      </w:pPr>
      <w:r>
        <w:rPr>
          <w:rFonts w:ascii="Times New Roman" w:hAnsi="Times New Roman" w:cs="Times New Roman"/>
          <w:sz w:val="28"/>
          <w:szCs w:val="28"/>
        </w:rPr>
        <w:t>Национальный исследовательский университет «Высшая школа эконом</w:t>
      </w:r>
      <w:r>
        <w:rPr>
          <w:rFonts w:ascii="Times New Roman" w:hAnsi="Times New Roman" w:cs="Times New Roman"/>
          <w:sz w:val="28"/>
          <w:szCs w:val="28"/>
        </w:rPr>
        <w:t>и</w:t>
      </w:r>
      <w:r>
        <w:rPr>
          <w:rFonts w:ascii="Times New Roman" w:hAnsi="Times New Roman" w:cs="Times New Roman"/>
          <w:sz w:val="28"/>
          <w:szCs w:val="28"/>
        </w:rPr>
        <w:t xml:space="preserve">ки» </w:t>
      </w:r>
    </w:p>
    <w:p w:rsidR="00D21805" w:rsidRDefault="00D21805" w:rsidP="00D21805">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National</w:t>
      </w:r>
      <w:r w:rsidRPr="00D21805">
        <w:rPr>
          <w:rFonts w:ascii="Times New Roman" w:hAnsi="Times New Roman" w:cs="Times New Roman"/>
          <w:sz w:val="28"/>
          <w:szCs w:val="28"/>
          <w:lang w:val="en-US"/>
        </w:rPr>
        <w:t xml:space="preserve"> </w:t>
      </w:r>
      <w:r>
        <w:rPr>
          <w:rFonts w:ascii="Times New Roman" w:hAnsi="Times New Roman" w:cs="Times New Roman"/>
          <w:sz w:val="28"/>
          <w:szCs w:val="28"/>
          <w:lang w:val="en-US"/>
        </w:rPr>
        <w:t>research</w:t>
      </w:r>
      <w:r w:rsidRPr="00D21805">
        <w:rPr>
          <w:rFonts w:ascii="Times New Roman" w:hAnsi="Times New Roman" w:cs="Times New Roman"/>
          <w:sz w:val="28"/>
          <w:szCs w:val="28"/>
          <w:lang w:val="en-US"/>
        </w:rPr>
        <w:t xml:space="preserve"> </w:t>
      </w:r>
      <w:r>
        <w:rPr>
          <w:rFonts w:ascii="Times New Roman" w:hAnsi="Times New Roman" w:cs="Times New Roman"/>
          <w:sz w:val="28"/>
          <w:szCs w:val="28"/>
          <w:lang w:val="en-US"/>
        </w:rPr>
        <w:t>University Higher School of economics</w:t>
      </w:r>
    </w:p>
    <w:p w:rsidR="00D21805" w:rsidRPr="00D21805" w:rsidRDefault="00D21805" w:rsidP="00D21805">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Pr="00D21805">
        <w:rPr>
          <w:rFonts w:ascii="Times New Roman" w:hAnsi="Times New Roman" w:cs="Times New Roman"/>
          <w:sz w:val="28"/>
          <w:szCs w:val="28"/>
        </w:rPr>
        <w:t>.</w:t>
      </w:r>
      <w:r>
        <w:rPr>
          <w:rFonts w:ascii="Times New Roman" w:hAnsi="Times New Roman" w:cs="Times New Roman"/>
          <w:sz w:val="28"/>
          <w:szCs w:val="28"/>
        </w:rPr>
        <w:t>э</w:t>
      </w:r>
      <w:r w:rsidRPr="00D21805">
        <w:rPr>
          <w:rFonts w:ascii="Times New Roman" w:hAnsi="Times New Roman" w:cs="Times New Roman"/>
          <w:sz w:val="28"/>
          <w:szCs w:val="28"/>
        </w:rPr>
        <w:t>.</w:t>
      </w:r>
      <w:r>
        <w:rPr>
          <w:rFonts w:ascii="Times New Roman" w:hAnsi="Times New Roman" w:cs="Times New Roman"/>
          <w:sz w:val="28"/>
          <w:szCs w:val="28"/>
        </w:rPr>
        <w:t>н</w:t>
      </w:r>
      <w:r w:rsidRPr="00D21805">
        <w:rPr>
          <w:rFonts w:ascii="Times New Roman" w:hAnsi="Times New Roman" w:cs="Times New Roman"/>
          <w:sz w:val="28"/>
          <w:szCs w:val="28"/>
        </w:rPr>
        <w:t xml:space="preserve">., </w:t>
      </w:r>
      <w:r>
        <w:rPr>
          <w:rFonts w:ascii="Times New Roman" w:hAnsi="Times New Roman" w:cs="Times New Roman"/>
          <w:sz w:val="28"/>
          <w:szCs w:val="28"/>
        </w:rPr>
        <w:t>доцент</w:t>
      </w:r>
      <w:r w:rsidRPr="00D21805">
        <w:rPr>
          <w:rFonts w:ascii="Times New Roman" w:hAnsi="Times New Roman" w:cs="Times New Roman"/>
          <w:sz w:val="28"/>
          <w:szCs w:val="28"/>
        </w:rPr>
        <w:t xml:space="preserve"> </w:t>
      </w:r>
      <w:r>
        <w:rPr>
          <w:rFonts w:ascii="Times New Roman" w:hAnsi="Times New Roman" w:cs="Times New Roman"/>
          <w:sz w:val="28"/>
          <w:szCs w:val="28"/>
        </w:rPr>
        <w:t>департамента</w:t>
      </w:r>
      <w:r w:rsidRPr="00D21805">
        <w:rPr>
          <w:rFonts w:ascii="Times New Roman" w:hAnsi="Times New Roman" w:cs="Times New Roman"/>
          <w:sz w:val="28"/>
          <w:szCs w:val="28"/>
        </w:rPr>
        <w:t xml:space="preserve"> </w:t>
      </w:r>
      <w:r>
        <w:rPr>
          <w:rFonts w:ascii="Times New Roman" w:hAnsi="Times New Roman" w:cs="Times New Roman"/>
          <w:sz w:val="28"/>
          <w:szCs w:val="28"/>
        </w:rPr>
        <w:t>финансов</w:t>
      </w:r>
    </w:p>
    <w:p w:rsidR="00D21805" w:rsidRDefault="00D21805" w:rsidP="00D21805">
      <w:pPr>
        <w:spacing w:line="360" w:lineRule="auto"/>
        <w:jc w:val="center"/>
        <w:rPr>
          <w:rFonts w:ascii="Times New Roman" w:hAnsi="Times New Roman" w:cs="Times New Roman"/>
          <w:sz w:val="28"/>
          <w:szCs w:val="28"/>
        </w:rPr>
      </w:pPr>
      <w:r>
        <w:rPr>
          <w:rFonts w:ascii="Times New Roman" w:hAnsi="Times New Roman" w:cs="Times New Roman"/>
          <w:sz w:val="28"/>
          <w:szCs w:val="28"/>
        </w:rPr>
        <w:t>89119624386</w:t>
      </w:r>
    </w:p>
    <w:p w:rsidR="00D21805" w:rsidRPr="00D21805" w:rsidRDefault="00D21805" w:rsidP="00D21805">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Email</w:t>
      </w:r>
      <w:r w:rsidRPr="00D21805">
        <w:rPr>
          <w:rFonts w:ascii="Times New Roman" w:hAnsi="Times New Roman" w:cs="Times New Roman"/>
          <w:sz w:val="28"/>
          <w:szCs w:val="28"/>
        </w:rPr>
        <w:t>:</w:t>
      </w:r>
      <w:proofErr w:type="spellStart"/>
      <w:r>
        <w:rPr>
          <w:rFonts w:ascii="Times New Roman" w:hAnsi="Times New Roman" w:cs="Times New Roman"/>
          <w:sz w:val="28"/>
          <w:szCs w:val="28"/>
          <w:lang w:val="en-US"/>
        </w:rPr>
        <w:t>vmakarova</w:t>
      </w:r>
      <w:proofErr w:type="spellEnd"/>
      <w:r w:rsidRPr="00D21805">
        <w:rPr>
          <w:rFonts w:ascii="Times New Roman" w:hAnsi="Times New Roman" w:cs="Times New Roman"/>
          <w:sz w:val="28"/>
          <w:szCs w:val="28"/>
        </w:rPr>
        <w:t>@</w:t>
      </w:r>
      <w:proofErr w:type="spellStart"/>
      <w:r>
        <w:rPr>
          <w:rFonts w:ascii="Times New Roman" w:hAnsi="Times New Roman" w:cs="Times New Roman"/>
          <w:sz w:val="28"/>
          <w:szCs w:val="28"/>
          <w:lang w:val="en-US"/>
        </w:rPr>
        <w:t>hse</w:t>
      </w:r>
      <w:proofErr w:type="spellEnd"/>
      <w:r w:rsidRPr="00D21805">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F7C0A" w:rsidRPr="00D21805" w:rsidRDefault="001F7C0A" w:rsidP="00DD365B">
      <w:pPr>
        <w:spacing w:line="360" w:lineRule="auto"/>
        <w:jc w:val="center"/>
        <w:rPr>
          <w:rFonts w:ascii="Times New Roman" w:hAnsi="Times New Roman" w:cs="Times New Roman"/>
          <w:b/>
          <w:sz w:val="28"/>
          <w:szCs w:val="28"/>
        </w:rPr>
      </w:pPr>
    </w:p>
    <w:bookmarkEnd w:id="0"/>
    <w:p w:rsidR="00D21805" w:rsidRPr="00D21805" w:rsidRDefault="00D21805" w:rsidP="00B25BC0">
      <w:pPr>
        <w:spacing w:line="360" w:lineRule="auto"/>
        <w:ind w:firstLine="709"/>
        <w:jc w:val="both"/>
        <w:rPr>
          <w:rFonts w:ascii="Times New Roman" w:eastAsia="Times New Roman" w:hAnsi="Times New Roman" w:cs="Times New Roman"/>
          <w:sz w:val="28"/>
          <w:szCs w:val="28"/>
        </w:rPr>
      </w:pPr>
      <w:r w:rsidRPr="00D21805">
        <w:rPr>
          <w:rFonts w:ascii="Times New Roman" w:eastAsia="Times New Roman" w:hAnsi="Times New Roman" w:cs="Times New Roman"/>
          <w:sz w:val="28"/>
          <w:szCs w:val="28"/>
        </w:rPr>
        <w:t>Внутрифирменный  контроль является одним из трех основных ко</w:t>
      </w:r>
      <w:r w:rsidRPr="00D21805">
        <w:rPr>
          <w:rFonts w:ascii="Times New Roman" w:eastAsia="Times New Roman" w:hAnsi="Times New Roman" w:cs="Times New Roman"/>
          <w:sz w:val="28"/>
          <w:szCs w:val="28"/>
        </w:rPr>
        <w:t>м</w:t>
      </w:r>
      <w:r w:rsidRPr="00D21805">
        <w:rPr>
          <w:rFonts w:ascii="Times New Roman" w:eastAsia="Times New Roman" w:hAnsi="Times New Roman" w:cs="Times New Roman"/>
          <w:sz w:val="28"/>
          <w:szCs w:val="28"/>
        </w:rPr>
        <w:t>понентов корпоративного управления крупными  компаниями. Особенн</w:t>
      </w:r>
      <w:r w:rsidRPr="00D21805">
        <w:rPr>
          <w:rFonts w:ascii="Times New Roman" w:eastAsia="Times New Roman" w:hAnsi="Times New Roman" w:cs="Times New Roman"/>
          <w:sz w:val="28"/>
          <w:szCs w:val="28"/>
        </w:rPr>
        <w:t>о</w:t>
      </w:r>
      <w:r w:rsidRPr="00D21805">
        <w:rPr>
          <w:rFonts w:ascii="Times New Roman" w:eastAsia="Times New Roman" w:hAnsi="Times New Roman" w:cs="Times New Roman"/>
          <w:sz w:val="28"/>
          <w:szCs w:val="28"/>
        </w:rPr>
        <w:t>стью корпоративного управления компаниями энергетического сектора я</w:t>
      </w:r>
      <w:r w:rsidRPr="00D21805">
        <w:rPr>
          <w:rFonts w:ascii="Times New Roman" w:eastAsia="Times New Roman" w:hAnsi="Times New Roman" w:cs="Times New Roman"/>
          <w:sz w:val="28"/>
          <w:szCs w:val="28"/>
        </w:rPr>
        <w:t>в</w:t>
      </w:r>
      <w:r w:rsidRPr="00D21805">
        <w:rPr>
          <w:rFonts w:ascii="Times New Roman" w:eastAsia="Times New Roman" w:hAnsi="Times New Roman" w:cs="Times New Roman"/>
          <w:sz w:val="28"/>
          <w:szCs w:val="28"/>
        </w:rPr>
        <w:t>ляется их ригидность к  экономическим, социальным и политическим с</w:t>
      </w:r>
      <w:r w:rsidRPr="00D21805">
        <w:rPr>
          <w:rFonts w:ascii="Times New Roman" w:eastAsia="Times New Roman" w:hAnsi="Times New Roman" w:cs="Times New Roman"/>
          <w:sz w:val="28"/>
          <w:szCs w:val="28"/>
        </w:rPr>
        <w:t>о</w:t>
      </w:r>
      <w:r w:rsidRPr="00D21805">
        <w:rPr>
          <w:rFonts w:ascii="Times New Roman" w:eastAsia="Times New Roman" w:hAnsi="Times New Roman" w:cs="Times New Roman"/>
          <w:sz w:val="28"/>
          <w:szCs w:val="28"/>
        </w:rPr>
        <w:t>бытиям и, несмотря на необходимость соответствовать лучшим практикам корпоративного управления, должны обеспечивать в первую очередь  бе</w:t>
      </w:r>
      <w:r w:rsidRPr="00D21805">
        <w:rPr>
          <w:rFonts w:ascii="Times New Roman" w:eastAsia="Times New Roman" w:hAnsi="Times New Roman" w:cs="Times New Roman"/>
          <w:sz w:val="28"/>
          <w:szCs w:val="28"/>
        </w:rPr>
        <w:t>с</w:t>
      </w:r>
      <w:r w:rsidRPr="00D21805">
        <w:rPr>
          <w:rFonts w:ascii="Times New Roman" w:eastAsia="Times New Roman" w:hAnsi="Times New Roman" w:cs="Times New Roman"/>
          <w:sz w:val="28"/>
          <w:szCs w:val="28"/>
        </w:rPr>
        <w:t>перебойность  и безопасность подачи энергии. Поэтому они контролир</w:t>
      </w:r>
      <w:r w:rsidRPr="00D21805">
        <w:rPr>
          <w:rFonts w:ascii="Times New Roman" w:eastAsia="Times New Roman" w:hAnsi="Times New Roman" w:cs="Times New Roman"/>
          <w:sz w:val="28"/>
          <w:szCs w:val="28"/>
        </w:rPr>
        <w:t>у</w:t>
      </w:r>
      <w:r w:rsidRPr="00D21805">
        <w:rPr>
          <w:rFonts w:ascii="Times New Roman" w:eastAsia="Times New Roman" w:hAnsi="Times New Roman" w:cs="Times New Roman"/>
          <w:sz w:val="28"/>
          <w:szCs w:val="28"/>
        </w:rPr>
        <w:t>ются  государственными  и собственными службами  и должны соотве</w:t>
      </w:r>
      <w:r w:rsidRPr="00D21805">
        <w:rPr>
          <w:rFonts w:ascii="Times New Roman" w:eastAsia="Times New Roman" w:hAnsi="Times New Roman" w:cs="Times New Roman"/>
          <w:sz w:val="28"/>
          <w:szCs w:val="28"/>
        </w:rPr>
        <w:t>т</w:t>
      </w:r>
      <w:r w:rsidRPr="00D21805">
        <w:rPr>
          <w:rFonts w:ascii="Times New Roman" w:eastAsia="Times New Roman" w:hAnsi="Times New Roman" w:cs="Times New Roman"/>
          <w:sz w:val="28"/>
          <w:szCs w:val="28"/>
        </w:rPr>
        <w:t>ствовать всем предъявляемым к ним требованиям.</w:t>
      </w:r>
    </w:p>
    <w:p w:rsidR="00D21805" w:rsidRDefault="00D21805" w:rsidP="00B25BC0">
      <w:pPr>
        <w:spacing w:line="360" w:lineRule="auto"/>
        <w:ind w:firstLine="709"/>
        <w:jc w:val="both"/>
        <w:rPr>
          <w:rFonts w:ascii="Times New Roman" w:eastAsia="Times New Roman" w:hAnsi="Times New Roman" w:cs="Times New Roman"/>
          <w:sz w:val="28"/>
          <w:szCs w:val="28"/>
        </w:rPr>
      </w:pPr>
      <w:r w:rsidRPr="00D21805">
        <w:rPr>
          <w:rFonts w:ascii="Times New Roman" w:eastAsia="Times New Roman" w:hAnsi="Times New Roman" w:cs="Times New Roman"/>
          <w:sz w:val="28"/>
          <w:szCs w:val="28"/>
        </w:rPr>
        <w:t>В статье представлена модель оценки эффективности внутрифи</w:t>
      </w:r>
      <w:r w:rsidRPr="00D21805">
        <w:rPr>
          <w:rFonts w:ascii="Times New Roman" w:eastAsia="Times New Roman" w:hAnsi="Times New Roman" w:cs="Times New Roman"/>
          <w:sz w:val="28"/>
          <w:szCs w:val="28"/>
        </w:rPr>
        <w:t>р</w:t>
      </w:r>
      <w:r w:rsidRPr="00D21805">
        <w:rPr>
          <w:rFonts w:ascii="Times New Roman" w:eastAsia="Times New Roman" w:hAnsi="Times New Roman" w:cs="Times New Roman"/>
          <w:sz w:val="28"/>
          <w:szCs w:val="28"/>
        </w:rPr>
        <w:t>менного финансового контроля, разработанная   в результате  продолж</w:t>
      </w:r>
      <w:r w:rsidRPr="00D21805">
        <w:rPr>
          <w:rFonts w:ascii="Times New Roman" w:eastAsia="Times New Roman" w:hAnsi="Times New Roman" w:cs="Times New Roman"/>
          <w:sz w:val="28"/>
          <w:szCs w:val="28"/>
        </w:rPr>
        <w:t>и</w:t>
      </w:r>
      <w:r w:rsidRPr="00D21805">
        <w:rPr>
          <w:rFonts w:ascii="Times New Roman" w:eastAsia="Times New Roman" w:hAnsi="Times New Roman" w:cs="Times New Roman"/>
          <w:sz w:val="28"/>
          <w:szCs w:val="28"/>
        </w:rPr>
        <w:t xml:space="preserve">тельной практической работы в области  </w:t>
      </w:r>
      <w:proofErr w:type="spellStart"/>
      <w:r w:rsidRPr="00D21805">
        <w:rPr>
          <w:rFonts w:ascii="Times New Roman" w:eastAsia="Times New Roman" w:hAnsi="Times New Roman" w:cs="Times New Roman"/>
          <w:sz w:val="28"/>
          <w:szCs w:val="28"/>
        </w:rPr>
        <w:t>бенчмаркинга</w:t>
      </w:r>
      <w:proofErr w:type="spellEnd"/>
      <w:r w:rsidRPr="00D21805">
        <w:rPr>
          <w:rFonts w:ascii="Times New Roman" w:eastAsia="Times New Roman" w:hAnsi="Times New Roman" w:cs="Times New Roman"/>
          <w:sz w:val="28"/>
          <w:szCs w:val="28"/>
        </w:rPr>
        <w:t xml:space="preserve"> эффективности внутрикорпоративного управления  компаний энергетической отрасли. Модель позволяет оценить качество финансового контроля в компаниях и разработать рекомендации по его совершенствованию.</w:t>
      </w:r>
    </w:p>
    <w:p w:rsidR="00D17EC8" w:rsidRPr="00D17EC8" w:rsidRDefault="00D17EC8" w:rsidP="00B25BC0">
      <w:pPr>
        <w:spacing w:line="360" w:lineRule="auto"/>
        <w:ind w:firstLine="709"/>
        <w:jc w:val="both"/>
        <w:rPr>
          <w:rFonts w:ascii="Times New Roman" w:eastAsia="Times New Roman" w:hAnsi="Times New Roman" w:cs="Times New Roman"/>
          <w:sz w:val="28"/>
          <w:szCs w:val="28"/>
          <w:lang w:val="en-US"/>
        </w:rPr>
      </w:pPr>
      <w:r w:rsidRPr="00D17EC8">
        <w:rPr>
          <w:rFonts w:ascii="Times New Roman" w:eastAsia="Times New Roman" w:hAnsi="Times New Roman" w:cs="Times New Roman"/>
          <w:sz w:val="28"/>
          <w:szCs w:val="28"/>
          <w:lang w:val="en-US"/>
        </w:rPr>
        <w:lastRenderedPageBreak/>
        <w:t>Internal control is one of the three main components of corporate gover</w:t>
      </w:r>
      <w:r w:rsidRPr="00D17EC8">
        <w:rPr>
          <w:rFonts w:ascii="Times New Roman" w:eastAsia="Times New Roman" w:hAnsi="Times New Roman" w:cs="Times New Roman"/>
          <w:sz w:val="28"/>
          <w:szCs w:val="28"/>
          <w:lang w:val="en-US"/>
        </w:rPr>
        <w:t>n</w:t>
      </w:r>
      <w:r w:rsidRPr="00D17EC8">
        <w:rPr>
          <w:rFonts w:ascii="Times New Roman" w:eastAsia="Times New Roman" w:hAnsi="Times New Roman" w:cs="Times New Roman"/>
          <w:sz w:val="28"/>
          <w:szCs w:val="28"/>
          <w:lang w:val="en-US"/>
        </w:rPr>
        <w:t>ance of large companies. Rigidity to economic, social and political events is their feature of corporate governance of energy sector companies and, despite the need to comply with the best practices of corporate governance, must ensure first and foremost the continuity and safety of energy supply. Therefore, they are controlled by state and own services and must meet all the requirements for them.</w:t>
      </w:r>
    </w:p>
    <w:p w:rsidR="00D17EC8" w:rsidRPr="00D17EC8" w:rsidRDefault="00D17EC8" w:rsidP="00B25BC0">
      <w:pPr>
        <w:spacing w:line="360" w:lineRule="auto"/>
        <w:ind w:firstLine="709"/>
        <w:jc w:val="both"/>
        <w:rPr>
          <w:rFonts w:ascii="Times New Roman" w:eastAsia="Times New Roman" w:hAnsi="Times New Roman" w:cs="Times New Roman"/>
          <w:sz w:val="28"/>
          <w:szCs w:val="28"/>
          <w:lang w:val="en-US"/>
        </w:rPr>
      </w:pPr>
      <w:r w:rsidRPr="00D17EC8">
        <w:rPr>
          <w:rFonts w:ascii="Times New Roman" w:eastAsia="Times New Roman" w:hAnsi="Times New Roman" w:cs="Times New Roman"/>
          <w:sz w:val="28"/>
          <w:szCs w:val="28"/>
          <w:lang w:val="en-US"/>
        </w:rPr>
        <w:t>The article presents a model for assessing the effectiveness of intrafirm f</w:t>
      </w:r>
      <w:r w:rsidRPr="00D17EC8">
        <w:rPr>
          <w:rFonts w:ascii="Times New Roman" w:eastAsia="Times New Roman" w:hAnsi="Times New Roman" w:cs="Times New Roman"/>
          <w:sz w:val="28"/>
          <w:szCs w:val="28"/>
          <w:lang w:val="en-US"/>
        </w:rPr>
        <w:t>i</w:t>
      </w:r>
      <w:r w:rsidRPr="00D17EC8">
        <w:rPr>
          <w:rFonts w:ascii="Times New Roman" w:eastAsia="Times New Roman" w:hAnsi="Times New Roman" w:cs="Times New Roman"/>
          <w:sz w:val="28"/>
          <w:szCs w:val="28"/>
          <w:lang w:val="en-US"/>
        </w:rPr>
        <w:t>nancial control, developed as a result of continued practical work in benchmar</w:t>
      </w:r>
      <w:r w:rsidRPr="00D17EC8">
        <w:rPr>
          <w:rFonts w:ascii="Times New Roman" w:eastAsia="Times New Roman" w:hAnsi="Times New Roman" w:cs="Times New Roman"/>
          <w:sz w:val="28"/>
          <w:szCs w:val="28"/>
          <w:lang w:val="en-US"/>
        </w:rPr>
        <w:t>k</w:t>
      </w:r>
      <w:r w:rsidRPr="00D17EC8">
        <w:rPr>
          <w:rFonts w:ascii="Times New Roman" w:eastAsia="Times New Roman" w:hAnsi="Times New Roman" w:cs="Times New Roman"/>
          <w:sz w:val="28"/>
          <w:szCs w:val="28"/>
          <w:lang w:val="en-US"/>
        </w:rPr>
        <w:t xml:space="preserve">ing the effectiveness of internal corporate governance of energy companies. The </w:t>
      </w:r>
      <w:proofErr w:type="gramStart"/>
      <w:r w:rsidRPr="00D17EC8">
        <w:rPr>
          <w:rFonts w:ascii="Times New Roman" w:eastAsia="Times New Roman" w:hAnsi="Times New Roman" w:cs="Times New Roman"/>
          <w:sz w:val="28"/>
          <w:szCs w:val="28"/>
          <w:lang w:val="en-US"/>
        </w:rPr>
        <w:t>model allows assessing the quality of financial control in companies and deve</w:t>
      </w:r>
      <w:r w:rsidRPr="00D17EC8">
        <w:rPr>
          <w:rFonts w:ascii="Times New Roman" w:eastAsia="Times New Roman" w:hAnsi="Times New Roman" w:cs="Times New Roman"/>
          <w:sz w:val="28"/>
          <w:szCs w:val="28"/>
          <w:lang w:val="en-US"/>
        </w:rPr>
        <w:t>l</w:t>
      </w:r>
      <w:r w:rsidRPr="00D17EC8">
        <w:rPr>
          <w:rFonts w:ascii="Times New Roman" w:eastAsia="Times New Roman" w:hAnsi="Times New Roman" w:cs="Times New Roman"/>
          <w:sz w:val="28"/>
          <w:szCs w:val="28"/>
          <w:lang w:val="en-US"/>
        </w:rPr>
        <w:t>op</w:t>
      </w:r>
      <w:proofErr w:type="gramEnd"/>
      <w:r w:rsidRPr="00D17EC8">
        <w:rPr>
          <w:rFonts w:ascii="Times New Roman" w:eastAsia="Times New Roman" w:hAnsi="Times New Roman" w:cs="Times New Roman"/>
          <w:sz w:val="28"/>
          <w:szCs w:val="28"/>
          <w:lang w:val="en-US"/>
        </w:rPr>
        <w:t xml:space="preserve"> recommendations for its improvement.</w:t>
      </w:r>
    </w:p>
    <w:p w:rsidR="004231E4" w:rsidRDefault="00DD365B" w:rsidP="00D21805">
      <w:pPr>
        <w:spacing w:line="360" w:lineRule="auto"/>
        <w:ind w:firstLine="709"/>
        <w:rPr>
          <w:rFonts w:ascii="Times New Roman" w:hAnsi="Times New Roman" w:cs="Times New Roman"/>
          <w:sz w:val="28"/>
          <w:szCs w:val="28"/>
        </w:rPr>
      </w:pPr>
      <w:r w:rsidRPr="00D21805">
        <w:rPr>
          <w:rFonts w:ascii="Times New Roman" w:hAnsi="Times New Roman" w:cs="Times New Roman"/>
          <w:b/>
          <w:sz w:val="28"/>
          <w:szCs w:val="28"/>
        </w:rPr>
        <w:t>Ключевые слова:</w:t>
      </w:r>
      <w:r w:rsidRPr="00D21805">
        <w:rPr>
          <w:rFonts w:ascii="Times New Roman" w:hAnsi="Times New Roman" w:cs="Times New Roman"/>
          <w:sz w:val="28"/>
          <w:szCs w:val="28"/>
        </w:rPr>
        <w:t xml:space="preserve"> внутрифирменный финансовый контроль, энерг</w:t>
      </w:r>
      <w:r w:rsidRPr="00D21805">
        <w:rPr>
          <w:rFonts w:ascii="Times New Roman" w:hAnsi="Times New Roman" w:cs="Times New Roman"/>
          <w:sz w:val="28"/>
          <w:szCs w:val="28"/>
        </w:rPr>
        <w:t>е</w:t>
      </w:r>
      <w:r w:rsidRPr="00D21805">
        <w:rPr>
          <w:rFonts w:ascii="Times New Roman" w:hAnsi="Times New Roman" w:cs="Times New Roman"/>
          <w:sz w:val="28"/>
          <w:szCs w:val="28"/>
        </w:rPr>
        <w:t>тические компании, управление, эффективность</w:t>
      </w:r>
    </w:p>
    <w:p w:rsidR="00D17EC8" w:rsidRPr="00D17EC8" w:rsidRDefault="00D17EC8" w:rsidP="00D21805">
      <w:pPr>
        <w:spacing w:line="360" w:lineRule="auto"/>
        <w:ind w:firstLine="709"/>
        <w:rPr>
          <w:rFonts w:ascii="Times New Roman" w:hAnsi="Times New Roman" w:cs="Times New Roman"/>
          <w:sz w:val="28"/>
          <w:szCs w:val="28"/>
          <w:lang w:val="en-US"/>
        </w:rPr>
      </w:pPr>
      <w:r w:rsidRPr="00D17EC8">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w:t>
      </w:r>
      <w:r w:rsidRPr="00D17EC8">
        <w:rPr>
          <w:rFonts w:ascii="Times New Roman" w:hAnsi="Times New Roman" w:cs="Times New Roman"/>
          <w:sz w:val="28"/>
          <w:szCs w:val="28"/>
          <w:lang w:val="en-US"/>
        </w:rPr>
        <w:t>internal financial control, energy companies, management, efficiency</w:t>
      </w:r>
    </w:p>
    <w:bookmarkEnd w:id="1"/>
    <w:p w:rsidR="00CF2A6F" w:rsidRPr="00D17EC8" w:rsidRDefault="00CF2A6F" w:rsidP="00735180">
      <w:pPr>
        <w:pStyle w:val="a5"/>
        <w:tabs>
          <w:tab w:val="left" w:pos="993"/>
        </w:tabs>
        <w:spacing w:line="360" w:lineRule="auto"/>
        <w:ind w:left="0" w:firstLine="709"/>
        <w:jc w:val="both"/>
        <w:rPr>
          <w:rFonts w:ascii="Times New Roman" w:hAnsi="Times New Roman" w:cs="Times New Roman"/>
          <w:sz w:val="28"/>
          <w:szCs w:val="28"/>
          <w:lang w:val="en-US"/>
        </w:rPr>
      </w:pP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В России до недавнего времени финансовый контроль вместе с оце</w:t>
      </w:r>
      <w:r w:rsidRPr="00D21805">
        <w:rPr>
          <w:rFonts w:ascii="Times New Roman" w:hAnsi="Times New Roman" w:cs="Times New Roman"/>
          <w:sz w:val="28"/>
          <w:szCs w:val="28"/>
        </w:rPr>
        <w:t>н</w:t>
      </w:r>
      <w:r w:rsidRPr="00D21805">
        <w:rPr>
          <w:rFonts w:ascii="Times New Roman" w:hAnsi="Times New Roman" w:cs="Times New Roman"/>
          <w:sz w:val="28"/>
          <w:szCs w:val="28"/>
        </w:rPr>
        <w:t>кой его эффективности связывали, преимущественно, с финансовым ко</w:t>
      </w:r>
      <w:r w:rsidRPr="00D21805">
        <w:rPr>
          <w:rFonts w:ascii="Times New Roman" w:hAnsi="Times New Roman" w:cs="Times New Roman"/>
          <w:sz w:val="28"/>
          <w:szCs w:val="28"/>
        </w:rPr>
        <w:t>н</w:t>
      </w:r>
      <w:r w:rsidRPr="00D21805">
        <w:rPr>
          <w:rFonts w:ascii="Times New Roman" w:hAnsi="Times New Roman" w:cs="Times New Roman"/>
          <w:sz w:val="28"/>
          <w:szCs w:val="28"/>
        </w:rPr>
        <w:t>тролем расходования бюджетных средств либо использованием госуда</w:t>
      </w:r>
      <w:r w:rsidRPr="00D21805">
        <w:rPr>
          <w:rFonts w:ascii="Times New Roman" w:hAnsi="Times New Roman" w:cs="Times New Roman"/>
          <w:sz w:val="28"/>
          <w:szCs w:val="28"/>
        </w:rPr>
        <w:t>р</w:t>
      </w:r>
      <w:r w:rsidRPr="00D21805">
        <w:rPr>
          <w:rFonts w:ascii="Times New Roman" w:hAnsi="Times New Roman" w:cs="Times New Roman"/>
          <w:sz w:val="28"/>
          <w:szCs w:val="28"/>
        </w:rPr>
        <w:t>ственной собственности. Однако в последние годы этот вопрос преврати</w:t>
      </w:r>
      <w:r w:rsidRPr="00D21805">
        <w:rPr>
          <w:rFonts w:ascii="Times New Roman" w:hAnsi="Times New Roman" w:cs="Times New Roman"/>
          <w:sz w:val="28"/>
          <w:szCs w:val="28"/>
        </w:rPr>
        <w:t>л</w:t>
      </w:r>
      <w:r w:rsidRPr="00D21805">
        <w:rPr>
          <w:rFonts w:ascii="Times New Roman" w:hAnsi="Times New Roman" w:cs="Times New Roman"/>
          <w:sz w:val="28"/>
          <w:szCs w:val="28"/>
        </w:rPr>
        <w:t>ся в центральное звено организации внутрифирменного финансового ко</w:t>
      </w:r>
      <w:r w:rsidRPr="00D21805">
        <w:rPr>
          <w:rFonts w:ascii="Times New Roman" w:hAnsi="Times New Roman" w:cs="Times New Roman"/>
          <w:sz w:val="28"/>
          <w:szCs w:val="28"/>
        </w:rPr>
        <w:t>н</w:t>
      </w:r>
      <w:r w:rsidRPr="00D21805">
        <w:rPr>
          <w:rFonts w:ascii="Times New Roman" w:hAnsi="Times New Roman" w:cs="Times New Roman"/>
          <w:sz w:val="28"/>
          <w:szCs w:val="28"/>
        </w:rPr>
        <w:t>троля и аудита</w:t>
      </w:r>
      <w:r w:rsidR="00694328" w:rsidRPr="00D21805">
        <w:rPr>
          <w:rFonts w:ascii="Times New Roman" w:hAnsi="Times New Roman" w:cs="Times New Roman"/>
          <w:sz w:val="28"/>
          <w:szCs w:val="28"/>
        </w:rPr>
        <w:t xml:space="preserve"> </w:t>
      </w:r>
      <w:r w:rsidRPr="00D21805">
        <w:rPr>
          <w:rFonts w:ascii="Times New Roman" w:hAnsi="Times New Roman" w:cs="Times New Roman"/>
          <w:sz w:val="28"/>
          <w:szCs w:val="28"/>
        </w:rPr>
        <w:t xml:space="preserve"> крупных корпораций [</w:t>
      </w:r>
      <w:r w:rsidR="00DD365B" w:rsidRPr="00D21805">
        <w:rPr>
          <w:rFonts w:ascii="Times New Roman" w:hAnsi="Times New Roman" w:cs="Times New Roman"/>
          <w:sz w:val="28"/>
          <w:szCs w:val="28"/>
        </w:rPr>
        <w:t>6, с. 156</w:t>
      </w:r>
      <w:r w:rsidRPr="00D21805">
        <w:rPr>
          <w:rFonts w:ascii="Times New Roman" w:hAnsi="Times New Roman" w:cs="Times New Roman"/>
          <w:sz w:val="28"/>
          <w:szCs w:val="28"/>
        </w:rPr>
        <w:t>]. Причём результаты вну</w:t>
      </w:r>
      <w:r w:rsidRPr="00D21805">
        <w:rPr>
          <w:rFonts w:ascii="Times New Roman" w:hAnsi="Times New Roman" w:cs="Times New Roman"/>
          <w:sz w:val="28"/>
          <w:szCs w:val="28"/>
        </w:rPr>
        <w:t>т</w:t>
      </w:r>
      <w:r w:rsidRPr="00D21805">
        <w:rPr>
          <w:rFonts w:ascii="Times New Roman" w:hAnsi="Times New Roman" w:cs="Times New Roman"/>
          <w:sz w:val="28"/>
          <w:szCs w:val="28"/>
        </w:rPr>
        <w:t>рифирменного контроля рассматриваются как база для принятия инвест</w:t>
      </w:r>
      <w:r w:rsidRPr="00D21805">
        <w:rPr>
          <w:rFonts w:ascii="Times New Roman" w:hAnsi="Times New Roman" w:cs="Times New Roman"/>
          <w:sz w:val="28"/>
          <w:szCs w:val="28"/>
        </w:rPr>
        <w:t>и</w:t>
      </w:r>
      <w:r w:rsidRPr="00D21805">
        <w:rPr>
          <w:rFonts w:ascii="Times New Roman" w:hAnsi="Times New Roman" w:cs="Times New Roman"/>
          <w:sz w:val="28"/>
          <w:szCs w:val="28"/>
        </w:rPr>
        <w:t>ционных решений при распределении прибыли корпорации, для определ</w:t>
      </w:r>
      <w:r w:rsidRPr="00D21805">
        <w:rPr>
          <w:rFonts w:ascii="Times New Roman" w:hAnsi="Times New Roman" w:cs="Times New Roman"/>
          <w:sz w:val="28"/>
          <w:szCs w:val="28"/>
        </w:rPr>
        <w:t>е</w:t>
      </w:r>
      <w:r w:rsidRPr="00D21805">
        <w:rPr>
          <w:rFonts w:ascii="Times New Roman" w:hAnsi="Times New Roman" w:cs="Times New Roman"/>
          <w:sz w:val="28"/>
          <w:szCs w:val="28"/>
        </w:rPr>
        <w:t>ния приоритетов развития различных подразделений.</w:t>
      </w: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Внутренний финансовый контроль</w:t>
      </w:r>
      <w:r w:rsidR="00694328" w:rsidRPr="00D21805">
        <w:rPr>
          <w:rFonts w:ascii="Times New Roman" w:hAnsi="Times New Roman" w:cs="Times New Roman"/>
          <w:sz w:val="28"/>
          <w:szCs w:val="28"/>
        </w:rPr>
        <w:t xml:space="preserve"> (ВФК) </w:t>
      </w:r>
      <w:r w:rsidRPr="00D21805">
        <w:rPr>
          <w:rFonts w:ascii="Times New Roman" w:hAnsi="Times New Roman" w:cs="Times New Roman"/>
          <w:sz w:val="28"/>
          <w:szCs w:val="28"/>
        </w:rPr>
        <w:t xml:space="preserve"> представляет собой н</w:t>
      </w:r>
      <w:r w:rsidRPr="00D21805">
        <w:rPr>
          <w:rFonts w:ascii="Times New Roman" w:hAnsi="Times New Roman" w:cs="Times New Roman"/>
          <w:sz w:val="28"/>
          <w:szCs w:val="28"/>
        </w:rPr>
        <w:t>е</w:t>
      </w:r>
      <w:r w:rsidRPr="00D21805">
        <w:rPr>
          <w:rFonts w:ascii="Times New Roman" w:hAnsi="Times New Roman" w:cs="Times New Roman"/>
          <w:sz w:val="28"/>
          <w:szCs w:val="28"/>
        </w:rPr>
        <w:t xml:space="preserve">прерывный системный процесс </w:t>
      </w:r>
      <w:proofErr w:type="gramStart"/>
      <w:r w:rsidRPr="00D21805">
        <w:rPr>
          <w:rFonts w:ascii="Times New Roman" w:hAnsi="Times New Roman" w:cs="Times New Roman"/>
          <w:sz w:val="28"/>
          <w:szCs w:val="28"/>
        </w:rPr>
        <w:t>проверки достоверности финансовых п</w:t>
      </w:r>
      <w:r w:rsidRPr="00D21805">
        <w:rPr>
          <w:rFonts w:ascii="Times New Roman" w:hAnsi="Times New Roman" w:cs="Times New Roman"/>
          <w:sz w:val="28"/>
          <w:szCs w:val="28"/>
        </w:rPr>
        <w:t>а</w:t>
      </w:r>
      <w:r w:rsidRPr="00D21805">
        <w:rPr>
          <w:rFonts w:ascii="Times New Roman" w:hAnsi="Times New Roman" w:cs="Times New Roman"/>
          <w:sz w:val="28"/>
          <w:szCs w:val="28"/>
        </w:rPr>
        <w:t>раметров деятельности компании</w:t>
      </w:r>
      <w:proofErr w:type="gramEnd"/>
      <w:r w:rsidRPr="00D21805">
        <w:rPr>
          <w:rFonts w:ascii="Times New Roman" w:hAnsi="Times New Roman" w:cs="Times New Roman"/>
          <w:sz w:val="28"/>
          <w:szCs w:val="28"/>
        </w:rPr>
        <w:t xml:space="preserve"> на предмет её эффективности, экон</w:t>
      </w:r>
      <w:r w:rsidRPr="00D21805">
        <w:rPr>
          <w:rFonts w:ascii="Times New Roman" w:hAnsi="Times New Roman" w:cs="Times New Roman"/>
          <w:sz w:val="28"/>
          <w:szCs w:val="28"/>
        </w:rPr>
        <w:t>о</w:t>
      </w:r>
      <w:r w:rsidRPr="00D21805">
        <w:rPr>
          <w:rFonts w:ascii="Times New Roman" w:hAnsi="Times New Roman" w:cs="Times New Roman"/>
          <w:sz w:val="28"/>
          <w:szCs w:val="28"/>
        </w:rPr>
        <w:t>мичности, законности, разработки предписаний, направленных на устр</w:t>
      </w:r>
      <w:r w:rsidRPr="00D21805">
        <w:rPr>
          <w:rFonts w:ascii="Times New Roman" w:hAnsi="Times New Roman" w:cs="Times New Roman"/>
          <w:sz w:val="28"/>
          <w:szCs w:val="28"/>
        </w:rPr>
        <w:t>а</w:t>
      </w:r>
      <w:r w:rsidRPr="00D21805">
        <w:rPr>
          <w:rFonts w:ascii="Times New Roman" w:hAnsi="Times New Roman" w:cs="Times New Roman"/>
          <w:sz w:val="28"/>
          <w:szCs w:val="28"/>
        </w:rPr>
        <w:lastRenderedPageBreak/>
        <w:t>нение выявленных недостатков и предотвращение их возникновения в б</w:t>
      </w:r>
      <w:r w:rsidRPr="00D21805">
        <w:rPr>
          <w:rFonts w:ascii="Times New Roman" w:hAnsi="Times New Roman" w:cs="Times New Roman"/>
          <w:sz w:val="28"/>
          <w:szCs w:val="28"/>
        </w:rPr>
        <w:t>у</w:t>
      </w:r>
      <w:r w:rsidRPr="00D21805">
        <w:rPr>
          <w:rFonts w:ascii="Times New Roman" w:hAnsi="Times New Roman" w:cs="Times New Roman"/>
          <w:sz w:val="28"/>
          <w:szCs w:val="28"/>
        </w:rPr>
        <w:t>дущем [</w:t>
      </w:r>
      <w:r w:rsidR="00DD365B" w:rsidRPr="00D21805">
        <w:rPr>
          <w:rFonts w:ascii="Times New Roman" w:hAnsi="Times New Roman" w:cs="Times New Roman"/>
          <w:sz w:val="28"/>
          <w:szCs w:val="28"/>
        </w:rPr>
        <w:t>13, с.99</w:t>
      </w:r>
      <w:r w:rsidRPr="00D21805">
        <w:rPr>
          <w:rFonts w:ascii="Times New Roman" w:hAnsi="Times New Roman" w:cs="Times New Roman"/>
          <w:sz w:val="28"/>
          <w:szCs w:val="28"/>
        </w:rPr>
        <w:t>].</w:t>
      </w:r>
    </w:p>
    <w:p w:rsidR="00E45C46" w:rsidRPr="00D21805" w:rsidRDefault="00762938"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Основными проблемами современного  внутрифирменного  фина</w:t>
      </w:r>
      <w:r w:rsidRPr="00D21805">
        <w:rPr>
          <w:rFonts w:ascii="Times New Roman" w:hAnsi="Times New Roman" w:cs="Times New Roman"/>
          <w:sz w:val="28"/>
          <w:szCs w:val="28"/>
        </w:rPr>
        <w:t>н</w:t>
      </w:r>
      <w:r w:rsidRPr="00D21805">
        <w:rPr>
          <w:rFonts w:ascii="Times New Roman" w:hAnsi="Times New Roman" w:cs="Times New Roman"/>
          <w:sz w:val="28"/>
          <w:szCs w:val="28"/>
        </w:rPr>
        <w:t xml:space="preserve">сового контроля в настоящее время являются  </w:t>
      </w:r>
      <w:r w:rsidR="00E45C46" w:rsidRPr="00D21805">
        <w:rPr>
          <w:rFonts w:ascii="Times New Roman" w:hAnsi="Times New Roman" w:cs="Times New Roman"/>
          <w:sz w:val="28"/>
          <w:szCs w:val="28"/>
        </w:rPr>
        <w:t>отрывочность и мозаичность организации внутрифирменного финансового контроля в России. На настоящем этапе развития экономики нашей страны происходят изменения в</w:t>
      </w:r>
      <w:r w:rsidR="00DB4F47" w:rsidRPr="00D21805">
        <w:rPr>
          <w:rFonts w:ascii="Times New Roman" w:hAnsi="Times New Roman" w:cs="Times New Roman"/>
          <w:sz w:val="28"/>
          <w:szCs w:val="28"/>
        </w:rPr>
        <w:t xml:space="preserve"> </w:t>
      </w:r>
      <w:r w:rsidR="00E45C46" w:rsidRPr="00D21805">
        <w:rPr>
          <w:rFonts w:ascii="Times New Roman" w:hAnsi="Times New Roman" w:cs="Times New Roman"/>
          <w:sz w:val="28"/>
          <w:szCs w:val="28"/>
        </w:rPr>
        <w:t xml:space="preserve">понимании вопроса об организации </w:t>
      </w:r>
      <w:r w:rsidR="00694328" w:rsidRPr="00D21805">
        <w:rPr>
          <w:rFonts w:ascii="Times New Roman" w:hAnsi="Times New Roman" w:cs="Times New Roman"/>
          <w:sz w:val="28"/>
          <w:szCs w:val="28"/>
        </w:rPr>
        <w:t xml:space="preserve">ВФК </w:t>
      </w:r>
      <w:r w:rsidR="00E45C46" w:rsidRPr="00D21805">
        <w:rPr>
          <w:rFonts w:ascii="Times New Roman" w:hAnsi="Times New Roman" w:cs="Times New Roman"/>
          <w:sz w:val="28"/>
          <w:szCs w:val="28"/>
        </w:rPr>
        <w:t xml:space="preserve"> внутри отдельно взятого пре</w:t>
      </w:r>
      <w:r w:rsidR="00E45C46" w:rsidRPr="00D21805">
        <w:rPr>
          <w:rFonts w:ascii="Times New Roman" w:hAnsi="Times New Roman" w:cs="Times New Roman"/>
          <w:sz w:val="28"/>
          <w:szCs w:val="28"/>
        </w:rPr>
        <w:t>д</w:t>
      </w:r>
      <w:r w:rsidR="00E45C46" w:rsidRPr="00D21805">
        <w:rPr>
          <w:rFonts w:ascii="Times New Roman" w:hAnsi="Times New Roman" w:cs="Times New Roman"/>
          <w:sz w:val="28"/>
          <w:szCs w:val="28"/>
        </w:rPr>
        <w:t>приятия. Для многих российских компаний построение системы внутре</w:t>
      </w:r>
      <w:r w:rsidR="00E45C46" w:rsidRPr="00D21805">
        <w:rPr>
          <w:rFonts w:ascii="Times New Roman" w:hAnsi="Times New Roman" w:cs="Times New Roman"/>
          <w:sz w:val="28"/>
          <w:szCs w:val="28"/>
        </w:rPr>
        <w:t>н</w:t>
      </w:r>
      <w:r w:rsidR="00E45C46" w:rsidRPr="00D21805">
        <w:rPr>
          <w:rFonts w:ascii="Times New Roman" w:hAnsi="Times New Roman" w:cs="Times New Roman"/>
          <w:sz w:val="28"/>
          <w:szCs w:val="28"/>
        </w:rPr>
        <w:t>него контроля стало обязательным требованием, что, в частности, опред</w:t>
      </w:r>
      <w:r w:rsidR="00E45C46" w:rsidRPr="00D21805">
        <w:rPr>
          <w:rFonts w:ascii="Times New Roman" w:hAnsi="Times New Roman" w:cs="Times New Roman"/>
          <w:sz w:val="28"/>
          <w:szCs w:val="28"/>
        </w:rPr>
        <w:t>е</w:t>
      </w:r>
      <w:r w:rsidR="00E45C46" w:rsidRPr="00D21805">
        <w:rPr>
          <w:rFonts w:ascii="Times New Roman" w:hAnsi="Times New Roman" w:cs="Times New Roman"/>
          <w:sz w:val="28"/>
          <w:szCs w:val="28"/>
        </w:rPr>
        <w:t>лено введённой в 2014 году статьёй 19 закона «О бухгалтерском учёте»</w:t>
      </w:r>
      <w:r w:rsidR="00EE4F01" w:rsidRPr="00D21805">
        <w:rPr>
          <w:rFonts w:ascii="Times New Roman" w:hAnsi="Times New Roman" w:cs="Times New Roman"/>
          <w:sz w:val="28"/>
          <w:szCs w:val="28"/>
        </w:rPr>
        <w:t>.</w:t>
      </w: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П</w:t>
      </w:r>
      <w:r w:rsidR="00762938" w:rsidRPr="00D21805">
        <w:rPr>
          <w:rFonts w:ascii="Times New Roman" w:hAnsi="Times New Roman" w:cs="Times New Roman"/>
          <w:sz w:val="28"/>
          <w:szCs w:val="28"/>
        </w:rPr>
        <w:t xml:space="preserve">оскольку </w:t>
      </w:r>
      <w:r w:rsidRPr="00D21805">
        <w:rPr>
          <w:rFonts w:ascii="Times New Roman" w:hAnsi="Times New Roman" w:cs="Times New Roman"/>
          <w:sz w:val="28"/>
          <w:szCs w:val="28"/>
        </w:rPr>
        <w:t xml:space="preserve">найти какие-либо прямые показатели эффективности </w:t>
      </w:r>
      <w:r w:rsidR="00694328" w:rsidRPr="00D21805">
        <w:rPr>
          <w:rFonts w:ascii="Times New Roman" w:hAnsi="Times New Roman" w:cs="Times New Roman"/>
          <w:sz w:val="28"/>
          <w:szCs w:val="28"/>
        </w:rPr>
        <w:t>ВФК</w:t>
      </w:r>
      <w:r w:rsidRPr="00D21805">
        <w:rPr>
          <w:rFonts w:ascii="Times New Roman" w:hAnsi="Times New Roman" w:cs="Times New Roman"/>
          <w:sz w:val="28"/>
          <w:szCs w:val="28"/>
        </w:rPr>
        <w:t xml:space="preserve"> довольно проблематично ввиду закрытости корпоративной информ</w:t>
      </w:r>
      <w:r w:rsidRPr="00D21805">
        <w:rPr>
          <w:rFonts w:ascii="Times New Roman" w:hAnsi="Times New Roman" w:cs="Times New Roman"/>
          <w:sz w:val="28"/>
          <w:szCs w:val="28"/>
        </w:rPr>
        <w:t>а</w:t>
      </w:r>
      <w:r w:rsidRPr="00D21805">
        <w:rPr>
          <w:rFonts w:ascii="Times New Roman" w:hAnsi="Times New Roman" w:cs="Times New Roman"/>
          <w:sz w:val="28"/>
          <w:szCs w:val="28"/>
        </w:rPr>
        <w:t>ции, постольку результативность процедур внутреннего контроля комп</w:t>
      </w:r>
      <w:r w:rsidRPr="00D21805">
        <w:rPr>
          <w:rFonts w:ascii="Times New Roman" w:hAnsi="Times New Roman" w:cs="Times New Roman"/>
          <w:sz w:val="28"/>
          <w:szCs w:val="28"/>
        </w:rPr>
        <w:t>а</w:t>
      </w:r>
      <w:r w:rsidRPr="00D21805">
        <w:rPr>
          <w:rFonts w:ascii="Times New Roman" w:hAnsi="Times New Roman" w:cs="Times New Roman"/>
          <w:sz w:val="28"/>
          <w:szCs w:val="28"/>
        </w:rPr>
        <w:t>ний может быть оценена по неким косвенным признакам.</w:t>
      </w: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Так, приведённые ниже статистические данные из некоторых фина</w:t>
      </w:r>
      <w:r w:rsidRPr="00D21805">
        <w:rPr>
          <w:rFonts w:ascii="Times New Roman" w:hAnsi="Times New Roman" w:cs="Times New Roman"/>
          <w:sz w:val="28"/>
          <w:szCs w:val="28"/>
        </w:rPr>
        <w:t>н</w:t>
      </w:r>
      <w:r w:rsidRPr="00D21805">
        <w:rPr>
          <w:rFonts w:ascii="Times New Roman" w:hAnsi="Times New Roman" w:cs="Times New Roman"/>
          <w:sz w:val="28"/>
          <w:szCs w:val="28"/>
        </w:rPr>
        <w:t xml:space="preserve">совых областей отражают </w:t>
      </w:r>
      <w:proofErr w:type="gramStart"/>
      <w:r w:rsidRPr="00D21805">
        <w:rPr>
          <w:rFonts w:ascii="Times New Roman" w:hAnsi="Times New Roman" w:cs="Times New Roman"/>
          <w:sz w:val="28"/>
          <w:szCs w:val="28"/>
        </w:rPr>
        <w:t>функционирование</w:t>
      </w:r>
      <w:proofErr w:type="gramEnd"/>
      <w:r w:rsidRPr="00D21805">
        <w:rPr>
          <w:rFonts w:ascii="Times New Roman" w:hAnsi="Times New Roman" w:cs="Times New Roman"/>
          <w:sz w:val="28"/>
          <w:szCs w:val="28"/>
        </w:rPr>
        <w:t xml:space="preserve"> как внутренних финансовых служб организаций, так и внешних контролирующих органов.</w:t>
      </w:r>
    </w:p>
    <w:p w:rsidR="00EB3362" w:rsidRPr="00D21805" w:rsidRDefault="00E45C46"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По данным Государственного комитета по статистике, представле</w:t>
      </w:r>
      <w:r w:rsidRPr="00D21805">
        <w:rPr>
          <w:rFonts w:ascii="Times New Roman" w:hAnsi="Times New Roman" w:cs="Times New Roman"/>
          <w:sz w:val="28"/>
          <w:szCs w:val="28"/>
        </w:rPr>
        <w:t>н</w:t>
      </w:r>
      <w:r w:rsidRPr="00D21805">
        <w:rPr>
          <w:rFonts w:ascii="Times New Roman" w:hAnsi="Times New Roman" w:cs="Times New Roman"/>
          <w:sz w:val="28"/>
          <w:szCs w:val="28"/>
        </w:rPr>
        <w:t xml:space="preserve">ным на рисунке </w:t>
      </w:r>
      <w:r w:rsidR="00C84EC2" w:rsidRPr="00D21805">
        <w:rPr>
          <w:rFonts w:ascii="Times New Roman" w:hAnsi="Times New Roman" w:cs="Times New Roman"/>
          <w:sz w:val="28"/>
          <w:szCs w:val="28"/>
        </w:rPr>
        <w:t>8</w:t>
      </w:r>
      <w:r w:rsidRPr="00D21805">
        <w:rPr>
          <w:rFonts w:ascii="Times New Roman" w:hAnsi="Times New Roman" w:cs="Times New Roman"/>
          <w:sz w:val="28"/>
          <w:szCs w:val="28"/>
        </w:rPr>
        <w:t xml:space="preserve">, в 2015 году превышение кредиторской задолженности над дебиторской по компаниям РФ составило 3,1 </w:t>
      </w:r>
      <w:proofErr w:type="gramStart"/>
      <w:r w:rsidRPr="00D21805">
        <w:rPr>
          <w:rFonts w:ascii="Times New Roman" w:hAnsi="Times New Roman" w:cs="Times New Roman"/>
          <w:sz w:val="28"/>
          <w:szCs w:val="28"/>
        </w:rPr>
        <w:t>трлн</w:t>
      </w:r>
      <w:proofErr w:type="gramEnd"/>
      <w:r w:rsidRPr="00D21805">
        <w:rPr>
          <w:rFonts w:ascii="Times New Roman" w:hAnsi="Times New Roman" w:cs="Times New Roman"/>
          <w:sz w:val="28"/>
          <w:szCs w:val="28"/>
        </w:rPr>
        <w:t xml:space="preserve"> руб., увеличившись по сравнению с 2014 годом на 1 млрд руб. </w:t>
      </w: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8"/>
        </w:rPr>
      </w:pPr>
      <w:r w:rsidRPr="00D21805">
        <w:rPr>
          <w:rFonts w:ascii="Times New Roman" w:hAnsi="Times New Roman" w:cs="Times New Roman"/>
          <w:sz w:val="28"/>
          <w:szCs w:val="28"/>
        </w:rPr>
        <w:t>Такое соотношение показателей свидетельствует о не вполне удовл</w:t>
      </w:r>
      <w:r w:rsidRPr="00D21805">
        <w:rPr>
          <w:rFonts w:ascii="Times New Roman" w:hAnsi="Times New Roman" w:cs="Times New Roman"/>
          <w:sz w:val="28"/>
          <w:szCs w:val="28"/>
        </w:rPr>
        <w:t>е</w:t>
      </w:r>
      <w:r w:rsidRPr="00D21805">
        <w:rPr>
          <w:rFonts w:ascii="Times New Roman" w:hAnsi="Times New Roman" w:cs="Times New Roman"/>
          <w:sz w:val="28"/>
          <w:szCs w:val="28"/>
        </w:rPr>
        <w:t xml:space="preserve">творительной работе служб </w:t>
      </w:r>
      <w:r w:rsidR="00694328" w:rsidRPr="00D21805">
        <w:rPr>
          <w:rFonts w:ascii="Times New Roman" w:hAnsi="Times New Roman" w:cs="Times New Roman"/>
          <w:sz w:val="28"/>
          <w:szCs w:val="28"/>
        </w:rPr>
        <w:t>ВФК</w:t>
      </w:r>
      <w:r w:rsidRPr="00D21805">
        <w:rPr>
          <w:rFonts w:ascii="Times New Roman" w:hAnsi="Times New Roman" w:cs="Times New Roman"/>
          <w:sz w:val="28"/>
          <w:szCs w:val="28"/>
        </w:rPr>
        <w:t>, поскольку неблагоприятная тенденция увеличения соотношения данных показателей способна привести к бан</w:t>
      </w:r>
      <w:r w:rsidRPr="00D21805">
        <w:rPr>
          <w:rFonts w:ascii="Times New Roman" w:hAnsi="Times New Roman" w:cs="Times New Roman"/>
          <w:sz w:val="28"/>
          <w:szCs w:val="28"/>
        </w:rPr>
        <w:t>к</w:t>
      </w:r>
      <w:r w:rsidRPr="00D21805">
        <w:rPr>
          <w:rFonts w:ascii="Times New Roman" w:hAnsi="Times New Roman" w:cs="Times New Roman"/>
          <w:sz w:val="28"/>
          <w:szCs w:val="28"/>
        </w:rPr>
        <w:t>ротству наиболее уязвимых фирм.</w:t>
      </w:r>
    </w:p>
    <w:p w:rsidR="00C84EC2" w:rsidRPr="00735180" w:rsidRDefault="00C84EC2" w:rsidP="00735180">
      <w:pPr>
        <w:keepNext/>
        <w:tabs>
          <w:tab w:val="left" w:pos="1766"/>
        </w:tabs>
        <w:spacing w:line="360" w:lineRule="auto"/>
        <w:jc w:val="right"/>
        <w:rPr>
          <w:rFonts w:ascii="Times New Roman" w:hAnsi="Times New Roman" w:cs="Times New Roman"/>
          <w:sz w:val="24"/>
          <w:szCs w:val="24"/>
        </w:rPr>
      </w:pPr>
      <w:r w:rsidRPr="00735180">
        <w:rPr>
          <w:rFonts w:ascii="Times New Roman" w:hAnsi="Times New Roman" w:cs="Times New Roman"/>
          <w:noProof/>
          <w:sz w:val="24"/>
          <w:szCs w:val="24"/>
          <w:lang w:eastAsia="ru-RU"/>
        </w:rPr>
        <w:lastRenderedPageBreak/>
        <w:drawing>
          <wp:inline distT="0" distB="0" distL="0" distR="0" wp14:anchorId="6B74ABC9" wp14:editId="75EF2438">
            <wp:extent cx="6101541" cy="2892829"/>
            <wp:effectExtent l="0" t="0" r="13970" b="222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4EC2" w:rsidRPr="00D21805" w:rsidRDefault="00C84EC2" w:rsidP="00735180">
      <w:pPr>
        <w:pStyle w:val="a7"/>
        <w:spacing w:after="0" w:line="360" w:lineRule="auto"/>
        <w:jc w:val="center"/>
        <w:rPr>
          <w:rFonts w:ascii="Times New Roman" w:eastAsia="Times New Roman" w:hAnsi="Times New Roman" w:cs="Times New Roman"/>
          <w:b w:val="0"/>
          <w:color w:val="auto"/>
          <w:sz w:val="28"/>
          <w:szCs w:val="24"/>
          <w:lang w:eastAsia="ru-RU"/>
        </w:rPr>
      </w:pPr>
      <w:r w:rsidRPr="00D21805">
        <w:rPr>
          <w:rFonts w:ascii="Times New Roman" w:hAnsi="Times New Roman" w:cs="Times New Roman"/>
          <w:b w:val="0"/>
          <w:color w:val="auto"/>
          <w:sz w:val="28"/>
          <w:szCs w:val="24"/>
        </w:rPr>
        <w:t xml:space="preserve">Рисунок </w:t>
      </w:r>
      <w:r w:rsidR="00735180" w:rsidRPr="00D21805">
        <w:rPr>
          <w:rFonts w:ascii="Times New Roman" w:hAnsi="Times New Roman" w:cs="Times New Roman"/>
          <w:b w:val="0"/>
          <w:color w:val="auto"/>
          <w:sz w:val="28"/>
          <w:szCs w:val="24"/>
        </w:rPr>
        <w:t>1</w:t>
      </w:r>
      <w:r w:rsidRPr="00D21805">
        <w:rPr>
          <w:rFonts w:ascii="Times New Roman" w:hAnsi="Times New Roman" w:cs="Times New Roman"/>
          <w:b w:val="0"/>
          <w:color w:val="auto"/>
          <w:sz w:val="28"/>
          <w:szCs w:val="24"/>
        </w:rPr>
        <w:t xml:space="preserve"> - Соотношение дебиторской и кредиторской задолженности о</w:t>
      </w:r>
      <w:r w:rsidRPr="00D21805">
        <w:rPr>
          <w:rFonts w:ascii="Times New Roman" w:hAnsi="Times New Roman" w:cs="Times New Roman"/>
          <w:b w:val="0"/>
          <w:color w:val="auto"/>
          <w:sz w:val="28"/>
          <w:szCs w:val="24"/>
        </w:rPr>
        <w:t>р</w:t>
      </w:r>
      <w:r w:rsidRPr="00D21805">
        <w:rPr>
          <w:rFonts w:ascii="Times New Roman" w:hAnsi="Times New Roman" w:cs="Times New Roman"/>
          <w:b w:val="0"/>
          <w:color w:val="auto"/>
          <w:sz w:val="28"/>
          <w:szCs w:val="24"/>
        </w:rPr>
        <w:t>ганизаций РФ за 2011 - 2015 гг.</w:t>
      </w:r>
    </w:p>
    <w:p w:rsidR="00C84EC2" w:rsidRPr="00D21805" w:rsidRDefault="00C84EC2" w:rsidP="00735180">
      <w:pPr>
        <w:pStyle w:val="a5"/>
        <w:tabs>
          <w:tab w:val="left" w:pos="993"/>
        </w:tabs>
        <w:spacing w:line="360" w:lineRule="auto"/>
        <w:ind w:left="0" w:firstLine="709"/>
        <w:jc w:val="both"/>
        <w:rPr>
          <w:rFonts w:ascii="Times New Roman" w:hAnsi="Times New Roman" w:cs="Times New Roman"/>
          <w:sz w:val="28"/>
          <w:szCs w:val="24"/>
        </w:rPr>
      </w:pPr>
    </w:p>
    <w:p w:rsidR="00735180" w:rsidRPr="00D21805" w:rsidRDefault="00E45C46" w:rsidP="00735180">
      <w:pPr>
        <w:pStyle w:val="a5"/>
        <w:tabs>
          <w:tab w:val="left" w:pos="993"/>
        </w:tabs>
        <w:spacing w:line="360" w:lineRule="auto"/>
        <w:ind w:left="0" w:firstLine="709"/>
        <w:jc w:val="both"/>
        <w:rPr>
          <w:rFonts w:ascii="Times New Roman" w:hAnsi="Times New Roman" w:cs="Times New Roman"/>
          <w:sz w:val="28"/>
          <w:szCs w:val="24"/>
        </w:rPr>
      </w:pPr>
      <w:r w:rsidRPr="00D21805">
        <w:rPr>
          <w:rFonts w:ascii="Times New Roman" w:hAnsi="Times New Roman" w:cs="Times New Roman"/>
          <w:sz w:val="28"/>
          <w:szCs w:val="24"/>
        </w:rPr>
        <w:t>В свою очередь, отчёты Федеральной налоговой службы показыв</w:t>
      </w:r>
      <w:r w:rsidRPr="00D21805">
        <w:rPr>
          <w:rFonts w:ascii="Times New Roman" w:hAnsi="Times New Roman" w:cs="Times New Roman"/>
          <w:sz w:val="28"/>
          <w:szCs w:val="24"/>
        </w:rPr>
        <w:t>а</w:t>
      </w:r>
      <w:r w:rsidRPr="00D21805">
        <w:rPr>
          <w:rFonts w:ascii="Times New Roman" w:hAnsi="Times New Roman" w:cs="Times New Roman"/>
          <w:sz w:val="28"/>
          <w:szCs w:val="24"/>
        </w:rPr>
        <w:t>ют: за 201</w:t>
      </w:r>
      <w:r w:rsidR="001E42CC" w:rsidRPr="00D21805">
        <w:rPr>
          <w:rFonts w:ascii="Times New Roman" w:hAnsi="Times New Roman" w:cs="Times New Roman"/>
          <w:sz w:val="28"/>
          <w:szCs w:val="24"/>
        </w:rPr>
        <w:t>6</w:t>
      </w:r>
      <w:r w:rsidRPr="00D21805">
        <w:rPr>
          <w:rFonts w:ascii="Times New Roman" w:hAnsi="Times New Roman" w:cs="Times New Roman"/>
          <w:sz w:val="28"/>
          <w:szCs w:val="24"/>
        </w:rPr>
        <w:t xml:space="preserve"> год задолженность компаний по налогам и сборам в консол</w:t>
      </w:r>
      <w:r w:rsidRPr="00D21805">
        <w:rPr>
          <w:rFonts w:ascii="Times New Roman" w:hAnsi="Times New Roman" w:cs="Times New Roman"/>
          <w:sz w:val="28"/>
          <w:szCs w:val="24"/>
        </w:rPr>
        <w:t>и</w:t>
      </w:r>
      <w:r w:rsidRPr="00D21805">
        <w:rPr>
          <w:rFonts w:ascii="Times New Roman" w:hAnsi="Times New Roman" w:cs="Times New Roman"/>
          <w:sz w:val="28"/>
          <w:szCs w:val="24"/>
        </w:rPr>
        <w:t xml:space="preserve">дированный бюджет страны составила </w:t>
      </w:r>
      <w:r w:rsidR="001E42CC" w:rsidRPr="00D21805">
        <w:rPr>
          <w:rFonts w:ascii="Times New Roman" w:hAnsi="Times New Roman" w:cs="Times New Roman"/>
          <w:sz w:val="28"/>
          <w:szCs w:val="24"/>
        </w:rPr>
        <w:t>762,2</w:t>
      </w:r>
      <w:r w:rsidRPr="00D21805">
        <w:rPr>
          <w:rFonts w:ascii="Times New Roman" w:hAnsi="Times New Roman" w:cs="Times New Roman"/>
          <w:sz w:val="28"/>
          <w:szCs w:val="24"/>
        </w:rPr>
        <w:t xml:space="preserve"> </w:t>
      </w:r>
      <w:proofErr w:type="gramStart"/>
      <w:r w:rsidRPr="00D21805">
        <w:rPr>
          <w:rFonts w:ascii="Times New Roman" w:hAnsi="Times New Roman" w:cs="Times New Roman"/>
          <w:sz w:val="28"/>
          <w:szCs w:val="24"/>
        </w:rPr>
        <w:t>млрд</w:t>
      </w:r>
      <w:proofErr w:type="gramEnd"/>
      <w:r w:rsidRPr="00D21805">
        <w:rPr>
          <w:rFonts w:ascii="Times New Roman" w:hAnsi="Times New Roman" w:cs="Times New Roman"/>
          <w:sz w:val="28"/>
          <w:szCs w:val="24"/>
        </w:rPr>
        <w:t xml:space="preserve"> руб. При этом объём з</w:t>
      </w:r>
      <w:r w:rsidRPr="00D21805">
        <w:rPr>
          <w:rFonts w:ascii="Times New Roman" w:hAnsi="Times New Roman" w:cs="Times New Roman"/>
          <w:sz w:val="28"/>
          <w:szCs w:val="24"/>
        </w:rPr>
        <w:t>а</w:t>
      </w:r>
      <w:r w:rsidRPr="00D21805">
        <w:rPr>
          <w:rFonts w:ascii="Times New Roman" w:hAnsi="Times New Roman" w:cs="Times New Roman"/>
          <w:sz w:val="28"/>
          <w:szCs w:val="24"/>
        </w:rPr>
        <w:t>долженности по налогу на прибыль</w:t>
      </w:r>
      <w:r w:rsidR="00F263B9" w:rsidRPr="00D21805">
        <w:rPr>
          <w:rFonts w:ascii="Times New Roman" w:hAnsi="Times New Roman" w:cs="Times New Roman"/>
          <w:sz w:val="28"/>
          <w:szCs w:val="24"/>
        </w:rPr>
        <w:t xml:space="preserve"> организаций равен 135,7</w:t>
      </w:r>
      <w:r w:rsidRPr="00D21805">
        <w:rPr>
          <w:rFonts w:ascii="Times New Roman" w:hAnsi="Times New Roman" w:cs="Times New Roman"/>
          <w:sz w:val="28"/>
          <w:szCs w:val="24"/>
        </w:rPr>
        <w:t xml:space="preserve"> млрд руб., а по НДС – </w:t>
      </w:r>
      <w:r w:rsidR="00F263B9" w:rsidRPr="00D21805">
        <w:rPr>
          <w:rFonts w:ascii="Times New Roman" w:hAnsi="Times New Roman" w:cs="Times New Roman"/>
          <w:sz w:val="28"/>
          <w:szCs w:val="24"/>
        </w:rPr>
        <w:t>467,9</w:t>
      </w:r>
      <w:r w:rsidRPr="00D21805">
        <w:rPr>
          <w:rFonts w:ascii="Times New Roman" w:hAnsi="Times New Roman" w:cs="Times New Roman"/>
          <w:sz w:val="28"/>
          <w:szCs w:val="24"/>
        </w:rPr>
        <w:t xml:space="preserve"> млрд руб. (таблица </w:t>
      </w:r>
      <w:r w:rsidR="00735180" w:rsidRPr="00D21805">
        <w:rPr>
          <w:rFonts w:ascii="Times New Roman" w:hAnsi="Times New Roman" w:cs="Times New Roman"/>
          <w:sz w:val="28"/>
          <w:szCs w:val="24"/>
        </w:rPr>
        <w:t>1</w:t>
      </w:r>
      <w:r w:rsidRPr="00D21805">
        <w:rPr>
          <w:rFonts w:ascii="Times New Roman" w:hAnsi="Times New Roman" w:cs="Times New Roman"/>
          <w:sz w:val="28"/>
          <w:szCs w:val="24"/>
        </w:rPr>
        <w:t>).</w:t>
      </w:r>
      <w:r w:rsidR="00DB4F47" w:rsidRPr="00D21805">
        <w:rPr>
          <w:rFonts w:ascii="Times New Roman" w:hAnsi="Times New Roman" w:cs="Times New Roman"/>
          <w:sz w:val="28"/>
          <w:szCs w:val="24"/>
        </w:rPr>
        <w:t xml:space="preserve"> </w:t>
      </w:r>
    </w:p>
    <w:p w:rsidR="00C84EC2" w:rsidRPr="00D21805" w:rsidRDefault="00C84EC2" w:rsidP="00735180">
      <w:pPr>
        <w:pStyle w:val="a5"/>
        <w:tabs>
          <w:tab w:val="left" w:pos="993"/>
        </w:tabs>
        <w:spacing w:line="360" w:lineRule="auto"/>
        <w:ind w:left="0" w:firstLine="709"/>
        <w:jc w:val="right"/>
        <w:rPr>
          <w:rFonts w:ascii="Times New Roman" w:eastAsia="Times New Roman" w:hAnsi="Times New Roman" w:cs="Times New Roman"/>
          <w:bCs/>
          <w:sz w:val="28"/>
          <w:szCs w:val="24"/>
          <w:lang w:eastAsia="ru-RU"/>
        </w:rPr>
      </w:pPr>
      <w:r w:rsidRPr="00D21805">
        <w:rPr>
          <w:rFonts w:ascii="Times New Roman" w:eastAsia="Times New Roman" w:hAnsi="Times New Roman" w:cs="Times New Roman"/>
          <w:bCs/>
          <w:sz w:val="28"/>
          <w:szCs w:val="24"/>
          <w:lang w:eastAsia="ru-RU"/>
        </w:rPr>
        <w:t xml:space="preserve">Таблица </w:t>
      </w:r>
      <w:r w:rsidR="00735180" w:rsidRPr="00D21805">
        <w:rPr>
          <w:rFonts w:ascii="Times New Roman" w:eastAsia="Times New Roman" w:hAnsi="Times New Roman" w:cs="Times New Roman"/>
          <w:bCs/>
          <w:sz w:val="28"/>
          <w:szCs w:val="24"/>
          <w:lang w:eastAsia="ru-RU"/>
        </w:rPr>
        <w:t>1</w:t>
      </w:r>
      <w:r w:rsidRPr="00D21805">
        <w:rPr>
          <w:rFonts w:ascii="Times New Roman" w:eastAsia="Times New Roman" w:hAnsi="Times New Roman" w:cs="Times New Roman"/>
          <w:bCs/>
          <w:sz w:val="28"/>
          <w:szCs w:val="24"/>
          <w:lang w:eastAsia="ru-RU"/>
        </w:rPr>
        <w:t xml:space="preserve"> </w:t>
      </w:r>
    </w:p>
    <w:p w:rsidR="00C84EC2" w:rsidRPr="00D21805" w:rsidRDefault="00C84EC2" w:rsidP="00735180">
      <w:pPr>
        <w:spacing w:before="100" w:beforeAutospacing="1" w:line="360" w:lineRule="auto"/>
        <w:rPr>
          <w:rFonts w:ascii="Times New Roman" w:eastAsia="Times New Roman" w:hAnsi="Times New Roman" w:cs="Times New Roman"/>
          <w:sz w:val="28"/>
          <w:szCs w:val="24"/>
          <w:lang w:eastAsia="ru-RU"/>
        </w:rPr>
      </w:pPr>
      <w:r w:rsidRPr="00D21805">
        <w:rPr>
          <w:rFonts w:ascii="Times New Roman" w:eastAsia="Times New Roman" w:hAnsi="Times New Roman" w:cs="Times New Roman"/>
          <w:bCs/>
          <w:sz w:val="28"/>
          <w:szCs w:val="24"/>
          <w:lang w:eastAsia="ru-RU"/>
        </w:rPr>
        <w:t>Структура задолженности по налоговым платежам и сборам в бюджет РФ н</w:t>
      </w:r>
      <w:r w:rsidRPr="00D21805">
        <w:rPr>
          <w:rFonts w:ascii="Times New Roman" w:eastAsia="Times New Roman" w:hAnsi="Times New Roman" w:cs="Times New Roman"/>
          <w:sz w:val="28"/>
          <w:szCs w:val="24"/>
          <w:lang w:eastAsia="ru-RU"/>
        </w:rPr>
        <w:t>а 01.01.2017 г.</w:t>
      </w:r>
    </w:p>
    <w:tbl>
      <w:tblPr>
        <w:tblStyle w:val="a6"/>
        <w:tblW w:w="0" w:type="auto"/>
        <w:jc w:val="center"/>
        <w:tblInd w:w="108" w:type="dxa"/>
        <w:tblLook w:val="04A0" w:firstRow="1" w:lastRow="0" w:firstColumn="1" w:lastColumn="0" w:noHBand="0" w:noVBand="1"/>
      </w:tblPr>
      <w:tblGrid>
        <w:gridCol w:w="5263"/>
        <w:gridCol w:w="1212"/>
        <w:gridCol w:w="1398"/>
      </w:tblGrid>
      <w:tr w:rsidR="00C84EC2" w:rsidRPr="00735180" w:rsidTr="00EB3362">
        <w:trPr>
          <w:trHeight w:val="281"/>
          <w:jc w:val="center"/>
        </w:trPr>
        <w:tc>
          <w:tcPr>
            <w:tcW w:w="0" w:type="auto"/>
            <w:hideMark/>
          </w:tcPr>
          <w:p w:rsidR="00C84EC2" w:rsidRPr="00735180" w:rsidRDefault="00C84EC2" w:rsidP="00735180">
            <w:pPr>
              <w:spacing w:line="360" w:lineRule="auto"/>
              <w:jc w:val="center"/>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Задолженность</w:t>
            </w:r>
          </w:p>
        </w:tc>
        <w:tc>
          <w:tcPr>
            <w:tcW w:w="0" w:type="auto"/>
            <w:hideMark/>
          </w:tcPr>
          <w:p w:rsidR="00C84EC2" w:rsidRPr="00735180" w:rsidRDefault="00C84EC2" w:rsidP="00735180">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sidRPr="00735180">
              <w:rPr>
                <w:rFonts w:ascii="Times New Roman" w:eastAsia="Times New Roman" w:hAnsi="Times New Roman" w:cs="Times New Roman"/>
                <w:iCs/>
                <w:sz w:val="24"/>
                <w:szCs w:val="24"/>
                <w:lang w:eastAsia="ru-RU"/>
              </w:rPr>
              <w:t>млрд</w:t>
            </w:r>
            <w:proofErr w:type="gramEnd"/>
            <w:r w:rsidRPr="00735180">
              <w:rPr>
                <w:rFonts w:ascii="Times New Roman" w:eastAsia="Times New Roman" w:hAnsi="Times New Roman" w:cs="Times New Roman"/>
                <w:iCs/>
                <w:sz w:val="24"/>
                <w:szCs w:val="24"/>
                <w:lang w:eastAsia="ru-RU"/>
              </w:rPr>
              <w:t xml:space="preserve"> руб.</w:t>
            </w:r>
          </w:p>
        </w:tc>
        <w:tc>
          <w:tcPr>
            <w:tcW w:w="0" w:type="auto"/>
            <w:hideMark/>
          </w:tcPr>
          <w:p w:rsidR="00C84EC2" w:rsidRPr="00735180" w:rsidRDefault="00C84EC2" w:rsidP="00735180">
            <w:pPr>
              <w:spacing w:before="100" w:beforeAutospacing="1" w:after="100" w:afterAutospacing="1" w:line="360" w:lineRule="auto"/>
              <w:jc w:val="center"/>
              <w:rPr>
                <w:rFonts w:ascii="Times New Roman" w:eastAsia="Times New Roman" w:hAnsi="Times New Roman" w:cs="Times New Roman"/>
                <w:sz w:val="24"/>
                <w:szCs w:val="24"/>
                <w:lang w:eastAsia="ru-RU"/>
              </w:rPr>
            </w:pPr>
            <w:proofErr w:type="gramStart"/>
            <w:r w:rsidRPr="00735180">
              <w:rPr>
                <w:rFonts w:ascii="Times New Roman" w:eastAsia="Times New Roman" w:hAnsi="Times New Roman" w:cs="Times New Roman"/>
                <w:iCs/>
                <w:sz w:val="24"/>
                <w:szCs w:val="24"/>
                <w:lang w:eastAsia="ru-RU"/>
              </w:rPr>
              <w:t>в</w:t>
            </w:r>
            <w:proofErr w:type="gramEnd"/>
            <w:r w:rsidRPr="00735180">
              <w:rPr>
                <w:rFonts w:ascii="Times New Roman" w:eastAsia="Times New Roman" w:hAnsi="Times New Roman" w:cs="Times New Roman"/>
                <w:iCs/>
                <w:sz w:val="24"/>
                <w:szCs w:val="24"/>
                <w:lang w:eastAsia="ru-RU"/>
              </w:rPr>
              <w:t xml:space="preserve"> % к итогу</w:t>
            </w:r>
          </w:p>
        </w:tc>
      </w:tr>
      <w:tr w:rsidR="00C84EC2" w:rsidRPr="00735180" w:rsidTr="00EB3362">
        <w:trPr>
          <w:trHeight w:val="251"/>
          <w:jc w:val="center"/>
        </w:trPr>
        <w:tc>
          <w:tcPr>
            <w:tcW w:w="0" w:type="auto"/>
            <w:hideMark/>
          </w:tcPr>
          <w:p w:rsidR="00C84EC2" w:rsidRPr="00735180" w:rsidRDefault="00C84EC2" w:rsidP="00735180">
            <w:pPr>
              <w:spacing w:before="100" w:beforeAutospacing="1" w:after="100" w:afterAutospacing="1" w:line="360" w:lineRule="auto"/>
              <w:rPr>
                <w:rFonts w:ascii="Times New Roman" w:eastAsia="Times New Roman" w:hAnsi="Times New Roman" w:cs="Times New Roman"/>
                <w:sz w:val="24"/>
                <w:szCs w:val="24"/>
                <w:lang w:eastAsia="ru-RU"/>
              </w:rPr>
            </w:pPr>
            <w:r w:rsidRPr="00735180">
              <w:rPr>
                <w:rFonts w:ascii="Times New Roman" w:eastAsia="Times New Roman" w:hAnsi="Times New Roman" w:cs="Times New Roman"/>
                <w:bCs/>
                <w:sz w:val="24"/>
                <w:szCs w:val="24"/>
                <w:lang w:eastAsia="ru-RU"/>
              </w:rPr>
              <w:t>по федеральным налогам и сборам</w:t>
            </w:r>
          </w:p>
        </w:tc>
        <w:tc>
          <w:tcPr>
            <w:tcW w:w="0" w:type="auto"/>
            <w:hideMark/>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762,2</w:t>
            </w:r>
          </w:p>
        </w:tc>
        <w:tc>
          <w:tcPr>
            <w:tcW w:w="0" w:type="auto"/>
            <w:hideMark/>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73,9</w:t>
            </w:r>
          </w:p>
        </w:tc>
      </w:tr>
      <w:tr w:rsidR="00C84EC2" w:rsidRPr="00735180" w:rsidTr="00EB3362">
        <w:trPr>
          <w:trHeight w:val="241"/>
          <w:jc w:val="center"/>
        </w:trPr>
        <w:tc>
          <w:tcPr>
            <w:tcW w:w="0" w:type="auto"/>
            <w:gridSpan w:val="3"/>
          </w:tcPr>
          <w:p w:rsidR="00C84EC2" w:rsidRPr="00735180" w:rsidRDefault="00C84EC2" w:rsidP="00735180">
            <w:pPr>
              <w:spacing w:line="360" w:lineRule="auto"/>
              <w:ind w:right="227"/>
              <w:rPr>
                <w:rFonts w:ascii="Times New Roman" w:eastAsia="Times New Roman" w:hAnsi="Times New Roman" w:cs="Times New Roman"/>
                <w:i/>
                <w:sz w:val="24"/>
                <w:szCs w:val="24"/>
                <w:lang w:eastAsia="ru-RU"/>
              </w:rPr>
            </w:pPr>
            <w:r w:rsidRPr="00735180">
              <w:rPr>
                <w:rFonts w:ascii="Times New Roman" w:eastAsia="Times New Roman" w:hAnsi="Times New Roman" w:cs="Times New Roman"/>
                <w:i/>
                <w:sz w:val="24"/>
                <w:szCs w:val="24"/>
                <w:lang w:eastAsia="ru-RU"/>
              </w:rPr>
              <w:t>в том числе:</w:t>
            </w:r>
          </w:p>
        </w:tc>
      </w:tr>
      <w:tr w:rsidR="00C84EC2" w:rsidRPr="00735180" w:rsidTr="00EB3362">
        <w:trPr>
          <w:trHeight w:val="80"/>
          <w:jc w:val="center"/>
        </w:trPr>
        <w:tc>
          <w:tcPr>
            <w:tcW w:w="0" w:type="auto"/>
            <w:hideMark/>
          </w:tcPr>
          <w:p w:rsidR="00C84EC2" w:rsidRPr="00735180" w:rsidRDefault="00C84EC2" w:rsidP="00735180">
            <w:pPr>
              <w:spacing w:before="100" w:beforeAutospacing="1" w:after="100" w:afterAutospacing="1" w:line="360" w:lineRule="auto"/>
              <w:ind w:left="341"/>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налог на прибыль организаций</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135,7</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13,2</w:t>
            </w:r>
          </w:p>
        </w:tc>
      </w:tr>
      <w:tr w:rsidR="00C84EC2" w:rsidRPr="00735180" w:rsidTr="00EB3362">
        <w:trPr>
          <w:trHeight w:val="116"/>
          <w:jc w:val="center"/>
        </w:trPr>
        <w:tc>
          <w:tcPr>
            <w:tcW w:w="0" w:type="auto"/>
            <w:hideMark/>
          </w:tcPr>
          <w:p w:rsidR="00C84EC2" w:rsidRPr="00735180" w:rsidRDefault="00C84EC2" w:rsidP="00735180">
            <w:pPr>
              <w:spacing w:before="100" w:beforeAutospacing="1" w:after="100" w:afterAutospacing="1" w:line="360" w:lineRule="auto"/>
              <w:ind w:left="341"/>
              <w:rPr>
                <w:rFonts w:ascii="Times New Roman" w:eastAsia="Times New Roman" w:hAnsi="Times New Roman" w:cs="Times New Roman"/>
                <w:i/>
                <w:sz w:val="24"/>
                <w:szCs w:val="24"/>
                <w:lang w:eastAsia="ru-RU"/>
              </w:rPr>
            </w:pPr>
            <w:r w:rsidRPr="00735180">
              <w:rPr>
                <w:rFonts w:ascii="Times New Roman" w:eastAsia="Times New Roman" w:hAnsi="Times New Roman" w:cs="Times New Roman"/>
                <w:i/>
                <w:sz w:val="24"/>
                <w:szCs w:val="24"/>
                <w:lang w:eastAsia="ru-RU"/>
              </w:rPr>
              <w:t>НДС</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467,9</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45,3</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ind w:left="341"/>
              <w:rPr>
                <w:rFonts w:ascii="Times New Roman" w:eastAsia="Times New Roman" w:hAnsi="Times New Roman" w:cs="Times New Roman"/>
                <w:i/>
                <w:sz w:val="24"/>
                <w:szCs w:val="24"/>
                <w:lang w:eastAsia="ru-RU"/>
              </w:rPr>
            </w:pPr>
            <w:r w:rsidRPr="00735180">
              <w:rPr>
                <w:rFonts w:ascii="Times New Roman" w:eastAsia="Times New Roman" w:hAnsi="Times New Roman" w:cs="Times New Roman"/>
                <w:i/>
                <w:sz w:val="24"/>
                <w:szCs w:val="24"/>
                <w:lang w:eastAsia="ru-RU"/>
              </w:rPr>
              <w:t>налоги за пользование природными ресурсами</w:t>
            </w:r>
          </w:p>
        </w:tc>
        <w:tc>
          <w:tcPr>
            <w:tcW w:w="0" w:type="auto"/>
            <w:hideMark/>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5,6</w:t>
            </w:r>
          </w:p>
        </w:tc>
        <w:tc>
          <w:tcPr>
            <w:tcW w:w="0" w:type="auto"/>
            <w:hideMark/>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0,5</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ind w:left="341"/>
              <w:rPr>
                <w:rFonts w:ascii="Times New Roman" w:eastAsia="Times New Roman" w:hAnsi="Times New Roman" w:cs="Times New Roman"/>
                <w:i/>
                <w:sz w:val="24"/>
                <w:szCs w:val="24"/>
                <w:lang w:eastAsia="ru-RU"/>
              </w:rPr>
            </w:pPr>
            <w:r w:rsidRPr="00735180">
              <w:rPr>
                <w:rFonts w:ascii="Times New Roman" w:eastAsia="Times New Roman" w:hAnsi="Times New Roman" w:cs="Times New Roman"/>
                <w:i/>
                <w:sz w:val="24"/>
                <w:szCs w:val="24"/>
                <w:lang w:eastAsia="ru-RU"/>
              </w:rPr>
              <w:t xml:space="preserve">акцизы </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83,5</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8,1</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ind w:left="341"/>
              <w:rPr>
                <w:rFonts w:ascii="Times New Roman" w:eastAsia="Times New Roman" w:hAnsi="Times New Roman" w:cs="Times New Roman"/>
                <w:i/>
                <w:sz w:val="24"/>
                <w:szCs w:val="24"/>
                <w:lang w:eastAsia="ru-RU"/>
              </w:rPr>
            </w:pPr>
            <w:r w:rsidRPr="00735180">
              <w:rPr>
                <w:rFonts w:ascii="Times New Roman" w:eastAsia="Times New Roman" w:hAnsi="Times New Roman" w:cs="Times New Roman"/>
                <w:i/>
                <w:sz w:val="24"/>
                <w:szCs w:val="24"/>
                <w:lang w:eastAsia="ru-RU"/>
              </w:rPr>
              <w:t>остальные федеральные налоги и сборы</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69,4</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6,7</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rPr>
                <w:rFonts w:ascii="Times New Roman" w:eastAsia="Times New Roman" w:hAnsi="Times New Roman" w:cs="Times New Roman"/>
                <w:sz w:val="24"/>
                <w:szCs w:val="24"/>
                <w:lang w:eastAsia="ru-RU"/>
              </w:rPr>
            </w:pPr>
            <w:r w:rsidRPr="00735180">
              <w:rPr>
                <w:rFonts w:ascii="Times New Roman" w:eastAsia="Times New Roman" w:hAnsi="Times New Roman" w:cs="Times New Roman"/>
                <w:bCs/>
                <w:sz w:val="24"/>
                <w:szCs w:val="24"/>
                <w:lang w:eastAsia="ru-RU"/>
              </w:rPr>
              <w:t>по региональным налогам и сборам</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160,9</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15,6</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rPr>
                <w:rFonts w:ascii="Times New Roman" w:eastAsia="Times New Roman" w:hAnsi="Times New Roman" w:cs="Times New Roman"/>
                <w:sz w:val="24"/>
                <w:szCs w:val="24"/>
                <w:lang w:eastAsia="ru-RU"/>
              </w:rPr>
            </w:pPr>
            <w:r w:rsidRPr="00735180">
              <w:rPr>
                <w:rFonts w:ascii="Times New Roman" w:eastAsia="Times New Roman" w:hAnsi="Times New Roman" w:cs="Times New Roman"/>
                <w:bCs/>
                <w:sz w:val="24"/>
                <w:szCs w:val="24"/>
                <w:lang w:eastAsia="ru-RU"/>
              </w:rPr>
              <w:lastRenderedPageBreak/>
              <w:t>по местным налогам и сборам</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78,2</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7,6</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rPr>
                <w:rFonts w:ascii="Times New Roman" w:eastAsia="Times New Roman" w:hAnsi="Times New Roman" w:cs="Times New Roman"/>
                <w:sz w:val="24"/>
                <w:szCs w:val="24"/>
                <w:lang w:eastAsia="ru-RU"/>
              </w:rPr>
            </w:pPr>
            <w:r w:rsidRPr="00735180">
              <w:rPr>
                <w:rFonts w:ascii="Times New Roman" w:eastAsia="Times New Roman" w:hAnsi="Times New Roman" w:cs="Times New Roman"/>
                <w:bCs/>
                <w:sz w:val="24"/>
                <w:szCs w:val="24"/>
                <w:lang w:eastAsia="ru-RU"/>
              </w:rPr>
              <w:t>по налогам со специальным налоговым режимом</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30.4</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2,9</w:t>
            </w:r>
          </w:p>
        </w:tc>
      </w:tr>
      <w:tr w:rsidR="00C84EC2" w:rsidRPr="00735180" w:rsidTr="00EB3362">
        <w:trPr>
          <w:jc w:val="center"/>
        </w:trPr>
        <w:tc>
          <w:tcPr>
            <w:tcW w:w="0" w:type="auto"/>
            <w:hideMark/>
          </w:tcPr>
          <w:p w:rsidR="00C84EC2" w:rsidRPr="00735180" w:rsidRDefault="00C84EC2" w:rsidP="00735180">
            <w:pPr>
              <w:spacing w:before="100" w:beforeAutospacing="1" w:after="100" w:afterAutospacing="1" w:line="360" w:lineRule="auto"/>
              <w:jc w:val="center"/>
              <w:rPr>
                <w:rFonts w:ascii="Times New Roman" w:eastAsia="Times New Roman" w:hAnsi="Times New Roman" w:cs="Times New Roman"/>
                <w:bCs/>
                <w:sz w:val="24"/>
                <w:szCs w:val="24"/>
                <w:lang w:eastAsia="ru-RU"/>
              </w:rPr>
            </w:pPr>
            <w:r w:rsidRPr="00735180">
              <w:rPr>
                <w:rFonts w:ascii="Times New Roman" w:eastAsia="Times New Roman" w:hAnsi="Times New Roman" w:cs="Times New Roman"/>
                <w:bCs/>
                <w:sz w:val="24"/>
                <w:szCs w:val="24"/>
                <w:lang w:eastAsia="ru-RU"/>
              </w:rPr>
              <w:t>Всего</w:t>
            </w:r>
          </w:p>
        </w:tc>
        <w:tc>
          <w:tcPr>
            <w:tcW w:w="0" w:type="auto"/>
          </w:tcPr>
          <w:p w:rsidR="00C84EC2" w:rsidRPr="00735180" w:rsidRDefault="00C84EC2" w:rsidP="00735180">
            <w:pPr>
              <w:spacing w:line="360" w:lineRule="auto"/>
              <w:ind w:right="113"/>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1 031,7</w:t>
            </w:r>
          </w:p>
        </w:tc>
        <w:tc>
          <w:tcPr>
            <w:tcW w:w="0" w:type="auto"/>
          </w:tcPr>
          <w:p w:rsidR="00C84EC2" w:rsidRPr="00735180" w:rsidRDefault="00C84EC2" w:rsidP="00735180">
            <w:pPr>
              <w:spacing w:line="360" w:lineRule="auto"/>
              <w:ind w:right="227"/>
              <w:jc w:val="right"/>
              <w:rPr>
                <w:rFonts w:ascii="Times New Roman" w:eastAsia="Times New Roman" w:hAnsi="Times New Roman" w:cs="Times New Roman"/>
                <w:sz w:val="24"/>
                <w:szCs w:val="24"/>
                <w:lang w:eastAsia="ru-RU"/>
              </w:rPr>
            </w:pPr>
            <w:r w:rsidRPr="00735180">
              <w:rPr>
                <w:rFonts w:ascii="Times New Roman" w:eastAsia="Times New Roman" w:hAnsi="Times New Roman" w:cs="Times New Roman"/>
                <w:sz w:val="24"/>
                <w:szCs w:val="24"/>
                <w:lang w:eastAsia="ru-RU"/>
              </w:rPr>
              <w:t>100</w:t>
            </w:r>
          </w:p>
        </w:tc>
      </w:tr>
    </w:tbl>
    <w:p w:rsidR="00C84EC2" w:rsidRPr="00735180" w:rsidRDefault="00C84EC2" w:rsidP="00735180">
      <w:pPr>
        <w:pStyle w:val="a5"/>
        <w:tabs>
          <w:tab w:val="left" w:pos="993"/>
        </w:tabs>
        <w:spacing w:line="360" w:lineRule="auto"/>
        <w:ind w:left="0" w:firstLine="709"/>
        <w:jc w:val="both"/>
        <w:rPr>
          <w:rFonts w:ascii="Times New Roman" w:hAnsi="Times New Roman" w:cs="Times New Roman"/>
          <w:sz w:val="24"/>
          <w:szCs w:val="24"/>
        </w:rPr>
      </w:pPr>
    </w:p>
    <w:p w:rsidR="00B7190B" w:rsidRPr="00D21805" w:rsidRDefault="00E45C46" w:rsidP="00735180">
      <w:pPr>
        <w:pStyle w:val="a5"/>
        <w:tabs>
          <w:tab w:val="left" w:pos="993"/>
        </w:tabs>
        <w:spacing w:line="360" w:lineRule="auto"/>
        <w:ind w:left="0" w:firstLine="709"/>
        <w:jc w:val="both"/>
        <w:rPr>
          <w:rFonts w:ascii="Times New Roman" w:hAnsi="Times New Roman" w:cs="Times New Roman"/>
          <w:sz w:val="28"/>
          <w:szCs w:val="24"/>
        </w:rPr>
      </w:pPr>
      <w:r w:rsidRPr="00D21805">
        <w:rPr>
          <w:rFonts w:ascii="Times New Roman" w:hAnsi="Times New Roman" w:cs="Times New Roman"/>
          <w:sz w:val="28"/>
          <w:szCs w:val="24"/>
        </w:rPr>
        <w:t>По данным Счётной палаты в 201</w:t>
      </w:r>
      <w:r w:rsidR="006C04C5" w:rsidRPr="00D21805">
        <w:rPr>
          <w:rFonts w:ascii="Times New Roman" w:hAnsi="Times New Roman" w:cs="Times New Roman"/>
          <w:sz w:val="28"/>
          <w:szCs w:val="24"/>
        </w:rPr>
        <w:t>6</w:t>
      </w:r>
      <w:r w:rsidRPr="00D21805">
        <w:rPr>
          <w:rFonts w:ascii="Times New Roman" w:hAnsi="Times New Roman" w:cs="Times New Roman"/>
          <w:sz w:val="28"/>
          <w:szCs w:val="24"/>
        </w:rPr>
        <w:t xml:space="preserve"> году было выявлено 3 1</w:t>
      </w:r>
      <w:r w:rsidR="006C04C5" w:rsidRPr="00D21805">
        <w:rPr>
          <w:rFonts w:ascii="Times New Roman" w:hAnsi="Times New Roman" w:cs="Times New Roman"/>
          <w:sz w:val="28"/>
          <w:szCs w:val="24"/>
        </w:rPr>
        <w:t>19</w:t>
      </w:r>
      <w:r w:rsidRPr="00D21805">
        <w:rPr>
          <w:rFonts w:ascii="Times New Roman" w:hAnsi="Times New Roman" w:cs="Times New Roman"/>
          <w:sz w:val="28"/>
          <w:szCs w:val="24"/>
        </w:rPr>
        <w:t xml:space="preserve"> фина</w:t>
      </w:r>
      <w:r w:rsidRPr="00D21805">
        <w:rPr>
          <w:rFonts w:ascii="Times New Roman" w:hAnsi="Times New Roman" w:cs="Times New Roman"/>
          <w:sz w:val="28"/>
          <w:szCs w:val="24"/>
        </w:rPr>
        <w:t>н</w:t>
      </w:r>
      <w:r w:rsidRPr="00D21805">
        <w:rPr>
          <w:rFonts w:ascii="Times New Roman" w:hAnsi="Times New Roman" w:cs="Times New Roman"/>
          <w:sz w:val="28"/>
          <w:szCs w:val="24"/>
        </w:rPr>
        <w:t xml:space="preserve">совых нарушений на </w:t>
      </w:r>
      <w:r w:rsidR="006C04C5" w:rsidRPr="00D21805">
        <w:rPr>
          <w:rFonts w:ascii="Times New Roman" w:hAnsi="Times New Roman" w:cs="Times New Roman"/>
          <w:sz w:val="28"/>
          <w:szCs w:val="24"/>
        </w:rPr>
        <w:t>233</w:t>
      </w:r>
      <w:r w:rsidRPr="00D21805">
        <w:rPr>
          <w:rFonts w:ascii="Times New Roman" w:hAnsi="Times New Roman" w:cs="Times New Roman"/>
          <w:sz w:val="28"/>
          <w:szCs w:val="24"/>
        </w:rPr>
        <w:t xml:space="preserve"> милли</w:t>
      </w:r>
      <w:r w:rsidR="006C04C5" w:rsidRPr="00D21805">
        <w:rPr>
          <w:rFonts w:ascii="Times New Roman" w:hAnsi="Times New Roman" w:cs="Times New Roman"/>
          <w:sz w:val="28"/>
          <w:szCs w:val="24"/>
        </w:rPr>
        <w:t>она</w:t>
      </w:r>
      <w:r w:rsidRPr="00D21805">
        <w:rPr>
          <w:rFonts w:ascii="Times New Roman" w:hAnsi="Times New Roman" w:cs="Times New Roman"/>
          <w:sz w:val="28"/>
          <w:szCs w:val="24"/>
        </w:rPr>
        <w:t xml:space="preserve"> рублей, при этом, большую часть – </w:t>
      </w:r>
      <w:r w:rsidR="006C04C5" w:rsidRPr="00D21805">
        <w:rPr>
          <w:rFonts w:ascii="Times New Roman" w:hAnsi="Times New Roman" w:cs="Times New Roman"/>
          <w:sz w:val="28"/>
          <w:szCs w:val="24"/>
        </w:rPr>
        <w:t>74</w:t>
      </w:r>
      <w:r w:rsidRPr="00D21805">
        <w:rPr>
          <w:rFonts w:ascii="Times New Roman" w:hAnsi="Times New Roman" w:cs="Times New Roman"/>
          <w:sz w:val="28"/>
          <w:szCs w:val="24"/>
        </w:rPr>
        <w:t xml:space="preserve">% - составляют нарушения главных администраторов федерального бюджета и подведомственных им организаций, а доля прочих организаций с государственным участием соответственно равна </w:t>
      </w:r>
      <w:r w:rsidR="00B752A5" w:rsidRPr="00D21805">
        <w:rPr>
          <w:rFonts w:ascii="Times New Roman" w:hAnsi="Times New Roman" w:cs="Times New Roman"/>
          <w:sz w:val="28"/>
          <w:szCs w:val="24"/>
        </w:rPr>
        <w:t>26</w:t>
      </w:r>
      <w:r w:rsidRPr="00D21805">
        <w:rPr>
          <w:rFonts w:ascii="Times New Roman" w:hAnsi="Times New Roman" w:cs="Times New Roman"/>
          <w:sz w:val="28"/>
          <w:szCs w:val="24"/>
        </w:rPr>
        <w:t xml:space="preserve">%. </w:t>
      </w:r>
    </w:p>
    <w:p w:rsidR="00E45C46" w:rsidRPr="00D21805" w:rsidRDefault="00EE4F01" w:rsidP="00735180">
      <w:pPr>
        <w:pStyle w:val="a5"/>
        <w:tabs>
          <w:tab w:val="left" w:pos="993"/>
        </w:tabs>
        <w:spacing w:line="360" w:lineRule="auto"/>
        <w:ind w:left="0" w:firstLine="709"/>
        <w:jc w:val="both"/>
        <w:rPr>
          <w:rFonts w:ascii="Times New Roman" w:hAnsi="Times New Roman" w:cs="Times New Roman"/>
          <w:sz w:val="28"/>
          <w:szCs w:val="24"/>
        </w:rPr>
      </w:pPr>
      <w:r w:rsidRPr="00D21805">
        <w:rPr>
          <w:rFonts w:ascii="Times New Roman" w:hAnsi="Times New Roman" w:cs="Times New Roman"/>
          <w:sz w:val="28"/>
          <w:szCs w:val="24"/>
        </w:rPr>
        <w:t>Помимо этого,</w:t>
      </w:r>
      <w:r w:rsidR="00E45C46" w:rsidRPr="00D21805">
        <w:rPr>
          <w:rFonts w:ascii="Times New Roman" w:hAnsi="Times New Roman" w:cs="Times New Roman"/>
          <w:sz w:val="28"/>
          <w:szCs w:val="24"/>
        </w:rPr>
        <w:t xml:space="preserve"> показателем, косвенно характеризующим эффекти</w:t>
      </w:r>
      <w:r w:rsidR="00E45C46" w:rsidRPr="00D21805">
        <w:rPr>
          <w:rFonts w:ascii="Times New Roman" w:hAnsi="Times New Roman" w:cs="Times New Roman"/>
          <w:sz w:val="28"/>
          <w:szCs w:val="24"/>
        </w:rPr>
        <w:t>в</w:t>
      </w:r>
      <w:r w:rsidR="00E45C46" w:rsidRPr="00D21805">
        <w:rPr>
          <w:rFonts w:ascii="Times New Roman" w:hAnsi="Times New Roman" w:cs="Times New Roman"/>
          <w:sz w:val="28"/>
          <w:szCs w:val="24"/>
        </w:rPr>
        <w:t xml:space="preserve">ность финансового контроля, является количество юридических лиц – банкротов по итогам отчётного периода. По данным </w:t>
      </w:r>
      <w:r w:rsidR="002E36B8" w:rsidRPr="00D21805">
        <w:rPr>
          <w:rFonts w:ascii="Times New Roman" w:hAnsi="Times New Roman" w:cs="Times New Roman"/>
          <w:sz w:val="28"/>
          <w:szCs w:val="24"/>
        </w:rPr>
        <w:t>Центра макроэкон</w:t>
      </w:r>
      <w:r w:rsidR="002E36B8" w:rsidRPr="00D21805">
        <w:rPr>
          <w:rFonts w:ascii="Times New Roman" w:hAnsi="Times New Roman" w:cs="Times New Roman"/>
          <w:sz w:val="28"/>
          <w:szCs w:val="24"/>
        </w:rPr>
        <w:t>о</w:t>
      </w:r>
      <w:r w:rsidR="002E36B8" w:rsidRPr="00D21805">
        <w:rPr>
          <w:rFonts w:ascii="Times New Roman" w:hAnsi="Times New Roman" w:cs="Times New Roman"/>
          <w:sz w:val="28"/>
          <w:szCs w:val="24"/>
        </w:rPr>
        <w:t>мического анализа и краткосрочного прогнозирования</w:t>
      </w:r>
      <w:r w:rsidR="00E45C46" w:rsidRPr="00D21805">
        <w:rPr>
          <w:rFonts w:ascii="Times New Roman" w:hAnsi="Times New Roman" w:cs="Times New Roman"/>
          <w:sz w:val="28"/>
          <w:szCs w:val="24"/>
        </w:rPr>
        <w:t xml:space="preserve">, представленным на рисунке </w:t>
      </w:r>
      <w:r w:rsidR="00735180" w:rsidRPr="00D21805">
        <w:rPr>
          <w:rFonts w:ascii="Times New Roman" w:hAnsi="Times New Roman" w:cs="Times New Roman"/>
          <w:sz w:val="28"/>
          <w:szCs w:val="24"/>
        </w:rPr>
        <w:t>2</w:t>
      </w:r>
      <w:r w:rsidR="00E45C46" w:rsidRPr="00D21805">
        <w:rPr>
          <w:rFonts w:ascii="Times New Roman" w:hAnsi="Times New Roman" w:cs="Times New Roman"/>
          <w:sz w:val="28"/>
          <w:szCs w:val="24"/>
        </w:rPr>
        <w:t>, за 201</w:t>
      </w:r>
      <w:r w:rsidR="002E36B8" w:rsidRPr="00D21805">
        <w:rPr>
          <w:rFonts w:ascii="Times New Roman" w:hAnsi="Times New Roman" w:cs="Times New Roman"/>
          <w:sz w:val="28"/>
          <w:szCs w:val="24"/>
        </w:rPr>
        <w:t>6</w:t>
      </w:r>
      <w:r w:rsidR="00E45C46" w:rsidRPr="00D21805">
        <w:rPr>
          <w:rFonts w:ascii="Times New Roman" w:hAnsi="Times New Roman" w:cs="Times New Roman"/>
          <w:sz w:val="28"/>
          <w:szCs w:val="24"/>
        </w:rPr>
        <w:t xml:space="preserve"> год обанкротилось </w:t>
      </w:r>
      <w:r w:rsidR="002E36B8" w:rsidRPr="00D21805">
        <w:rPr>
          <w:rFonts w:ascii="Times New Roman" w:hAnsi="Times New Roman" w:cs="Times New Roman"/>
          <w:sz w:val="28"/>
          <w:szCs w:val="24"/>
        </w:rPr>
        <w:t>12 179</w:t>
      </w:r>
      <w:r w:rsidR="00E45C46" w:rsidRPr="00D21805">
        <w:rPr>
          <w:rFonts w:ascii="Times New Roman" w:hAnsi="Times New Roman" w:cs="Times New Roman"/>
          <w:sz w:val="28"/>
          <w:szCs w:val="24"/>
        </w:rPr>
        <w:t xml:space="preserve"> организаций, что </w:t>
      </w:r>
      <w:r w:rsidR="002E36B8" w:rsidRPr="00D21805">
        <w:rPr>
          <w:rFonts w:ascii="Times New Roman" w:hAnsi="Times New Roman" w:cs="Times New Roman"/>
          <w:sz w:val="28"/>
          <w:szCs w:val="24"/>
        </w:rPr>
        <w:t>меньше</w:t>
      </w:r>
      <w:r w:rsidR="00E45C46" w:rsidRPr="00D21805">
        <w:rPr>
          <w:rFonts w:ascii="Times New Roman" w:hAnsi="Times New Roman" w:cs="Times New Roman"/>
          <w:sz w:val="28"/>
          <w:szCs w:val="24"/>
        </w:rPr>
        <w:t xml:space="preserve"> уровн</w:t>
      </w:r>
      <w:r w:rsidR="002E36B8" w:rsidRPr="00D21805">
        <w:rPr>
          <w:rFonts w:ascii="Times New Roman" w:hAnsi="Times New Roman" w:cs="Times New Roman"/>
          <w:sz w:val="28"/>
          <w:szCs w:val="24"/>
        </w:rPr>
        <w:t>я</w:t>
      </w:r>
      <w:r w:rsidR="00E45C46" w:rsidRPr="00D21805">
        <w:rPr>
          <w:rFonts w:ascii="Times New Roman" w:hAnsi="Times New Roman" w:cs="Times New Roman"/>
          <w:sz w:val="28"/>
          <w:szCs w:val="24"/>
        </w:rPr>
        <w:t xml:space="preserve"> 201</w:t>
      </w:r>
      <w:r w:rsidR="002E36B8" w:rsidRPr="00D21805">
        <w:rPr>
          <w:rFonts w:ascii="Times New Roman" w:hAnsi="Times New Roman" w:cs="Times New Roman"/>
          <w:sz w:val="28"/>
          <w:szCs w:val="24"/>
        </w:rPr>
        <w:t>5</w:t>
      </w:r>
      <w:r w:rsidR="00E45C46" w:rsidRPr="00D21805">
        <w:rPr>
          <w:rFonts w:ascii="Times New Roman" w:hAnsi="Times New Roman" w:cs="Times New Roman"/>
          <w:sz w:val="28"/>
          <w:szCs w:val="24"/>
        </w:rPr>
        <w:t xml:space="preserve"> года </w:t>
      </w:r>
      <w:r w:rsidR="002E36B8" w:rsidRPr="00D21805">
        <w:rPr>
          <w:rFonts w:ascii="Times New Roman" w:hAnsi="Times New Roman" w:cs="Times New Roman"/>
          <w:sz w:val="28"/>
          <w:szCs w:val="24"/>
        </w:rPr>
        <w:t xml:space="preserve">всего </w:t>
      </w:r>
      <w:r w:rsidR="00E45C46" w:rsidRPr="00D21805">
        <w:rPr>
          <w:rFonts w:ascii="Times New Roman" w:hAnsi="Times New Roman" w:cs="Times New Roman"/>
          <w:sz w:val="28"/>
          <w:szCs w:val="24"/>
        </w:rPr>
        <w:t xml:space="preserve">на </w:t>
      </w:r>
      <w:r w:rsidR="002E36B8" w:rsidRPr="00D21805">
        <w:rPr>
          <w:rFonts w:ascii="Times New Roman" w:hAnsi="Times New Roman" w:cs="Times New Roman"/>
          <w:sz w:val="28"/>
          <w:szCs w:val="24"/>
        </w:rPr>
        <w:t>3,2</w:t>
      </w:r>
      <w:r w:rsidR="00E45C46" w:rsidRPr="00D21805">
        <w:rPr>
          <w:rFonts w:ascii="Times New Roman" w:hAnsi="Times New Roman" w:cs="Times New Roman"/>
          <w:sz w:val="28"/>
          <w:szCs w:val="24"/>
        </w:rPr>
        <w:t>%</w:t>
      </w:r>
      <w:r w:rsidRPr="00D21805">
        <w:rPr>
          <w:rFonts w:ascii="Times New Roman" w:hAnsi="Times New Roman" w:cs="Times New Roman"/>
          <w:sz w:val="28"/>
          <w:szCs w:val="24"/>
        </w:rPr>
        <w:t>.</w:t>
      </w:r>
    </w:p>
    <w:p w:rsidR="00E607A6" w:rsidRPr="00735180" w:rsidRDefault="00E607A6" w:rsidP="00DD365B">
      <w:pPr>
        <w:keepNext/>
        <w:spacing w:line="360" w:lineRule="auto"/>
        <w:jc w:val="center"/>
        <w:rPr>
          <w:rFonts w:ascii="Times New Roman" w:hAnsi="Times New Roman" w:cs="Times New Roman"/>
          <w:sz w:val="24"/>
          <w:szCs w:val="24"/>
        </w:rPr>
      </w:pPr>
      <w:r w:rsidRPr="00735180">
        <w:rPr>
          <w:rFonts w:ascii="Times New Roman" w:hAnsi="Times New Roman" w:cs="Times New Roman"/>
          <w:noProof/>
          <w:sz w:val="24"/>
          <w:szCs w:val="24"/>
          <w:lang w:eastAsia="ru-RU"/>
        </w:rPr>
        <w:drawing>
          <wp:inline distT="0" distB="0" distL="0" distR="0" wp14:anchorId="724D6F41" wp14:editId="1FB1F4A5">
            <wp:extent cx="5582093" cy="2307265"/>
            <wp:effectExtent l="0" t="0" r="19050" b="1714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07A6" w:rsidRPr="00D21805" w:rsidRDefault="00E607A6" w:rsidP="00735180">
      <w:pPr>
        <w:pStyle w:val="a5"/>
        <w:tabs>
          <w:tab w:val="left" w:pos="993"/>
        </w:tabs>
        <w:spacing w:line="360" w:lineRule="auto"/>
        <w:ind w:left="0"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Рисунок </w:t>
      </w:r>
      <w:r w:rsidR="00735180" w:rsidRPr="00D21805">
        <w:rPr>
          <w:rFonts w:ascii="Times New Roman" w:hAnsi="Times New Roman" w:cs="Times New Roman"/>
          <w:sz w:val="28"/>
          <w:szCs w:val="24"/>
        </w:rPr>
        <w:t>2</w:t>
      </w:r>
      <w:r w:rsidRPr="00D21805">
        <w:rPr>
          <w:rFonts w:ascii="Times New Roman" w:hAnsi="Times New Roman" w:cs="Times New Roman"/>
          <w:sz w:val="28"/>
          <w:szCs w:val="24"/>
        </w:rPr>
        <w:t xml:space="preserve"> – Динамика количества обанкротившихся организаций в РФ за 2012 - 2015 гг.</w:t>
      </w: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Очевидно, что данные статистики не вполне удовлетворительны. Это является прямым отражением того, что на сегодняшний день на многих предприятиях </w:t>
      </w:r>
      <w:r w:rsidR="00694328" w:rsidRPr="00D21805">
        <w:rPr>
          <w:rFonts w:ascii="Times New Roman" w:hAnsi="Times New Roman" w:cs="Times New Roman"/>
          <w:sz w:val="28"/>
          <w:szCs w:val="24"/>
        </w:rPr>
        <w:t>ВФК</w:t>
      </w:r>
      <w:r w:rsidRPr="00D21805">
        <w:rPr>
          <w:rFonts w:ascii="Times New Roman" w:hAnsi="Times New Roman" w:cs="Times New Roman"/>
          <w:sz w:val="28"/>
          <w:szCs w:val="24"/>
        </w:rPr>
        <w:t xml:space="preserve"> не организован как система, а существует мозаично. В некоторых случаях даже при наличии положения о системе внутрифи</w:t>
      </w:r>
      <w:r w:rsidRPr="00D21805">
        <w:rPr>
          <w:rFonts w:ascii="Times New Roman" w:hAnsi="Times New Roman" w:cs="Times New Roman"/>
          <w:sz w:val="28"/>
          <w:szCs w:val="24"/>
        </w:rPr>
        <w:t>р</w:t>
      </w:r>
      <w:r w:rsidRPr="00D21805">
        <w:rPr>
          <w:rFonts w:ascii="Times New Roman" w:hAnsi="Times New Roman" w:cs="Times New Roman"/>
          <w:sz w:val="28"/>
          <w:szCs w:val="24"/>
        </w:rPr>
        <w:t xml:space="preserve">менного контроля не регламентированы, либо недостаточно определены </w:t>
      </w:r>
      <w:r w:rsidRPr="00D21805">
        <w:rPr>
          <w:rFonts w:ascii="Times New Roman" w:hAnsi="Times New Roman" w:cs="Times New Roman"/>
          <w:sz w:val="28"/>
          <w:szCs w:val="24"/>
        </w:rPr>
        <w:lastRenderedPageBreak/>
        <w:t>контрольные процедуры, а также отсутствует и периодический монит</w:t>
      </w:r>
      <w:r w:rsidRPr="00D21805">
        <w:rPr>
          <w:rFonts w:ascii="Times New Roman" w:hAnsi="Times New Roman" w:cs="Times New Roman"/>
          <w:sz w:val="28"/>
          <w:szCs w:val="24"/>
        </w:rPr>
        <w:t>о</w:t>
      </w:r>
      <w:r w:rsidRPr="00D21805">
        <w:rPr>
          <w:rFonts w:ascii="Times New Roman" w:hAnsi="Times New Roman" w:cs="Times New Roman"/>
          <w:sz w:val="28"/>
          <w:szCs w:val="24"/>
        </w:rPr>
        <w:t>ринг системы внутрифирменного контроля.</w:t>
      </w:r>
    </w:p>
    <w:p w:rsidR="00E45C46" w:rsidRPr="00D21805" w:rsidRDefault="00E45C46" w:rsidP="00735180">
      <w:pPr>
        <w:pStyle w:val="a5"/>
        <w:tabs>
          <w:tab w:val="left" w:pos="993"/>
        </w:tabs>
        <w:spacing w:line="360" w:lineRule="auto"/>
        <w:ind w:left="0" w:firstLine="709"/>
        <w:jc w:val="both"/>
        <w:rPr>
          <w:rFonts w:ascii="Times New Roman" w:hAnsi="Times New Roman" w:cs="Times New Roman"/>
          <w:sz w:val="28"/>
          <w:szCs w:val="24"/>
        </w:rPr>
      </w:pPr>
      <w:r w:rsidRPr="00D21805">
        <w:rPr>
          <w:rFonts w:ascii="Times New Roman" w:hAnsi="Times New Roman" w:cs="Times New Roman"/>
          <w:sz w:val="28"/>
          <w:szCs w:val="24"/>
        </w:rPr>
        <w:t>Таким образом, ввиду быстро меняющихся приоритетов и волатил</w:t>
      </w:r>
      <w:r w:rsidRPr="00D21805">
        <w:rPr>
          <w:rFonts w:ascii="Times New Roman" w:hAnsi="Times New Roman" w:cs="Times New Roman"/>
          <w:sz w:val="28"/>
          <w:szCs w:val="24"/>
        </w:rPr>
        <w:t>ь</w:t>
      </w:r>
      <w:r w:rsidRPr="00D21805">
        <w:rPr>
          <w:rFonts w:ascii="Times New Roman" w:hAnsi="Times New Roman" w:cs="Times New Roman"/>
          <w:sz w:val="28"/>
          <w:szCs w:val="24"/>
        </w:rPr>
        <w:t>ности</w:t>
      </w:r>
      <w:r w:rsidR="00DB4F47" w:rsidRPr="00D21805">
        <w:rPr>
          <w:rFonts w:ascii="Times New Roman" w:hAnsi="Times New Roman" w:cs="Times New Roman"/>
          <w:sz w:val="28"/>
          <w:szCs w:val="24"/>
        </w:rPr>
        <w:t xml:space="preserve"> </w:t>
      </w:r>
      <w:r w:rsidRPr="00D21805">
        <w:rPr>
          <w:rFonts w:ascii="Times New Roman" w:hAnsi="Times New Roman" w:cs="Times New Roman"/>
          <w:sz w:val="28"/>
          <w:szCs w:val="24"/>
        </w:rPr>
        <w:t xml:space="preserve">экономики можно предполагать, что </w:t>
      </w:r>
      <w:r w:rsidR="00694328" w:rsidRPr="00D21805">
        <w:rPr>
          <w:rFonts w:ascii="Times New Roman" w:hAnsi="Times New Roman" w:cs="Times New Roman"/>
          <w:sz w:val="28"/>
          <w:szCs w:val="24"/>
        </w:rPr>
        <w:t>ВФК</w:t>
      </w:r>
      <w:r w:rsidRPr="00D21805">
        <w:rPr>
          <w:rFonts w:ascii="Times New Roman" w:hAnsi="Times New Roman" w:cs="Times New Roman"/>
          <w:sz w:val="28"/>
          <w:szCs w:val="24"/>
        </w:rPr>
        <w:t xml:space="preserve"> в России превратится в комплексную отлаженную систему лишь в отдалённом будущем. Однако в данном вопросе стоит равняться на положительный пример западных ко</w:t>
      </w:r>
      <w:r w:rsidRPr="00D21805">
        <w:rPr>
          <w:rFonts w:ascii="Times New Roman" w:hAnsi="Times New Roman" w:cs="Times New Roman"/>
          <w:sz w:val="28"/>
          <w:szCs w:val="24"/>
        </w:rPr>
        <w:t>м</w:t>
      </w:r>
      <w:r w:rsidRPr="00D21805">
        <w:rPr>
          <w:rFonts w:ascii="Times New Roman" w:hAnsi="Times New Roman" w:cs="Times New Roman"/>
          <w:sz w:val="28"/>
          <w:szCs w:val="24"/>
        </w:rPr>
        <w:t>паний, а первым шагом на пути к данному ориентиру должны стать разр</w:t>
      </w:r>
      <w:r w:rsidRPr="00D21805">
        <w:rPr>
          <w:rFonts w:ascii="Times New Roman" w:hAnsi="Times New Roman" w:cs="Times New Roman"/>
          <w:sz w:val="28"/>
          <w:szCs w:val="24"/>
        </w:rPr>
        <w:t>а</w:t>
      </w:r>
      <w:r w:rsidRPr="00D21805">
        <w:rPr>
          <w:rFonts w:ascii="Times New Roman" w:hAnsi="Times New Roman" w:cs="Times New Roman"/>
          <w:sz w:val="28"/>
          <w:szCs w:val="24"/>
        </w:rPr>
        <w:t>ботка и принятие нормативно-правового акта федерального уровня, регл</w:t>
      </w:r>
      <w:r w:rsidRPr="00D21805">
        <w:rPr>
          <w:rFonts w:ascii="Times New Roman" w:hAnsi="Times New Roman" w:cs="Times New Roman"/>
          <w:sz w:val="28"/>
          <w:szCs w:val="24"/>
        </w:rPr>
        <w:t>а</w:t>
      </w:r>
      <w:r w:rsidRPr="00D21805">
        <w:rPr>
          <w:rFonts w:ascii="Times New Roman" w:hAnsi="Times New Roman" w:cs="Times New Roman"/>
          <w:sz w:val="28"/>
          <w:szCs w:val="24"/>
        </w:rPr>
        <w:t>ментирующего финансовый контроль в организациях.</w:t>
      </w:r>
      <w:r w:rsidR="00694328" w:rsidRPr="00D21805">
        <w:rPr>
          <w:rFonts w:ascii="Times New Roman" w:hAnsi="Times New Roman" w:cs="Times New Roman"/>
          <w:sz w:val="28"/>
          <w:szCs w:val="24"/>
        </w:rPr>
        <w:t xml:space="preserve"> В свою очередь компании энергетического сектора экономики подвержены пристальному вниманию, как со стороны российских  регуляторов, так и со стороны международных экспертов в связи, с чем  вопрос  оценки эффективности  внутреннего финансового контроля в таких организациях стоит особенно остро.</w:t>
      </w:r>
    </w:p>
    <w:p w:rsidR="001C3B9C" w:rsidRPr="00D21805" w:rsidRDefault="001C3B9C" w:rsidP="00735180">
      <w:pPr>
        <w:pStyle w:val="a5"/>
        <w:tabs>
          <w:tab w:val="left" w:pos="993"/>
        </w:tabs>
        <w:spacing w:line="360" w:lineRule="auto"/>
        <w:ind w:left="0" w:firstLine="709"/>
        <w:jc w:val="both"/>
        <w:rPr>
          <w:rFonts w:ascii="Times New Roman" w:hAnsi="Times New Roman" w:cs="Times New Roman"/>
          <w:b/>
          <w:sz w:val="28"/>
          <w:szCs w:val="24"/>
        </w:rPr>
      </w:pPr>
      <w:r w:rsidRPr="00D21805">
        <w:rPr>
          <w:rFonts w:ascii="Times New Roman" w:hAnsi="Times New Roman" w:cs="Times New Roman"/>
          <w:b/>
          <w:sz w:val="28"/>
          <w:szCs w:val="24"/>
        </w:rPr>
        <w:t>Основные процедуры и способы финансового контроля в комп</w:t>
      </w:r>
      <w:r w:rsidRPr="00D21805">
        <w:rPr>
          <w:rFonts w:ascii="Times New Roman" w:hAnsi="Times New Roman" w:cs="Times New Roman"/>
          <w:b/>
          <w:sz w:val="28"/>
          <w:szCs w:val="24"/>
        </w:rPr>
        <w:t>а</w:t>
      </w:r>
      <w:r w:rsidRPr="00D21805">
        <w:rPr>
          <w:rFonts w:ascii="Times New Roman" w:hAnsi="Times New Roman" w:cs="Times New Roman"/>
          <w:b/>
          <w:sz w:val="28"/>
          <w:szCs w:val="24"/>
        </w:rPr>
        <w:t>ниях энергетического сектора РФ</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 результатам изучения и анализа годовых отчётов, ежеквартальных отчётов эмитента, внутренних документов крупных энергетических ко</w:t>
      </w:r>
      <w:r w:rsidRPr="00D21805">
        <w:rPr>
          <w:rFonts w:ascii="Times New Roman" w:eastAsia="PFDinTextCompPro-Light" w:hAnsi="Times New Roman" w:cs="Times New Roman"/>
          <w:color w:val="000000"/>
          <w:sz w:val="28"/>
          <w:szCs w:val="24"/>
        </w:rPr>
        <w:t>м</w:t>
      </w:r>
      <w:r w:rsidRPr="00D21805">
        <w:rPr>
          <w:rFonts w:ascii="Times New Roman" w:eastAsia="PFDinTextCompPro-Light" w:hAnsi="Times New Roman" w:cs="Times New Roman"/>
          <w:color w:val="000000"/>
          <w:sz w:val="28"/>
          <w:szCs w:val="24"/>
        </w:rPr>
        <w:t>паний РФ нами были сделаны следующие выводы:</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 xml:space="preserve">- в большинстве  компаний </w:t>
      </w:r>
      <w:r w:rsidR="00FC3FDC" w:rsidRPr="00D21805">
        <w:rPr>
          <w:rFonts w:ascii="Times New Roman" w:eastAsia="PFDinTextCompPro-Light" w:hAnsi="Times New Roman" w:cs="Times New Roman"/>
          <w:color w:val="000000"/>
          <w:sz w:val="28"/>
          <w:szCs w:val="24"/>
        </w:rPr>
        <w:t xml:space="preserve">энергетического  сектора </w:t>
      </w:r>
      <w:r w:rsidRPr="00D21805">
        <w:rPr>
          <w:rFonts w:ascii="Times New Roman" w:eastAsia="PFDinTextCompPro-Light" w:hAnsi="Times New Roman" w:cs="Times New Roman"/>
          <w:color w:val="000000"/>
          <w:sz w:val="28"/>
          <w:szCs w:val="24"/>
        </w:rPr>
        <w:t>система ко</w:t>
      </w:r>
      <w:r w:rsidRPr="00D21805">
        <w:rPr>
          <w:rFonts w:ascii="Times New Roman" w:eastAsia="PFDinTextCompPro-Light" w:hAnsi="Times New Roman" w:cs="Times New Roman"/>
          <w:color w:val="000000"/>
          <w:sz w:val="28"/>
          <w:szCs w:val="24"/>
        </w:rPr>
        <w:t>н</w:t>
      </w:r>
      <w:r w:rsidRPr="00D21805">
        <w:rPr>
          <w:rFonts w:ascii="Times New Roman" w:eastAsia="PFDinTextCompPro-Light" w:hAnsi="Times New Roman" w:cs="Times New Roman"/>
          <w:color w:val="000000"/>
          <w:sz w:val="28"/>
          <w:szCs w:val="24"/>
        </w:rPr>
        <w:t>троля финансово-хозяйственной деятельности общества</w:t>
      </w:r>
      <w:r w:rsidR="00FC3FDC" w:rsidRPr="00D21805">
        <w:rPr>
          <w:rFonts w:ascii="Times New Roman" w:eastAsia="PFDinTextCompPro-Light" w:hAnsi="Times New Roman" w:cs="Times New Roman"/>
          <w:color w:val="000000"/>
          <w:sz w:val="28"/>
          <w:szCs w:val="24"/>
        </w:rPr>
        <w:t xml:space="preserve"> присутствует в том или ином виде</w:t>
      </w:r>
      <w:r w:rsidR="00EB302E" w:rsidRPr="00D21805">
        <w:rPr>
          <w:rFonts w:ascii="Times New Roman" w:eastAsia="PFDinTextCompPro-Light" w:hAnsi="Times New Roman" w:cs="Times New Roman"/>
          <w:color w:val="000000"/>
          <w:sz w:val="28"/>
          <w:szCs w:val="24"/>
        </w:rPr>
        <w:t>. Основное направление системы - организация</w:t>
      </w:r>
      <w:r w:rsidRPr="00D21805">
        <w:rPr>
          <w:rFonts w:ascii="Times New Roman" w:eastAsia="PFDinTextCompPro-Light" w:hAnsi="Times New Roman" w:cs="Times New Roman"/>
          <w:color w:val="000000"/>
          <w:sz w:val="28"/>
          <w:szCs w:val="24"/>
        </w:rPr>
        <w:t xml:space="preserve"> слаже</w:t>
      </w:r>
      <w:r w:rsidRPr="00D21805">
        <w:rPr>
          <w:rFonts w:ascii="Times New Roman" w:eastAsia="PFDinTextCompPro-Light" w:hAnsi="Times New Roman" w:cs="Times New Roman"/>
          <w:color w:val="000000"/>
          <w:sz w:val="28"/>
          <w:szCs w:val="24"/>
        </w:rPr>
        <w:t>н</w:t>
      </w:r>
      <w:r w:rsidRPr="00D21805">
        <w:rPr>
          <w:rFonts w:ascii="Times New Roman" w:eastAsia="PFDinTextCompPro-Light" w:hAnsi="Times New Roman" w:cs="Times New Roman"/>
          <w:color w:val="000000"/>
          <w:sz w:val="28"/>
          <w:szCs w:val="24"/>
        </w:rPr>
        <w:t>но</w:t>
      </w:r>
      <w:r w:rsidR="00EB302E" w:rsidRPr="00D21805">
        <w:rPr>
          <w:rFonts w:ascii="Times New Roman" w:eastAsia="PFDinTextCompPro-Light" w:hAnsi="Times New Roman" w:cs="Times New Roman"/>
          <w:color w:val="000000"/>
          <w:sz w:val="28"/>
          <w:szCs w:val="24"/>
        </w:rPr>
        <w:t>го</w:t>
      </w:r>
      <w:r w:rsidRPr="00D21805">
        <w:rPr>
          <w:rFonts w:ascii="Times New Roman" w:eastAsia="PFDinTextCompPro-Light" w:hAnsi="Times New Roman" w:cs="Times New Roman"/>
          <w:color w:val="000000"/>
          <w:sz w:val="28"/>
          <w:szCs w:val="24"/>
        </w:rPr>
        <w:t xml:space="preserve"> взаимодействи</w:t>
      </w:r>
      <w:r w:rsidR="00EB302E" w:rsidRPr="00D21805">
        <w:rPr>
          <w:rFonts w:ascii="Times New Roman" w:eastAsia="PFDinTextCompPro-Light" w:hAnsi="Times New Roman" w:cs="Times New Roman"/>
          <w:color w:val="000000"/>
          <w:sz w:val="28"/>
          <w:szCs w:val="24"/>
        </w:rPr>
        <w:t>я</w:t>
      </w:r>
      <w:r w:rsidRPr="00D21805">
        <w:rPr>
          <w:rFonts w:ascii="Times New Roman" w:eastAsia="PFDinTextCompPro-Light" w:hAnsi="Times New Roman" w:cs="Times New Roman"/>
          <w:color w:val="000000"/>
          <w:sz w:val="28"/>
          <w:szCs w:val="24"/>
        </w:rPr>
        <w:t xml:space="preserve"> между внутренними органами управления компании и субъектами, осуществляющими внешний контроль. </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Основополагающие аспекты системы контроля, в том числе, и фина</w:t>
      </w:r>
      <w:r w:rsidRPr="00D21805">
        <w:rPr>
          <w:rFonts w:ascii="Times New Roman" w:eastAsia="PFDinTextCompPro-Light" w:hAnsi="Times New Roman" w:cs="Times New Roman"/>
          <w:color w:val="000000"/>
          <w:sz w:val="28"/>
          <w:szCs w:val="24"/>
        </w:rPr>
        <w:t>н</w:t>
      </w:r>
      <w:r w:rsidRPr="00D21805">
        <w:rPr>
          <w:rFonts w:ascii="Times New Roman" w:eastAsia="PFDinTextCompPro-Light" w:hAnsi="Times New Roman" w:cs="Times New Roman"/>
          <w:color w:val="000000"/>
          <w:sz w:val="28"/>
          <w:szCs w:val="24"/>
        </w:rPr>
        <w:t xml:space="preserve">сового, </w:t>
      </w:r>
      <w:r w:rsidR="00EB302E" w:rsidRPr="00D21805">
        <w:rPr>
          <w:rFonts w:ascii="Times New Roman" w:eastAsia="PFDinTextCompPro-Light" w:hAnsi="Times New Roman" w:cs="Times New Roman"/>
          <w:color w:val="000000"/>
          <w:sz w:val="28"/>
          <w:szCs w:val="24"/>
        </w:rPr>
        <w:t>определены в таких документах компании, как:</w:t>
      </w:r>
    </w:p>
    <w:p w:rsidR="00705A72" w:rsidRPr="00D21805" w:rsidRDefault="00EB302E" w:rsidP="00735180">
      <w:pPr>
        <w:numPr>
          <w:ilvl w:val="0"/>
          <w:numId w:val="9"/>
        </w:numPr>
        <w:autoSpaceDE w:val="0"/>
        <w:autoSpaceDN w:val="0"/>
        <w:adjustRightInd w:val="0"/>
        <w:spacing w:after="200" w:line="360" w:lineRule="auto"/>
        <w:ind w:firstLine="567"/>
        <w:contextualSpacing/>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политика в области внутреннего контроля и управления риск</w:t>
      </w:r>
      <w:r w:rsidRPr="00D21805">
        <w:rPr>
          <w:rFonts w:ascii="Times New Roman" w:eastAsia="PFDinTextCompPro-Light" w:hAnsi="Times New Roman" w:cs="Times New Roman"/>
          <w:color w:val="000000"/>
          <w:sz w:val="28"/>
          <w:szCs w:val="24"/>
        </w:rPr>
        <w:t>а</w:t>
      </w:r>
      <w:r w:rsidRPr="00D21805">
        <w:rPr>
          <w:rFonts w:ascii="Times New Roman" w:eastAsia="PFDinTextCompPro-Light" w:hAnsi="Times New Roman" w:cs="Times New Roman"/>
          <w:color w:val="000000"/>
          <w:sz w:val="28"/>
          <w:szCs w:val="24"/>
        </w:rPr>
        <w:t>ми;</w:t>
      </w:r>
    </w:p>
    <w:p w:rsidR="00705A72" w:rsidRPr="00D21805" w:rsidRDefault="00EB302E" w:rsidP="00735180">
      <w:pPr>
        <w:numPr>
          <w:ilvl w:val="0"/>
          <w:numId w:val="9"/>
        </w:numPr>
        <w:autoSpaceDE w:val="0"/>
        <w:autoSpaceDN w:val="0"/>
        <w:adjustRightInd w:val="0"/>
        <w:spacing w:after="200" w:line="360" w:lineRule="auto"/>
        <w:ind w:firstLine="567"/>
        <w:contextualSpacing/>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политика в области внутреннего аудита;</w:t>
      </w:r>
    </w:p>
    <w:p w:rsidR="00705A72" w:rsidRPr="00D21805" w:rsidRDefault="00EB302E" w:rsidP="00735180">
      <w:pPr>
        <w:numPr>
          <w:ilvl w:val="0"/>
          <w:numId w:val="9"/>
        </w:numPr>
        <w:autoSpaceDE w:val="0"/>
        <w:autoSpaceDN w:val="0"/>
        <w:adjustRightInd w:val="0"/>
        <w:spacing w:after="200" w:line="360" w:lineRule="auto"/>
        <w:ind w:firstLine="567"/>
        <w:contextualSpacing/>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положение о комитете по аудиту при совете директоров;</w:t>
      </w:r>
    </w:p>
    <w:p w:rsidR="00705A72" w:rsidRPr="00D21805" w:rsidRDefault="00EB302E" w:rsidP="00735180">
      <w:pPr>
        <w:numPr>
          <w:ilvl w:val="0"/>
          <w:numId w:val="9"/>
        </w:numPr>
        <w:autoSpaceDE w:val="0"/>
        <w:autoSpaceDN w:val="0"/>
        <w:adjustRightInd w:val="0"/>
        <w:spacing w:after="200" w:line="360" w:lineRule="auto"/>
        <w:ind w:firstLine="567"/>
        <w:contextualSpacing/>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lastRenderedPageBreak/>
        <w:t xml:space="preserve">положение о ревизионной комиссии </w:t>
      </w:r>
    </w:p>
    <w:p w:rsidR="00705A72" w:rsidRPr="00D21805" w:rsidRDefault="00EB302E" w:rsidP="00735180">
      <w:pPr>
        <w:numPr>
          <w:ilvl w:val="0"/>
          <w:numId w:val="9"/>
        </w:numPr>
        <w:autoSpaceDE w:val="0"/>
        <w:autoSpaceDN w:val="0"/>
        <w:adjustRightInd w:val="0"/>
        <w:spacing w:after="200" w:line="360" w:lineRule="auto"/>
        <w:ind w:firstLine="567"/>
        <w:contextualSpacing/>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 xml:space="preserve">кодекс корпоративного управления (в случае с ПАО). </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Также в компаниях представлен  ряд внутренних нормативных актов в области функционирования среды контроля: например   антикоррупцио</w:t>
      </w:r>
      <w:r w:rsidRPr="00D21805">
        <w:rPr>
          <w:rFonts w:ascii="Times New Roman" w:eastAsia="PFDinTextCompPro-Light" w:hAnsi="Times New Roman" w:cs="Times New Roman"/>
          <w:sz w:val="28"/>
          <w:szCs w:val="24"/>
        </w:rPr>
        <w:t>н</w:t>
      </w:r>
      <w:r w:rsidRPr="00D21805">
        <w:rPr>
          <w:rFonts w:ascii="Times New Roman" w:eastAsia="PFDinTextCompPro-Light" w:hAnsi="Times New Roman" w:cs="Times New Roman"/>
          <w:sz w:val="28"/>
          <w:szCs w:val="24"/>
        </w:rPr>
        <w:t>ная политика по реализации комплексной программы антикоррупционной деятельности, реализована  «линия доверия» в формате информирования о коррупционных правонарушениях и мошенничестве, нарушении требов</w:t>
      </w:r>
      <w:r w:rsidRPr="00D21805">
        <w:rPr>
          <w:rFonts w:ascii="Times New Roman" w:eastAsia="PFDinTextCompPro-Light" w:hAnsi="Times New Roman" w:cs="Times New Roman"/>
          <w:sz w:val="28"/>
          <w:szCs w:val="24"/>
        </w:rPr>
        <w:t>а</w:t>
      </w:r>
      <w:r w:rsidRPr="00D21805">
        <w:rPr>
          <w:rFonts w:ascii="Times New Roman" w:eastAsia="PFDinTextCompPro-Light" w:hAnsi="Times New Roman" w:cs="Times New Roman"/>
          <w:sz w:val="28"/>
          <w:szCs w:val="24"/>
        </w:rPr>
        <w:t>ний этики и общепринятых норм поведения со стороны сотрудников.</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color w:val="000000"/>
          <w:sz w:val="28"/>
          <w:szCs w:val="24"/>
        </w:rPr>
        <w:t xml:space="preserve">К органам, участвующим в реализации </w:t>
      </w:r>
      <w:r w:rsidR="00694328" w:rsidRPr="00D21805">
        <w:rPr>
          <w:rFonts w:ascii="Times New Roman" w:eastAsia="PFDinTextCompPro-Light" w:hAnsi="Times New Roman" w:cs="Times New Roman"/>
          <w:color w:val="000000"/>
          <w:sz w:val="28"/>
          <w:szCs w:val="24"/>
        </w:rPr>
        <w:t>ВФК</w:t>
      </w:r>
      <w:r w:rsidRPr="00D21805">
        <w:rPr>
          <w:rFonts w:ascii="Times New Roman" w:eastAsia="PFDinTextCompPro-Light" w:hAnsi="Times New Roman" w:cs="Times New Roman"/>
          <w:color w:val="000000"/>
          <w:sz w:val="28"/>
          <w:szCs w:val="24"/>
        </w:rPr>
        <w:t xml:space="preserve"> общества относятся</w:t>
      </w:r>
      <w:r w:rsidR="00694328" w:rsidRPr="00D21805">
        <w:rPr>
          <w:rFonts w:ascii="Times New Roman" w:eastAsia="PFDinTextCompPro-Light" w:hAnsi="Times New Roman" w:cs="Times New Roman"/>
          <w:color w:val="000000"/>
          <w:sz w:val="28"/>
          <w:szCs w:val="24"/>
        </w:rPr>
        <w:t xml:space="preserve"> к</w:t>
      </w:r>
      <w:r w:rsidR="00694328" w:rsidRPr="00D21805">
        <w:rPr>
          <w:rFonts w:ascii="Times New Roman" w:eastAsia="PFDinTextCompPro-Light" w:hAnsi="Times New Roman" w:cs="Times New Roman"/>
          <w:color w:val="000000"/>
          <w:sz w:val="28"/>
          <w:szCs w:val="24"/>
        </w:rPr>
        <w:t>о</w:t>
      </w:r>
      <w:r w:rsidR="00694328" w:rsidRPr="00D21805">
        <w:rPr>
          <w:rFonts w:ascii="Times New Roman" w:eastAsia="PFDinTextCompPro-Light" w:hAnsi="Times New Roman" w:cs="Times New Roman"/>
          <w:color w:val="000000"/>
          <w:sz w:val="28"/>
          <w:szCs w:val="24"/>
        </w:rPr>
        <w:t>митет</w:t>
      </w:r>
      <w:r w:rsidRPr="00D21805">
        <w:rPr>
          <w:rFonts w:ascii="Times New Roman" w:eastAsia="PFDinTextCompPro-Light" w:hAnsi="Times New Roman" w:cs="Times New Roman"/>
          <w:color w:val="000000"/>
          <w:sz w:val="28"/>
          <w:szCs w:val="24"/>
        </w:rPr>
        <w:t xml:space="preserve"> по аудиту, </w:t>
      </w:r>
      <w:r w:rsidR="00694328" w:rsidRPr="00D21805">
        <w:rPr>
          <w:rFonts w:ascii="Times New Roman" w:eastAsia="PFDinTextCompPro-Light" w:hAnsi="Times New Roman" w:cs="Times New Roman"/>
          <w:color w:val="000000"/>
          <w:sz w:val="28"/>
          <w:szCs w:val="24"/>
        </w:rPr>
        <w:t>р</w:t>
      </w:r>
      <w:r w:rsidRPr="00D21805">
        <w:rPr>
          <w:rFonts w:ascii="Times New Roman" w:eastAsia="PFDinTextCompPro-Light" w:hAnsi="Times New Roman" w:cs="Times New Roman"/>
          <w:color w:val="000000"/>
          <w:sz w:val="28"/>
          <w:szCs w:val="24"/>
        </w:rPr>
        <w:t xml:space="preserve">евизионная комиссия, </w:t>
      </w:r>
      <w:r w:rsidR="00694328" w:rsidRPr="00D21805">
        <w:rPr>
          <w:rFonts w:ascii="Times New Roman" w:eastAsia="PFDinTextCompPro-Light" w:hAnsi="Times New Roman" w:cs="Times New Roman"/>
          <w:color w:val="000000"/>
          <w:sz w:val="28"/>
          <w:szCs w:val="24"/>
        </w:rPr>
        <w:t xml:space="preserve">служба </w:t>
      </w:r>
      <w:r w:rsidRPr="00D21805">
        <w:rPr>
          <w:rFonts w:ascii="Times New Roman" w:eastAsia="PFDinTextCompPro-Light" w:hAnsi="Times New Roman" w:cs="Times New Roman"/>
          <w:color w:val="000000"/>
          <w:sz w:val="28"/>
          <w:szCs w:val="24"/>
        </w:rPr>
        <w:t xml:space="preserve"> внутреннего аудита, </w:t>
      </w:r>
      <w:r w:rsidRPr="00D21805">
        <w:rPr>
          <w:rFonts w:ascii="Times New Roman" w:eastAsia="PFDinTextCompPro-Light" w:hAnsi="Times New Roman" w:cs="Times New Roman"/>
          <w:sz w:val="28"/>
          <w:szCs w:val="24"/>
        </w:rPr>
        <w:t>Д</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t>партамент контроля и управления рисками.</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В большинстве случаев (82%), функции по построению и усоверше</w:t>
      </w:r>
      <w:r w:rsidRPr="00D21805">
        <w:rPr>
          <w:rFonts w:ascii="Times New Roman" w:eastAsia="PFDinTextCompPro-Light" w:hAnsi="Times New Roman" w:cs="Times New Roman"/>
          <w:sz w:val="28"/>
          <w:szCs w:val="24"/>
        </w:rPr>
        <w:t>н</w:t>
      </w:r>
      <w:r w:rsidRPr="00D21805">
        <w:rPr>
          <w:rFonts w:ascii="Times New Roman" w:eastAsia="PFDinTextCompPro-Light" w:hAnsi="Times New Roman" w:cs="Times New Roman"/>
          <w:sz w:val="28"/>
          <w:szCs w:val="24"/>
        </w:rPr>
        <w:t xml:space="preserve">ствованию системы </w:t>
      </w:r>
      <w:r w:rsidR="00694328" w:rsidRPr="00D21805">
        <w:rPr>
          <w:rFonts w:ascii="Times New Roman" w:eastAsia="PFDinTextCompPro-Light" w:hAnsi="Times New Roman" w:cs="Times New Roman"/>
          <w:sz w:val="28"/>
          <w:szCs w:val="24"/>
        </w:rPr>
        <w:t>ВФК</w:t>
      </w:r>
      <w:r w:rsidRPr="00D21805">
        <w:rPr>
          <w:rFonts w:ascii="Times New Roman" w:eastAsia="PFDinTextCompPro-Light" w:hAnsi="Times New Roman" w:cs="Times New Roman"/>
          <w:sz w:val="28"/>
          <w:szCs w:val="24"/>
        </w:rPr>
        <w:t xml:space="preserve"> возложены на </w:t>
      </w:r>
      <w:r w:rsidR="00EB302E" w:rsidRPr="00D21805">
        <w:rPr>
          <w:rFonts w:ascii="Times New Roman" w:eastAsia="PFDinTextCompPro-Light" w:hAnsi="Times New Roman" w:cs="Times New Roman"/>
          <w:sz w:val="28"/>
          <w:szCs w:val="24"/>
        </w:rPr>
        <w:t>д</w:t>
      </w:r>
      <w:r w:rsidRPr="00D21805">
        <w:rPr>
          <w:rFonts w:ascii="Times New Roman" w:eastAsia="PFDinTextCompPro-Light" w:hAnsi="Times New Roman" w:cs="Times New Roman"/>
          <w:sz w:val="28"/>
          <w:szCs w:val="24"/>
        </w:rPr>
        <w:t>епартамент контроля и управл</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t>ния рисками, среди основных задач которого:</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 организация продуктивной системы управления рисками, внутренн</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t>го контроля, противодействия коррупции в компании;</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 подготовка и контроль исполнения плановых мероприятий по с</w:t>
      </w:r>
      <w:r w:rsidRPr="00D21805">
        <w:rPr>
          <w:rFonts w:ascii="Times New Roman" w:eastAsia="PFDinTextCompPro-Light" w:hAnsi="Times New Roman" w:cs="Times New Roman"/>
          <w:sz w:val="28"/>
          <w:szCs w:val="24"/>
        </w:rPr>
        <w:t>о</w:t>
      </w:r>
      <w:r w:rsidRPr="00D21805">
        <w:rPr>
          <w:rFonts w:ascii="Times New Roman" w:eastAsia="PFDinTextCompPro-Light" w:hAnsi="Times New Roman" w:cs="Times New Roman"/>
          <w:sz w:val="28"/>
          <w:szCs w:val="24"/>
        </w:rPr>
        <w:t>вершенствованию корпоративной системы управления рисками и внутре</w:t>
      </w:r>
      <w:r w:rsidRPr="00D21805">
        <w:rPr>
          <w:rFonts w:ascii="Times New Roman" w:eastAsia="PFDinTextCompPro-Light" w:hAnsi="Times New Roman" w:cs="Times New Roman"/>
          <w:sz w:val="28"/>
          <w:szCs w:val="24"/>
        </w:rPr>
        <w:t>н</w:t>
      </w:r>
      <w:r w:rsidRPr="00D21805">
        <w:rPr>
          <w:rFonts w:ascii="Times New Roman" w:eastAsia="PFDinTextCompPro-Light" w:hAnsi="Times New Roman" w:cs="Times New Roman"/>
          <w:sz w:val="28"/>
          <w:szCs w:val="24"/>
        </w:rPr>
        <w:t>него контроля;</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 активное взаимодействие с региональными органами исполнител</w:t>
      </w:r>
      <w:r w:rsidRPr="00D21805">
        <w:rPr>
          <w:rFonts w:ascii="Times New Roman" w:eastAsia="PFDinTextCompPro-Light" w:hAnsi="Times New Roman" w:cs="Times New Roman"/>
          <w:sz w:val="28"/>
          <w:szCs w:val="24"/>
        </w:rPr>
        <w:t>ь</w:t>
      </w:r>
      <w:r w:rsidRPr="00D21805">
        <w:rPr>
          <w:rFonts w:ascii="Times New Roman" w:eastAsia="PFDinTextCompPro-Light" w:hAnsi="Times New Roman" w:cs="Times New Roman"/>
          <w:sz w:val="28"/>
          <w:szCs w:val="24"/>
        </w:rPr>
        <w:t>ной власти Российской Федерации, Счётной палатой РФ, Ревизионной к</w:t>
      </w:r>
      <w:r w:rsidRPr="00D21805">
        <w:rPr>
          <w:rFonts w:ascii="Times New Roman" w:eastAsia="PFDinTextCompPro-Light" w:hAnsi="Times New Roman" w:cs="Times New Roman"/>
          <w:sz w:val="28"/>
          <w:szCs w:val="24"/>
        </w:rPr>
        <w:t>о</w:t>
      </w:r>
      <w:r w:rsidRPr="00D21805">
        <w:rPr>
          <w:rFonts w:ascii="Times New Roman" w:eastAsia="PFDinTextCompPro-Light" w:hAnsi="Times New Roman" w:cs="Times New Roman"/>
          <w:sz w:val="28"/>
          <w:szCs w:val="24"/>
        </w:rPr>
        <w:t>миссией компании и прочими контрольными органами по вопросам вну</w:t>
      </w:r>
      <w:r w:rsidRPr="00D21805">
        <w:rPr>
          <w:rFonts w:ascii="Times New Roman" w:eastAsia="PFDinTextCompPro-Light" w:hAnsi="Times New Roman" w:cs="Times New Roman"/>
          <w:sz w:val="28"/>
          <w:szCs w:val="24"/>
        </w:rPr>
        <w:t>т</w:t>
      </w:r>
      <w:r w:rsidRPr="00D21805">
        <w:rPr>
          <w:rFonts w:ascii="Times New Roman" w:eastAsia="PFDinTextCompPro-Light" w:hAnsi="Times New Roman" w:cs="Times New Roman"/>
          <w:sz w:val="28"/>
          <w:szCs w:val="24"/>
        </w:rPr>
        <w:t>реннего контроля и аудита, а также в ходе проведения ими проверок ко</w:t>
      </w:r>
      <w:r w:rsidRPr="00D21805">
        <w:rPr>
          <w:rFonts w:ascii="Times New Roman" w:eastAsia="PFDinTextCompPro-Light" w:hAnsi="Times New Roman" w:cs="Times New Roman"/>
          <w:sz w:val="28"/>
          <w:szCs w:val="24"/>
        </w:rPr>
        <w:t>м</w:t>
      </w:r>
      <w:r w:rsidRPr="00D21805">
        <w:rPr>
          <w:rFonts w:ascii="Times New Roman" w:eastAsia="PFDinTextCompPro-Light" w:hAnsi="Times New Roman" w:cs="Times New Roman"/>
          <w:sz w:val="28"/>
          <w:szCs w:val="24"/>
        </w:rPr>
        <w:t>пании.</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proofErr w:type="gramStart"/>
      <w:r w:rsidRPr="00D21805">
        <w:rPr>
          <w:rFonts w:ascii="Times New Roman" w:eastAsia="PFDinTextCompPro-Light" w:hAnsi="Times New Roman" w:cs="Times New Roman"/>
          <w:sz w:val="28"/>
          <w:szCs w:val="24"/>
        </w:rPr>
        <w:t>В свою очередь, к функциям Комитета по аудиту относится ежеква</w:t>
      </w:r>
      <w:r w:rsidRPr="00D21805">
        <w:rPr>
          <w:rFonts w:ascii="Times New Roman" w:eastAsia="PFDinTextCompPro-Light" w:hAnsi="Times New Roman" w:cs="Times New Roman"/>
          <w:sz w:val="28"/>
          <w:szCs w:val="24"/>
        </w:rPr>
        <w:t>р</w:t>
      </w:r>
      <w:r w:rsidRPr="00D21805">
        <w:rPr>
          <w:rFonts w:ascii="Times New Roman" w:eastAsia="PFDinTextCompPro-Light" w:hAnsi="Times New Roman" w:cs="Times New Roman"/>
          <w:sz w:val="28"/>
          <w:szCs w:val="24"/>
        </w:rPr>
        <w:t>тальное рассмотрение отчёта руководителя Службы внутреннего аудита об исполнении календарного плана контрольных мероприятий, содержащего краткое описание выявленных нарушений, замечаний и недостатков в де</w:t>
      </w:r>
      <w:r w:rsidRPr="00D21805">
        <w:rPr>
          <w:rFonts w:ascii="Times New Roman" w:eastAsia="PFDinTextCompPro-Light" w:hAnsi="Times New Roman" w:cs="Times New Roman"/>
          <w:sz w:val="28"/>
          <w:szCs w:val="24"/>
        </w:rPr>
        <w:t>я</w:t>
      </w:r>
      <w:r w:rsidRPr="00D21805">
        <w:rPr>
          <w:rFonts w:ascii="Times New Roman" w:eastAsia="PFDinTextCompPro-Light" w:hAnsi="Times New Roman" w:cs="Times New Roman"/>
          <w:sz w:val="28"/>
          <w:szCs w:val="24"/>
        </w:rPr>
        <w:t>тельности компании, а также включающего в себя информацию о потенц</w:t>
      </w:r>
      <w:r w:rsidRPr="00D21805">
        <w:rPr>
          <w:rFonts w:ascii="Times New Roman" w:eastAsia="PFDinTextCompPro-Light" w:hAnsi="Times New Roman" w:cs="Times New Roman"/>
          <w:sz w:val="28"/>
          <w:szCs w:val="24"/>
        </w:rPr>
        <w:t>и</w:t>
      </w:r>
      <w:r w:rsidRPr="00D21805">
        <w:rPr>
          <w:rFonts w:ascii="Times New Roman" w:eastAsia="PFDinTextCompPro-Light" w:hAnsi="Times New Roman" w:cs="Times New Roman"/>
          <w:sz w:val="28"/>
          <w:szCs w:val="24"/>
        </w:rPr>
        <w:t>альных значимых рисках, проблемах контроля и корпоративного управл</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lastRenderedPageBreak/>
        <w:t>ния, рекомендации по их элиминированию, повышению эффективности системы внутреннего контроля.</w:t>
      </w:r>
      <w:proofErr w:type="gramEnd"/>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Ревизионная комиссия осуществляет контроль над финансово-хозяйственной деятельностью общества, проверяя соблюдение им закон</w:t>
      </w:r>
      <w:r w:rsidRPr="00D21805">
        <w:rPr>
          <w:rFonts w:ascii="Times New Roman" w:eastAsia="PFDinTextCompPro-Light" w:hAnsi="Times New Roman" w:cs="Times New Roman"/>
          <w:sz w:val="28"/>
          <w:szCs w:val="24"/>
        </w:rPr>
        <w:t>о</w:t>
      </w:r>
      <w:r w:rsidRPr="00D21805">
        <w:rPr>
          <w:rFonts w:ascii="Times New Roman" w:eastAsia="PFDinTextCompPro-Light" w:hAnsi="Times New Roman" w:cs="Times New Roman"/>
          <w:sz w:val="28"/>
          <w:szCs w:val="24"/>
        </w:rPr>
        <w:t>дательных и локальных нормативных актов, законность проводимых оп</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t>раций, порядок организации системы внутреннего финансового контроля.</w:t>
      </w:r>
    </w:p>
    <w:p w:rsidR="00705A72" w:rsidRPr="00D21805" w:rsidRDefault="00694328"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Таким образом,</w:t>
      </w:r>
      <w:r w:rsidR="00705A72" w:rsidRPr="00D21805">
        <w:rPr>
          <w:rFonts w:ascii="Times New Roman" w:eastAsia="PFDinTextCompPro-Light" w:hAnsi="Times New Roman" w:cs="Times New Roman"/>
          <w:sz w:val="28"/>
          <w:szCs w:val="24"/>
        </w:rPr>
        <w:t xml:space="preserve"> функционирование системы </w:t>
      </w:r>
      <w:r w:rsidRPr="00D21805">
        <w:rPr>
          <w:rFonts w:ascii="Times New Roman" w:eastAsia="PFDinTextCompPro-Light" w:hAnsi="Times New Roman" w:cs="Times New Roman"/>
          <w:sz w:val="28"/>
          <w:szCs w:val="24"/>
        </w:rPr>
        <w:t xml:space="preserve">ВФК </w:t>
      </w:r>
      <w:r w:rsidR="00705A72" w:rsidRPr="00D21805">
        <w:rPr>
          <w:rFonts w:ascii="Times New Roman" w:eastAsia="PFDinTextCompPro-Light" w:hAnsi="Times New Roman" w:cs="Times New Roman"/>
          <w:sz w:val="28"/>
          <w:szCs w:val="24"/>
        </w:rPr>
        <w:t xml:space="preserve"> в компаниях эне</w:t>
      </w:r>
      <w:r w:rsidR="00705A72" w:rsidRPr="00D21805">
        <w:rPr>
          <w:rFonts w:ascii="Times New Roman" w:eastAsia="PFDinTextCompPro-Light" w:hAnsi="Times New Roman" w:cs="Times New Roman"/>
          <w:sz w:val="28"/>
          <w:szCs w:val="24"/>
        </w:rPr>
        <w:t>р</w:t>
      </w:r>
      <w:r w:rsidR="00705A72" w:rsidRPr="00D21805">
        <w:rPr>
          <w:rFonts w:ascii="Times New Roman" w:eastAsia="PFDinTextCompPro-Light" w:hAnsi="Times New Roman" w:cs="Times New Roman"/>
          <w:sz w:val="28"/>
          <w:szCs w:val="24"/>
        </w:rPr>
        <w:t>гетической отрасли направлено на гарантирование уверенности в достиж</w:t>
      </w:r>
      <w:r w:rsidR="00705A72" w:rsidRPr="00D21805">
        <w:rPr>
          <w:rFonts w:ascii="Times New Roman" w:eastAsia="PFDinTextCompPro-Light" w:hAnsi="Times New Roman" w:cs="Times New Roman"/>
          <w:sz w:val="28"/>
          <w:szCs w:val="24"/>
        </w:rPr>
        <w:t>е</w:t>
      </w:r>
      <w:r w:rsidR="00705A72" w:rsidRPr="00D21805">
        <w:rPr>
          <w:rFonts w:ascii="Times New Roman" w:eastAsia="PFDinTextCompPro-Light" w:hAnsi="Times New Roman" w:cs="Times New Roman"/>
          <w:sz w:val="28"/>
          <w:szCs w:val="24"/>
        </w:rPr>
        <w:t>нии целей по таким направлениям, как высокая эффективность и результ</w:t>
      </w:r>
      <w:r w:rsidR="00705A72" w:rsidRPr="00D21805">
        <w:rPr>
          <w:rFonts w:ascii="Times New Roman" w:eastAsia="PFDinTextCompPro-Light" w:hAnsi="Times New Roman" w:cs="Times New Roman"/>
          <w:sz w:val="28"/>
          <w:szCs w:val="24"/>
        </w:rPr>
        <w:t>а</w:t>
      </w:r>
      <w:r w:rsidR="00705A72" w:rsidRPr="00D21805">
        <w:rPr>
          <w:rFonts w:ascii="Times New Roman" w:eastAsia="PFDinTextCompPro-Light" w:hAnsi="Times New Roman" w:cs="Times New Roman"/>
          <w:sz w:val="28"/>
          <w:szCs w:val="24"/>
        </w:rPr>
        <w:t xml:space="preserve">тивность деятельности, </w:t>
      </w:r>
      <w:proofErr w:type="spellStart"/>
      <w:r w:rsidR="00705A72" w:rsidRPr="00D21805">
        <w:rPr>
          <w:rFonts w:ascii="Times New Roman" w:eastAsia="PFDinTextCompPro-Light" w:hAnsi="Times New Roman" w:cs="Times New Roman"/>
          <w:sz w:val="28"/>
          <w:szCs w:val="24"/>
        </w:rPr>
        <w:t>комплаенс</w:t>
      </w:r>
      <w:proofErr w:type="spellEnd"/>
      <w:r w:rsidR="00705A72" w:rsidRPr="00D21805">
        <w:rPr>
          <w:rFonts w:ascii="Times New Roman" w:eastAsia="PFDinTextCompPro-Light" w:hAnsi="Times New Roman" w:cs="Times New Roman"/>
          <w:sz w:val="28"/>
          <w:szCs w:val="24"/>
        </w:rPr>
        <w:t>, достоверность финансовой отчётности, обеспечение сохранности активов, предотвращение мошенничества и н</w:t>
      </w:r>
      <w:r w:rsidR="00705A72" w:rsidRPr="00D21805">
        <w:rPr>
          <w:rFonts w:ascii="Times New Roman" w:eastAsia="PFDinTextCompPro-Light" w:hAnsi="Times New Roman" w:cs="Times New Roman"/>
          <w:sz w:val="28"/>
          <w:szCs w:val="24"/>
        </w:rPr>
        <w:t>е</w:t>
      </w:r>
      <w:r w:rsidR="00705A72" w:rsidRPr="00D21805">
        <w:rPr>
          <w:rFonts w:ascii="Times New Roman" w:eastAsia="PFDinTextCompPro-Light" w:hAnsi="Times New Roman" w:cs="Times New Roman"/>
          <w:sz w:val="28"/>
          <w:szCs w:val="24"/>
        </w:rPr>
        <w:t>законных действий.</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color w:val="000000"/>
          <w:sz w:val="28"/>
          <w:szCs w:val="24"/>
        </w:rPr>
        <w:t>В качестве иллюстрации контрольной деятельности общества прив</w:t>
      </w:r>
      <w:r w:rsidRPr="00D21805">
        <w:rPr>
          <w:rFonts w:ascii="Times New Roman" w:eastAsia="PFDinTextCompPro-Light" w:hAnsi="Times New Roman" w:cs="Times New Roman"/>
          <w:color w:val="000000"/>
          <w:sz w:val="28"/>
          <w:szCs w:val="24"/>
        </w:rPr>
        <w:t>е</w:t>
      </w:r>
      <w:r w:rsidRPr="00D21805">
        <w:rPr>
          <w:rFonts w:ascii="Times New Roman" w:eastAsia="PFDinTextCompPro-Light" w:hAnsi="Times New Roman" w:cs="Times New Roman"/>
          <w:color w:val="000000"/>
          <w:sz w:val="28"/>
          <w:szCs w:val="24"/>
        </w:rPr>
        <w:t xml:space="preserve">дены компоненты процесса </w:t>
      </w:r>
      <w:r w:rsidR="00694328" w:rsidRPr="00D21805">
        <w:rPr>
          <w:rFonts w:ascii="Times New Roman" w:eastAsia="PFDinTextCompPro-Light" w:hAnsi="Times New Roman" w:cs="Times New Roman"/>
          <w:color w:val="000000"/>
          <w:sz w:val="28"/>
          <w:szCs w:val="24"/>
        </w:rPr>
        <w:t>ВФК</w:t>
      </w:r>
      <w:r w:rsidRPr="00D21805">
        <w:rPr>
          <w:rFonts w:ascii="Times New Roman" w:eastAsia="PFDinTextCompPro-Light" w:hAnsi="Times New Roman" w:cs="Times New Roman"/>
          <w:color w:val="000000"/>
          <w:sz w:val="28"/>
          <w:szCs w:val="24"/>
        </w:rPr>
        <w:t xml:space="preserve"> и результаты работы контрольных служб компаний. </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Times New Roman" w:hAnsi="Times New Roman" w:cs="Times New Roman"/>
          <w:iCs/>
          <w:sz w:val="28"/>
          <w:szCs w:val="24"/>
        </w:rPr>
        <w:t>Так</w:t>
      </w:r>
      <w:r w:rsidRPr="00D21805">
        <w:rPr>
          <w:rFonts w:ascii="Times New Roman" w:eastAsia="Times New Roman" w:hAnsi="Times New Roman" w:cs="Times New Roman"/>
          <w:i/>
          <w:iCs/>
          <w:sz w:val="28"/>
          <w:szCs w:val="24"/>
        </w:rPr>
        <w:t xml:space="preserve">, </w:t>
      </w:r>
      <w:r w:rsidRPr="00D21805">
        <w:rPr>
          <w:rFonts w:ascii="Times New Roman" w:eastAsia="Times New Roman" w:hAnsi="Times New Roman" w:cs="Times New Roman"/>
          <w:iCs/>
          <w:sz w:val="28"/>
          <w:szCs w:val="24"/>
        </w:rPr>
        <w:t>за период 2012-</w:t>
      </w:r>
      <w:r w:rsidRPr="00D21805">
        <w:rPr>
          <w:rFonts w:ascii="Times New Roman" w:eastAsia="PFDinTextCompPro-Light" w:hAnsi="Times New Roman" w:cs="Times New Roman"/>
          <w:sz w:val="28"/>
          <w:szCs w:val="24"/>
        </w:rPr>
        <w:t>2015 год органы внутреннего контроля компаний проводили мероприятия  по контролю деятельности общества, осущест</w:t>
      </w:r>
      <w:r w:rsidR="00EB302E" w:rsidRPr="00D21805">
        <w:rPr>
          <w:rFonts w:ascii="Times New Roman" w:eastAsia="PFDinTextCompPro-Light" w:hAnsi="Times New Roman" w:cs="Times New Roman"/>
          <w:sz w:val="28"/>
          <w:szCs w:val="24"/>
        </w:rPr>
        <w:t>в</w:t>
      </w:r>
      <w:r w:rsidR="00EB302E" w:rsidRPr="00D21805">
        <w:rPr>
          <w:rFonts w:ascii="Times New Roman" w:eastAsia="PFDinTextCompPro-Light" w:hAnsi="Times New Roman" w:cs="Times New Roman"/>
          <w:sz w:val="28"/>
          <w:szCs w:val="24"/>
        </w:rPr>
        <w:t xml:space="preserve">ляли </w:t>
      </w:r>
      <w:r w:rsidRPr="00D21805">
        <w:rPr>
          <w:rFonts w:ascii="Times New Roman" w:eastAsia="PFDinTextCompPro-Light" w:hAnsi="Times New Roman" w:cs="Times New Roman"/>
          <w:sz w:val="28"/>
          <w:szCs w:val="24"/>
        </w:rPr>
        <w:t xml:space="preserve"> сбор и анализ релевантной информации для оценки эффективности системы внутреннего контроля, управления рисками и корпоративного управления, в том числе:</w:t>
      </w:r>
    </w:p>
    <w:p w:rsidR="00705A72" w:rsidRPr="00D21805" w:rsidRDefault="00705A72" w:rsidP="00735180">
      <w:pPr>
        <w:numPr>
          <w:ilvl w:val="0"/>
          <w:numId w:val="9"/>
        </w:numPr>
        <w:tabs>
          <w:tab w:val="left" w:pos="993"/>
        </w:tabs>
        <w:autoSpaceDE w:val="0"/>
        <w:autoSpaceDN w:val="0"/>
        <w:adjustRightInd w:val="0"/>
        <w:spacing w:after="200" w:line="360" w:lineRule="auto"/>
        <w:ind w:firstLine="709"/>
        <w:contextualSpacing/>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провер</w:t>
      </w:r>
      <w:r w:rsidR="00EB302E" w:rsidRPr="00D21805">
        <w:rPr>
          <w:rFonts w:ascii="Times New Roman" w:eastAsia="PFDinTextCompPro-Light" w:hAnsi="Times New Roman" w:cs="Times New Roman"/>
          <w:sz w:val="28"/>
          <w:szCs w:val="24"/>
        </w:rPr>
        <w:t>яли</w:t>
      </w:r>
      <w:r w:rsidRPr="00D21805">
        <w:rPr>
          <w:rFonts w:ascii="Times New Roman" w:eastAsia="PFDinTextCompPro-Light" w:hAnsi="Times New Roman" w:cs="Times New Roman"/>
          <w:sz w:val="28"/>
          <w:szCs w:val="24"/>
        </w:rPr>
        <w:t xml:space="preserve"> финансовую и операционную деятельность филиалов и дочерних обществ;</w:t>
      </w:r>
    </w:p>
    <w:p w:rsidR="00705A72" w:rsidRPr="00D21805" w:rsidRDefault="00705A72" w:rsidP="00735180">
      <w:pPr>
        <w:numPr>
          <w:ilvl w:val="0"/>
          <w:numId w:val="9"/>
        </w:numPr>
        <w:tabs>
          <w:tab w:val="left" w:pos="993"/>
        </w:tabs>
        <w:autoSpaceDE w:val="0"/>
        <w:autoSpaceDN w:val="0"/>
        <w:adjustRightInd w:val="0"/>
        <w:spacing w:after="200" w:line="360" w:lineRule="auto"/>
        <w:ind w:firstLine="709"/>
        <w:contextualSpacing/>
        <w:jc w:val="both"/>
        <w:rPr>
          <w:rFonts w:ascii="Times New Roman" w:eastAsia="PFDinTextCompPro-Light" w:hAnsi="Times New Roman" w:cs="Times New Roman"/>
          <w:sz w:val="28"/>
          <w:szCs w:val="24"/>
        </w:rPr>
      </w:pPr>
      <w:proofErr w:type="spellStart"/>
      <w:r w:rsidRPr="00D21805">
        <w:rPr>
          <w:rFonts w:ascii="Times New Roman" w:eastAsia="PFDinTextCompPro-Light" w:hAnsi="Times New Roman" w:cs="Times New Roman"/>
          <w:sz w:val="28"/>
          <w:szCs w:val="24"/>
        </w:rPr>
        <w:t>провед</w:t>
      </w:r>
      <w:r w:rsidR="00EB302E" w:rsidRPr="00D21805">
        <w:rPr>
          <w:rFonts w:ascii="Times New Roman" w:eastAsia="PFDinTextCompPro-Light" w:hAnsi="Times New Roman" w:cs="Times New Roman"/>
          <w:sz w:val="28"/>
          <w:szCs w:val="24"/>
        </w:rPr>
        <w:t>или</w:t>
      </w:r>
      <w:proofErr w:type="spellEnd"/>
      <w:r w:rsidRPr="00D21805">
        <w:rPr>
          <w:rFonts w:ascii="Times New Roman" w:eastAsia="PFDinTextCompPro-Light" w:hAnsi="Times New Roman" w:cs="Times New Roman"/>
          <w:sz w:val="28"/>
          <w:szCs w:val="24"/>
        </w:rPr>
        <w:t xml:space="preserve"> тематические аудиты, выявляющие возмо</w:t>
      </w:r>
      <w:r w:rsidRPr="00D21805">
        <w:rPr>
          <w:rFonts w:ascii="Times New Roman" w:eastAsia="PFDinTextCompPro-Light" w:hAnsi="Times New Roman" w:cs="Times New Roman"/>
          <w:sz w:val="28"/>
          <w:szCs w:val="24"/>
        </w:rPr>
        <w:t>ж</w:t>
      </w:r>
      <w:r w:rsidRPr="00D21805">
        <w:rPr>
          <w:rFonts w:ascii="Times New Roman" w:eastAsia="PFDinTextCompPro-Light" w:hAnsi="Times New Roman" w:cs="Times New Roman"/>
          <w:sz w:val="28"/>
          <w:szCs w:val="24"/>
        </w:rPr>
        <w:t>ности по совершенствованию бизнес-процессов Группы компаний;</w:t>
      </w:r>
    </w:p>
    <w:p w:rsidR="00705A72" w:rsidRPr="00D21805" w:rsidRDefault="00705A72" w:rsidP="00735180">
      <w:pPr>
        <w:numPr>
          <w:ilvl w:val="0"/>
          <w:numId w:val="9"/>
        </w:numPr>
        <w:tabs>
          <w:tab w:val="left" w:pos="993"/>
        </w:tabs>
        <w:autoSpaceDE w:val="0"/>
        <w:autoSpaceDN w:val="0"/>
        <w:adjustRightInd w:val="0"/>
        <w:spacing w:after="200" w:line="360" w:lineRule="auto"/>
        <w:ind w:firstLine="709"/>
        <w:contextualSpacing/>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выборочно оцени</w:t>
      </w:r>
      <w:r w:rsidR="00EB302E" w:rsidRPr="00D21805">
        <w:rPr>
          <w:rFonts w:ascii="Times New Roman" w:eastAsia="PFDinTextCompPro-Light" w:hAnsi="Times New Roman" w:cs="Times New Roman"/>
          <w:sz w:val="28"/>
          <w:szCs w:val="24"/>
        </w:rPr>
        <w:t>вали</w:t>
      </w:r>
      <w:r w:rsidRPr="00D21805">
        <w:rPr>
          <w:rFonts w:ascii="Times New Roman" w:eastAsia="PFDinTextCompPro-Light" w:hAnsi="Times New Roman" w:cs="Times New Roman"/>
          <w:sz w:val="28"/>
          <w:szCs w:val="24"/>
        </w:rPr>
        <w:t xml:space="preserve"> ход и корректность выполнения мероприятий по управлению рисками, являющимися для общества критическими.</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По итогам проведённых контрольных мероприятий в большинстве компаний  были разработаны и реализованы корректирующие меропри</w:t>
      </w:r>
      <w:r w:rsidRPr="00D21805">
        <w:rPr>
          <w:rFonts w:ascii="Times New Roman" w:eastAsia="PFDinTextCompPro-Light" w:hAnsi="Times New Roman" w:cs="Times New Roman"/>
          <w:sz w:val="28"/>
          <w:szCs w:val="24"/>
        </w:rPr>
        <w:t>я</w:t>
      </w:r>
      <w:r w:rsidRPr="00D21805">
        <w:rPr>
          <w:rFonts w:ascii="Times New Roman" w:eastAsia="PFDinTextCompPro-Light" w:hAnsi="Times New Roman" w:cs="Times New Roman"/>
          <w:sz w:val="28"/>
          <w:szCs w:val="24"/>
        </w:rPr>
        <w:t xml:space="preserve">тия, направленные на элиминирование выявленных замечаний, повышение </w:t>
      </w:r>
      <w:r w:rsidRPr="00D21805">
        <w:rPr>
          <w:rFonts w:ascii="Times New Roman" w:eastAsia="PFDinTextCompPro-Light" w:hAnsi="Times New Roman" w:cs="Times New Roman"/>
          <w:sz w:val="28"/>
          <w:szCs w:val="24"/>
        </w:rPr>
        <w:lastRenderedPageBreak/>
        <w:t>эффективности системы внутреннего контроля, недопущение возникнов</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t xml:space="preserve">ния аналогичных нарушений в дальнейшей работе компании. </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 xml:space="preserve">Большинством компаний утверждён </w:t>
      </w:r>
      <w:r w:rsidR="00694328" w:rsidRPr="00D21805">
        <w:rPr>
          <w:rFonts w:ascii="Times New Roman" w:eastAsia="PFDinTextCompPro-Light" w:hAnsi="Times New Roman" w:cs="Times New Roman"/>
          <w:sz w:val="28"/>
          <w:szCs w:val="24"/>
        </w:rPr>
        <w:t>к</w:t>
      </w:r>
      <w:r w:rsidRPr="00D21805">
        <w:rPr>
          <w:rFonts w:ascii="Times New Roman" w:eastAsia="PFDinTextCompPro-Light" w:hAnsi="Times New Roman" w:cs="Times New Roman"/>
          <w:sz w:val="28"/>
          <w:szCs w:val="24"/>
        </w:rPr>
        <w:t>одекс этики внутренних аудит</w:t>
      </w:r>
      <w:r w:rsidRPr="00D21805">
        <w:rPr>
          <w:rFonts w:ascii="Times New Roman" w:eastAsia="PFDinTextCompPro-Light" w:hAnsi="Times New Roman" w:cs="Times New Roman"/>
          <w:sz w:val="28"/>
          <w:szCs w:val="24"/>
        </w:rPr>
        <w:t>о</w:t>
      </w:r>
      <w:r w:rsidRPr="00D21805">
        <w:rPr>
          <w:rFonts w:ascii="Times New Roman" w:eastAsia="PFDinTextCompPro-Light" w:hAnsi="Times New Roman" w:cs="Times New Roman"/>
          <w:sz w:val="28"/>
          <w:szCs w:val="24"/>
        </w:rPr>
        <w:t>ров, определяющий принципы деятельности внутреннего аудита со стор</w:t>
      </w:r>
      <w:r w:rsidRPr="00D21805">
        <w:rPr>
          <w:rFonts w:ascii="Times New Roman" w:eastAsia="PFDinTextCompPro-Light" w:hAnsi="Times New Roman" w:cs="Times New Roman"/>
          <w:sz w:val="28"/>
          <w:szCs w:val="24"/>
        </w:rPr>
        <w:t>о</w:t>
      </w:r>
      <w:r w:rsidRPr="00D21805">
        <w:rPr>
          <w:rFonts w:ascii="Times New Roman" w:eastAsia="PFDinTextCompPro-Light" w:hAnsi="Times New Roman" w:cs="Times New Roman"/>
          <w:sz w:val="28"/>
          <w:szCs w:val="24"/>
        </w:rPr>
        <w:t>ны профессионализма и устанавливающий правила поведения внутренних аудиторов. Основная цель  правил – ранняя диагностика недостатков управления, элиминирование которых позволит снизить и в будущем и</w:t>
      </w:r>
      <w:r w:rsidRPr="00D21805">
        <w:rPr>
          <w:rFonts w:ascii="Times New Roman" w:eastAsia="PFDinTextCompPro-Light" w:hAnsi="Times New Roman" w:cs="Times New Roman"/>
          <w:sz w:val="28"/>
          <w:szCs w:val="24"/>
        </w:rPr>
        <w:t>с</w:t>
      </w:r>
      <w:r w:rsidRPr="00D21805">
        <w:rPr>
          <w:rFonts w:ascii="Times New Roman" w:eastAsia="PFDinTextCompPro-Light" w:hAnsi="Times New Roman" w:cs="Times New Roman"/>
          <w:sz w:val="28"/>
          <w:szCs w:val="24"/>
        </w:rPr>
        <w:t>ключить влияние отрицательных факторов на эффективность деятельности компаний.</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Из наиболее распространенных мер, применяемые на практике  ко</w:t>
      </w:r>
      <w:r w:rsidRPr="00D21805">
        <w:rPr>
          <w:rFonts w:ascii="Times New Roman" w:eastAsia="PFDinTextCompPro-Light" w:hAnsi="Times New Roman" w:cs="Times New Roman"/>
          <w:sz w:val="28"/>
          <w:szCs w:val="24"/>
        </w:rPr>
        <w:t>м</w:t>
      </w:r>
      <w:r w:rsidRPr="00D21805">
        <w:rPr>
          <w:rFonts w:ascii="Times New Roman" w:eastAsia="PFDinTextCompPro-Light" w:hAnsi="Times New Roman" w:cs="Times New Roman"/>
          <w:sz w:val="28"/>
          <w:szCs w:val="24"/>
        </w:rPr>
        <w:t xml:space="preserve">паниями энергетического сектора, необходимо отметить следующие направления: </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 программа экономии на операционных издержках,</w:t>
      </w:r>
    </w:p>
    <w:p w:rsidR="00705A72" w:rsidRPr="00D21805" w:rsidRDefault="00705A72" w:rsidP="00735180">
      <w:pPr>
        <w:autoSpaceDE w:val="0"/>
        <w:autoSpaceDN w:val="0"/>
        <w:adjustRightInd w:val="0"/>
        <w:spacing w:line="360" w:lineRule="auto"/>
        <w:ind w:firstLine="567"/>
        <w:jc w:val="both"/>
        <w:rPr>
          <w:rFonts w:ascii="Times New Roman" w:eastAsia="Times New Roman" w:hAnsi="Times New Roman" w:cs="Times New Roman"/>
          <w:sz w:val="28"/>
          <w:szCs w:val="24"/>
        </w:rPr>
      </w:pPr>
      <w:r w:rsidRPr="00D21805">
        <w:rPr>
          <w:rFonts w:ascii="Times New Roman" w:eastAsia="PFDinTextCompPro-Light" w:hAnsi="Times New Roman" w:cs="Times New Roman"/>
          <w:sz w:val="28"/>
          <w:szCs w:val="24"/>
        </w:rPr>
        <w:t xml:space="preserve">- </w:t>
      </w:r>
      <w:r w:rsidRPr="00D21805">
        <w:rPr>
          <w:rFonts w:ascii="Times New Roman" w:eastAsia="PFDinTextCompPro-Light" w:hAnsi="Times New Roman" w:cs="Times New Roman"/>
          <w:color w:val="000000"/>
          <w:sz w:val="28"/>
          <w:szCs w:val="24"/>
        </w:rPr>
        <w:t>программа выявления и реализации непрофильных активов</w:t>
      </w:r>
      <w:r w:rsidRPr="00D21805">
        <w:rPr>
          <w:rFonts w:ascii="Times New Roman" w:eastAsia="Times New Roman" w:hAnsi="Times New Roman" w:cs="Times New Roman"/>
          <w:sz w:val="28"/>
          <w:szCs w:val="24"/>
        </w:rPr>
        <w:t xml:space="preserve">. </w:t>
      </w:r>
    </w:p>
    <w:p w:rsidR="00705A72" w:rsidRPr="00D21805" w:rsidRDefault="00705A72" w:rsidP="00735180">
      <w:pPr>
        <w:autoSpaceDE w:val="0"/>
        <w:autoSpaceDN w:val="0"/>
        <w:adjustRightInd w:val="0"/>
        <w:spacing w:line="360" w:lineRule="auto"/>
        <w:ind w:firstLine="567"/>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В своём большинстве, к непрофильным активам энергетических  ко</w:t>
      </w:r>
      <w:r w:rsidRPr="00D21805">
        <w:rPr>
          <w:rFonts w:ascii="Times New Roman" w:eastAsia="Times New Roman" w:hAnsi="Times New Roman" w:cs="Times New Roman"/>
          <w:sz w:val="28"/>
          <w:szCs w:val="24"/>
        </w:rPr>
        <w:t>м</w:t>
      </w:r>
      <w:r w:rsidRPr="00D21805">
        <w:rPr>
          <w:rFonts w:ascii="Times New Roman" w:eastAsia="Times New Roman" w:hAnsi="Times New Roman" w:cs="Times New Roman"/>
          <w:sz w:val="28"/>
          <w:szCs w:val="24"/>
        </w:rPr>
        <w:t>пании относятся, например, жилые посёлки, транспортная и коммунальная инфраструктура, остающиеся после строительства электростанций. Запл</w:t>
      </w:r>
      <w:r w:rsidRPr="00D21805">
        <w:rPr>
          <w:rFonts w:ascii="Times New Roman" w:eastAsia="Times New Roman" w:hAnsi="Times New Roman" w:cs="Times New Roman"/>
          <w:sz w:val="28"/>
          <w:szCs w:val="24"/>
        </w:rPr>
        <w:t>а</w:t>
      </w:r>
      <w:r w:rsidRPr="00D21805">
        <w:rPr>
          <w:rFonts w:ascii="Times New Roman" w:eastAsia="Times New Roman" w:hAnsi="Times New Roman" w:cs="Times New Roman"/>
          <w:sz w:val="28"/>
          <w:szCs w:val="24"/>
        </w:rPr>
        <w:t>нированная продажа непрофильных активов позволяет улучшить ситу</w:t>
      </w:r>
      <w:r w:rsidRPr="00D21805">
        <w:rPr>
          <w:rFonts w:ascii="Times New Roman" w:eastAsia="Times New Roman" w:hAnsi="Times New Roman" w:cs="Times New Roman"/>
          <w:sz w:val="28"/>
          <w:szCs w:val="24"/>
        </w:rPr>
        <w:t>а</w:t>
      </w:r>
      <w:r w:rsidRPr="00D21805">
        <w:rPr>
          <w:rFonts w:ascii="Times New Roman" w:eastAsia="Times New Roman" w:hAnsi="Times New Roman" w:cs="Times New Roman"/>
          <w:sz w:val="28"/>
          <w:szCs w:val="24"/>
        </w:rPr>
        <w:t>цию с показателями ликвидности общества, преодолеть инвестиционную напряжённость и обеспечить высокий уровень дивидендных выплат акц</w:t>
      </w:r>
      <w:r w:rsidRPr="00D21805">
        <w:rPr>
          <w:rFonts w:ascii="Times New Roman" w:eastAsia="Times New Roman" w:hAnsi="Times New Roman" w:cs="Times New Roman"/>
          <w:sz w:val="28"/>
          <w:szCs w:val="24"/>
        </w:rPr>
        <w:t>и</w:t>
      </w:r>
      <w:r w:rsidRPr="00D21805">
        <w:rPr>
          <w:rFonts w:ascii="Times New Roman" w:eastAsia="Times New Roman" w:hAnsi="Times New Roman" w:cs="Times New Roman"/>
          <w:sz w:val="28"/>
          <w:szCs w:val="24"/>
        </w:rPr>
        <w:t>онерам компании</w:t>
      </w:r>
      <w:r w:rsidRPr="00D21805">
        <w:rPr>
          <w:rFonts w:ascii="Times New Roman" w:eastAsia="Times New Roman" w:hAnsi="Times New Roman" w:cs="Times New Roman"/>
          <w:color w:val="1F2829"/>
          <w:sz w:val="28"/>
          <w:szCs w:val="24"/>
        </w:rPr>
        <w:t>.</w:t>
      </w:r>
    </w:p>
    <w:p w:rsidR="00705A72" w:rsidRPr="00D21805" w:rsidRDefault="00705A72" w:rsidP="00735180">
      <w:pPr>
        <w:autoSpaceDE w:val="0"/>
        <w:autoSpaceDN w:val="0"/>
        <w:adjustRightInd w:val="0"/>
        <w:spacing w:line="360" w:lineRule="auto"/>
        <w:ind w:firstLine="567"/>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 xml:space="preserve">В части использования </w:t>
      </w:r>
      <w:proofErr w:type="gramStart"/>
      <w:r w:rsidRPr="00D21805">
        <w:rPr>
          <w:rFonts w:ascii="Times New Roman" w:eastAsia="PFDinTextCompPro-Light" w:hAnsi="Times New Roman" w:cs="Times New Roman"/>
          <w:sz w:val="28"/>
          <w:szCs w:val="24"/>
        </w:rPr>
        <w:t>денежных средств, полученных по програ</w:t>
      </w:r>
      <w:r w:rsidRPr="00D21805">
        <w:rPr>
          <w:rFonts w:ascii="Times New Roman" w:eastAsia="PFDinTextCompPro-Light" w:hAnsi="Times New Roman" w:cs="Times New Roman"/>
          <w:sz w:val="28"/>
          <w:szCs w:val="24"/>
        </w:rPr>
        <w:t>м</w:t>
      </w:r>
      <w:r w:rsidRPr="00D21805">
        <w:rPr>
          <w:rFonts w:ascii="Times New Roman" w:eastAsia="PFDinTextCompPro-Light" w:hAnsi="Times New Roman" w:cs="Times New Roman"/>
          <w:sz w:val="28"/>
          <w:szCs w:val="24"/>
        </w:rPr>
        <w:t>мам федерального финансирования в энергетических компаниях успешно функционируют</w:t>
      </w:r>
      <w:proofErr w:type="gramEnd"/>
      <w:r w:rsidRPr="00D21805">
        <w:rPr>
          <w:rFonts w:ascii="Times New Roman" w:eastAsia="PFDinTextCompPro-Light" w:hAnsi="Times New Roman" w:cs="Times New Roman"/>
          <w:sz w:val="28"/>
          <w:szCs w:val="24"/>
        </w:rPr>
        <w:t xml:space="preserve"> процедуры дополнительного контроля такие, как:</w:t>
      </w:r>
    </w:p>
    <w:p w:rsidR="00705A72" w:rsidRPr="00D21805" w:rsidRDefault="00705A72" w:rsidP="00735180">
      <w:pPr>
        <w:numPr>
          <w:ilvl w:val="0"/>
          <w:numId w:val="9"/>
        </w:numPr>
        <w:tabs>
          <w:tab w:val="left" w:pos="993"/>
        </w:tabs>
        <w:autoSpaceDE w:val="0"/>
        <w:autoSpaceDN w:val="0"/>
        <w:adjustRightInd w:val="0"/>
        <w:spacing w:after="200" w:line="360" w:lineRule="auto"/>
        <w:ind w:firstLine="709"/>
        <w:contextualSpacing/>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использование обособленных счетов учёта движения ц</w:t>
      </w:r>
      <w:r w:rsidRPr="00D21805">
        <w:rPr>
          <w:rFonts w:ascii="Times New Roman" w:eastAsia="PFDinTextCompPro-Light" w:hAnsi="Times New Roman" w:cs="Times New Roman"/>
          <w:sz w:val="28"/>
          <w:szCs w:val="24"/>
        </w:rPr>
        <w:t>е</w:t>
      </w:r>
      <w:r w:rsidRPr="00D21805">
        <w:rPr>
          <w:rFonts w:ascii="Times New Roman" w:eastAsia="PFDinTextCompPro-Light" w:hAnsi="Times New Roman" w:cs="Times New Roman"/>
          <w:sz w:val="28"/>
          <w:szCs w:val="24"/>
        </w:rPr>
        <w:t>левых средств;</w:t>
      </w:r>
    </w:p>
    <w:p w:rsidR="00705A72" w:rsidRPr="00D21805" w:rsidRDefault="00705A72" w:rsidP="00735180">
      <w:pPr>
        <w:numPr>
          <w:ilvl w:val="0"/>
          <w:numId w:val="9"/>
        </w:numPr>
        <w:tabs>
          <w:tab w:val="left" w:pos="993"/>
        </w:tabs>
        <w:autoSpaceDE w:val="0"/>
        <w:autoSpaceDN w:val="0"/>
        <w:adjustRightInd w:val="0"/>
        <w:spacing w:after="200" w:line="360" w:lineRule="auto"/>
        <w:ind w:firstLine="709"/>
        <w:contextualSpacing/>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формирование ежемесячных отчётов дочерних обществ перед  головной компанией о расходовании бюджетных средств;</w:t>
      </w:r>
    </w:p>
    <w:p w:rsidR="00705A72" w:rsidRPr="00D21805" w:rsidRDefault="00705A72" w:rsidP="00735180">
      <w:pPr>
        <w:numPr>
          <w:ilvl w:val="0"/>
          <w:numId w:val="9"/>
        </w:numPr>
        <w:tabs>
          <w:tab w:val="left" w:pos="993"/>
        </w:tabs>
        <w:autoSpaceDE w:val="0"/>
        <w:autoSpaceDN w:val="0"/>
        <w:adjustRightInd w:val="0"/>
        <w:spacing w:after="200" w:line="360" w:lineRule="auto"/>
        <w:ind w:firstLine="709"/>
        <w:contextualSpacing/>
        <w:jc w:val="both"/>
        <w:rPr>
          <w:rFonts w:ascii="Times New Roman" w:eastAsia="PFDinTextCompPro-Light" w:hAnsi="Times New Roman" w:cs="Times New Roman"/>
          <w:sz w:val="28"/>
          <w:szCs w:val="24"/>
        </w:rPr>
      </w:pPr>
      <w:r w:rsidRPr="00D21805">
        <w:rPr>
          <w:rFonts w:ascii="Times New Roman" w:eastAsia="PFDinTextCompPro-Light" w:hAnsi="Times New Roman" w:cs="Times New Roman"/>
          <w:sz w:val="28"/>
          <w:szCs w:val="24"/>
        </w:rPr>
        <w:t>банковское сопровождение всех транзакций, относящи</w:t>
      </w:r>
      <w:r w:rsidRPr="00D21805">
        <w:rPr>
          <w:rFonts w:ascii="Times New Roman" w:eastAsia="PFDinTextCompPro-Light" w:hAnsi="Times New Roman" w:cs="Times New Roman"/>
          <w:sz w:val="28"/>
          <w:szCs w:val="24"/>
        </w:rPr>
        <w:t>х</w:t>
      </w:r>
      <w:r w:rsidRPr="00D21805">
        <w:rPr>
          <w:rFonts w:ascii="Times New Roman" w:eastAsia="PFDinTextCompPro-Light" w:hAnsi="Times New Roman" w:cs="Times New Roman"/>
          <w:sz w:val="28"/>
          <w:szCs w:val="24"/>
        </w:rPr>
        <w:t>ся к расходованию средств федерального бюджета, со стороны ба</w:t>
      </w:r>
      <w:r w:rsidRPr="00D21805">
        <w:rPr>
          <w:rFonts w:ascii="Times New Roman" w:eastAsia="PFDinTextCompPro-Light" w:hAnsi="Times New Roman" w:cs="Times New Roman"/>
          <w:sz w:val="28"/>
          <w:szCs w:val="24"/>
        </w:rPr>
        <w:t>н</w:t>
      </w:r>
      <w:r w:rsidRPr="00D21805">
        <w:rPr>
          <w:rFonts w:ascii="Times New Roman" w:eastAsia="PFDinTextCompPro-Light" w:hAnsi="Times New Roman" w:cs="Times New Roman"/>
          <w:sz w:val="28"/>
          <w:szCs w:val="24"/>
        </w:rPr>
        <w:lastRenderedPageBreak/>
        <w:t>ков включающее проведение анализа и акцепта всех платежей по проектам, которые связаны с развитием Дальнего Востока, финанс</w:t>
      </w:r>
      <w:r w:rsidRPr="00D21805">
        <w:rPr>
          <w:rFonts w:ascii="Times New Roman" w:eastAsia="PFDinTextCompPro-Light" w:hAnsi="Times New Roman" w:cs="Times New Roman"/>
          <w:sz w:val="28"/>
          <w:szCs w:val="24"/>
        </w:rPr>
        <w:t>и</w:t>
      </w:r>
      <w:r w:rsidRPr="00D21805">
        <w:rPr>
          <w:rFonts w:ascii="Times New Roman" w:eastAsia="PFDinTextCompPro-Light" w:hAnsi="Times New Roman" w:cs="Times New Roman"/>
          <w:sz w:val="28"/>
          <w:szCs w:val="24"/>
        </w:rPr>
        <w:t>руемым из бюджета РФ.</w:t>
      </w:r>
    </w:p>
    <w:p w:rsidR="00705A72" w:rsidRPr="00D21805" w:rsidRDefault="00705A72" w:rsidP="00735180">
      <w:pPr>
        <w:spacing w:line="360" w:lineRule="auto"/>
        <w:ind w:firstLine="709"/>
        <w:jc w:val="both"/>
        <w:rPr>
          <w:rFonts w:ascii="Times New Roman" w:eastAsia="Times New Roman" w:hAnsi="Times New Roman" w:cs="Times New Roman"/>
          <w:sz w:val="28"/>
          <w:szCs w:val="24"/>
        </w:rPr>
      </w:pPr>
      <w:proofErr w:type="gramStart"/>
      <w:r w:rsidRPr="00D21805">
        <w:rPr>
          <w:rFonts w:ascii="Times New Roman" w:eastAsia="Times New Roman" w:hAnsi="Times New Roman" w:cs="Times New Roman"/>
          <w:sz w:val="28"/>
          <w:szCs w:val="24"/>
        </w:rPr>
        <w:t>Поскольку финансовый контроль должен рассматриваться не только как элемент управления финансами и денежными средствами на уровне хозяйствующего субъекта, но и как регламентированная деятельность ко</w:t>
      </w:r>
      <w:r w:rsidRPr="00D21805">
        <w:rPr>
          <w:rFonts w:ascii="Times New Roman" w:eastAsia="Times New Roman" w:hAnsi="Times New Roman" w:cs="Times New Roman"/>
          <w:sz w:val="28"/>
          <w:szCs w:val="24"/>
        </w:rPr>
        <w:t>н</w:t>
      </w:r>
      <w:r w:rsidRPr="00D21805">
        <w:rPr>
          <w:rFonts w:ascii="Times New Roman" w:eastAsia="Times New Roman" w:hAnsi="Times New Roman" w:cs="Times New Roman"/>
          <w:sz w:val="28"/>
          <w:szCs w:val="24"/>
        </w:rPr>
        <w:t>тролирующих органов государственного уровня, направленная на выявл</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ние соблюдения финансового законодательства и дисциплины экономич</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ских субъектов, то необходимо обратиться и к деятельности государстве</w:t>
      </w:r>
      <w:r w:rsidRPr="00D21805">
        <w:rPr>
          <w:rFonts w:ascii="Times New Roman" w:eastAsia="Times New Roman" w:hAnsi="Times New Roman" w:cs="Times New Roman"/>
          <w:sz w:val="28"/>
          <w:szCs w:val="24"/>
        </w:rPr>
        <w:t>н</w:t>
      </w:r>
      <w:r w:rsidRPr="00D21805">
        <w:rPr>
          <w:rFonts w:ascii="Times New Roman" w:eastAsia="Times New Roman" w:hAnsi="Times New Roman" w:cs="Times New Roman"/>
          <w:sz w:val="28"/>
          <w:szCs w:val="24"/>
        </w:rPr>
        <w:t>ных органов, направленных на осуществление финансового контроля в о</w:t>
      </w:r>
      <w:r w:rsidRPr="00D21805">
        <w:rPr>
          <w:rFonts w:ascii="Times New Roman" w:eastAsia="Times New Roman" w:hAnsi="Times New Roman" w:cs="Times New Roman"/>
          <w:sz w:val="28"/>
          <w:szCs w:val="24"/>
        </w:rPr>
        <w:t>т</w:t>
      </w:r>
      <w:r w:rsidRPr="00D21805">
        <w:rPr>
          <w:rFonts w:ascii="Times New Roman" w:eastAsia="Times New Roman" w:hAnsi="Times New Roman" w:cs="Times New Roman"/>
          <w:sz w:val="28"/>
          <w:szCs w:val="24"/>
        </w:rPr>
        <w:t>ношении компаний.</w:t>
      </w:r>
      <w:proofErr w:type="gramEnd"/>
    </w:p>
    <w:p w:rsidR="00705A72" w:rsidRPr="00D21805" w:rsidRDefault="00705A72" w:rsidP="00735180">
      <w:pPr>
        <w:spacing w:line="360" w:lineRule="auto"/>
        <w:ind w:firstLine="709"/>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Из основных направлений деятельности, связанные с областью ко</w:t>
      </w:r>
      <w:r w:rsidRPr="00D21805">
        <w:rPr>
          <w:rFonts w:ascii="Times New Roman" w:eastAsia="Times New Roman" w:hAnsi="Times New Roman" w:cs="Times New Roman"/>
          <w:sz w:val="28"/>
          <w:szCs w:val="24"/>
        </w:rPr>
        <w:t>н</w:t>
      </w:r>
      <w:r w:rsidRPr="00D21805">
        <w:rPr>
          <w:rFonts w:ascii="Times New Roman" w:eastAsia="Times New Roman" w:hAnsi="Times New Roman" w:cs="Times New Roman"/>
          <w:sz w:val="28"/>
          <w:szCs w:val="24"/>
        </w:rPr>
        <w:t>троля можно отметить следующие:</w:t>
      </w:r>
    </w:p>
    <w:p w:rsidR="00705A72" w:rsidRPr="00D21805" w:rsidRDefault="00705A72" w:rsidP="00735180">
      <w:pPr>
        <w:pStyle w:val="a5"/>
        <w:numPr>
          <w:ilvl w:val="0"/>
          <w:numId w:val="27"/>
        </w:numPr>
        <w:spacing w:line="360" w:lineRule="auto"/>
        <w:jc w:val="both"/>
        <w:rPr>
          <w:rFonts w:ascii="Times New Roman" w:eastAsia="Times New Roman" w:hAnsi="Times New Roman" w:cs="Times New Roman"/>
          <w:sz w:val="28"/>
          <w:szCs w:val="24"/>
        </w:rPr>
      </w:pPr>
      <w:proofErr w:type="spellStart"/>
      <w:r w:rsidRPr="00D21805">
        <w:rPr>
          <w:rFonts w:ascii="Times New Roman" w:eastAsia="Times New Roman" w:hAnsi="Times New Roman" w:cs="Times New Roman"/>
          <w:sz w:val="28"/>
          <w:szCs w:val="24"/>
        </w:rPr>
        <w:t>Докапитализация</w:t>
      </w:r>
      <w:proofErr w:type="spellEnd"/>
      <w:r w:rsidRPr="00D21805">
        <w:rPr>
          <w:rFonts w:ascii="Times New Roman" w:eastAsia="Times New Roman" w:hAnsi="Times New Roman" w:cs="Times New Roman"/>
          <w:sz w:val="28"/>
          <w:szCs w:val="24"/>
        </w:rPr>
        <w:t xml:space="preserve"> энергетически компаний;</w:t>
      </w:r>
    </w:p>
    <w:p w:rsidR="00705A72" w:rsidRPr="00D21805" w:rsidRDefault="00705A72" w:rsidP="00735180">
      <w:pPr>
        <w:pStyle w:val="a5"/>
        <w:numPr>
          <w:ilvl w:val="0"/>
          <w:numId w:val="27"/>
        </w:numPr>
        <w:spacing w:line="360" w:lineRule="auto"/>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Целевое использование  бюджетных средств;</w:t>
      </w:r>
    </w:p>
    <w:p w:rsidR="00705A72" w:rsidRPr="00D21805" w:rsidRDefault="00705A72" w:rsidP="00735180">
      <w:pPr>
        <w:pStyle w:val="a5"/>
        <w:numPr>
          <w:ilvl w:val="0"/>
          <w:numId w:val="27"/>
        </w:numPr>
        <w:spacing w:line="360" w:lineRule="auto"/>
        <w:jc w:val="both"/>
        <w:rPr>
          <w:rFonts w:ascii="Times New Roman" w:eastAsia="Times New Roman" w:hAnsi="Times New Roman" w:cs="Times New Roman"/>
          <w:color w:val="020C22"/>
          <w:sz w:val="28"/>
          <w:szCs w:val="24"/>
          <w:shd w:val="clear" w:color="auto" w:fill="FEFEFE"/>
          <w:lang w:eastAsia="ru-RU"/>
        </w:rPr>
      </w:pPr>
      <w:r w:rsidRPr="00D21805">
        <w:rPr>
          <w:rFonts w:ascii="Times New Roman" w:eastAsia="Times New Roman" w:hAnsi="Times New Roman" w:cs="Times New Roman"/>
          <w:sz w:val="28"/>
          <w:szCs w:val="24"/>
        </w:rPr>
        <w:t xml:space="preserve">Соблюдение сроков введения в эксплуатацию </w:t>
      </w:r>
      <w:r w:rsidRPr="00D21805">
        <w:rPr>
          <w:rFonts w:ascii="Times New Roman" w:eastAsia="Times New Roman" w:hAnsi="Times New Roman" w:cs="Times New Roman"/>
          <w:color w:val="020C22"/>
          <w:sz w:val="28"/>
          <w:szCs w:val="24"/>
          <w:shd w:val="clear" w:color="auto" w:fill="FEFEFE"/>
          <w:lang w:eastAsia="ru-RU"/>
        </w:rPr>
        <w:t>объектов  эле</w:t>
      </w:r>
      <w:r w:rsidRPr="00D21805">
        <w:rPr>
          <w:rFonts w:ascii="Times New Roman" w:eastAsia="Times New Roman" w:hAnsi="Times New Roman" w:cs="Times New Roman"/>
          <w:color w:val="020C22"/>
          <w:sz w:val="28"/>
          <w:szCs w:val="24"/>
          <w:shd w:val="clear" w:color="auto" w:fill="FEFEFE"/>
          <w:lang w:eastAsia="ru-RU"/>
        </w:rPr>
        <w:t>к</w:t>
      </w:r>
      <w:r w:rsidRPr="00D21805">
        <w:rPr>
          <w:rFonts w:ascii="Times New Roman" w:eastAsia="Times New Roman" w:hAnsi="Times New Roman" w:cs="Times New Roman"/>
          <w:color w:val="020C22"/>
          <w:sz w:val="28"/>
          <w:szCs w:val="24"/>
          <w:shd w:val="clear" w:color="auto" w:fill="FEFEFE"/>
          <w:lang w:eastAsia="ru-RU"/>
        </w:rPr>
        <w:t>троэнергетики;</w:t>
      </w:r>
    </w:p>
    <w:p w:rsidR="00705A72" w:rsidRPr="00D21805" w:rsidRDefault="00705A72" w:rsidP="00735180">
      <w:pPr>
        <w:pStyle w:val="a5"/>
        <w:numPr>
          <w:ilvl w:val="0"/>
          <w:numId w:val="27"/>
        </w:numPr>
        <w:spacing w:line="360" w:lineRule="auto"/>
        <w:jc w:val="both"/>
        <w:rPr>
          <w:rFonts w:ascii="Times New Roman" w:eastAsia="Times New Roman" w:hAnsi="Times New Roman" w:cs="Times New Roman"/>
          <w:sz w:val="28"/>
          <w:szCs w:val="24"/>
        </w:rPr>
      </w:pPr>
      <w:r w:rsidRPr="00D21805">
        <w:rPr>
          <w:rFonts w:ascii="Times New Roman" w:eastAsia="Times New Roman" w:hAnsi="Times New Roman" w:cs="Times New Roman"/>
          <w:color w:val="020C22"/>
          <w:sz w:val="28"/>
          <w:szCs w:val="24"/>
          <w:shd w:val="clear" w:color="auto" w:fill="FEFEFE"/>
          <w:lang w:eastAsia="ru-RU"/>
        </w:rPr>
        <w:t>Несоответствие сметной  стоимости объектов рыночным реал</w:t>
      </w:r>
      <w:r w:rsidRPr="00D21805">
        <w:rPr>
          <w:rFonts w:ascii="Times New Roman" w:eastAsia="Times New Roman" w:hAnsi="Times New Roman" w:cs="Times New Roman"/>
          <w:color w:val="020C22"/>
          <w:sz w:val="28"/>
          <w:szCs w:val="24"/>
          <w:shd w:val="clear" w:color="auto" w:fill="FEFEFE"/>
          <w:lang w:eastAsia="ru-RU"/>
        </w:rPr>
        <w:t>и</w:t>
      </w:r>
      <w:r w:rsidRPr="00D21805">
        <w:rPr>
          <w:rFonts w:ascii="Times New Roman" w:eastAsia="Times New Roman" w:hAnsi="Times New Roman" w:cs="Times New Roman"/>
          <w:color w:val="020C22"/>
          <w:sz w:val="28"/>
          <w:szCs w:val="24"/>
          <w:shd w:val="clear" w:color="auto" w:fill="FEFEFE"/>
          <w:lang w:eastAsia="ru-RU"/>
        </w:rPr>
        <w:t>ям;</w:t>
      </w:r>
    </w:p>
    <w:p w:rsidR="00705A72" w:rsidRPr="00D21805" w:rsidRDefault="00705A72" w:rsidP="00735180">
      <w:pPr>
        <w:pStyle w:val="a5"/>
        <w:numPr>
          <w:ilvl w:val="0"/>
          <w:numId w:val="27"/>
        </w:numPr>
        <w:spacing w:line="360" w:lineRule="auto"/>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Возможность полноценной оценки финансового состояния ко</w:t>
      </w:r>
      <w:r w:rsidRPr="00D21805">
        <w:rPr>
          <w:rFonts w:ascii="Times New Roman" w:eastAsia="Times New Roman" w:hAnsi="Times New Roman" w:cs="Times New Roman"/>
          <w:sz w:val="28"/>
          <w:szCs w:val="24"/>
        </w:rPr>
        <w:t>м</w:t>
      </w:r>
      <w:r w:rsidRPr="00D21805">
        <w:rPr>
          <w:rFonts w:ascii="Times New Roman" w:eastAsia="Times New Roman" w:hAnsi="Times New Roman" w:cs="Times New Roman"/>
          <w:sz w:val="28"/>
          <w:szCs w:val="24"/>
        </w:rPr>
        <w:t>паний;</w:t>
      </w:r>
    </w:p>
    <w:p w:rsidR="00705A72" w:rsidRPr="00D21805" w:rsidRDefault="00705A72" w:rsidP="00735180">
      <w:pPr>
        <w:spacing w:line="360" w:lineRule="auto"/>
        <w:ind w:firstLine="567"/>
        <w:jc w:val="both"/>
        <w:rPr>
          <w:rFonts w:ascii="Times New Roman" w:eastAsia="Times New Roman" w:hAnsi="Times New Roman" w:cs="Times New Roman"/>
          <w:sz w:val="28"/>
          <w:szCs w:val="24"/>
        </w:rPr>
      </w:pPr>
      <w:r w:rsidRPr="00D21805">
        <w:rPr>
          <w:rFonts w:ascii="Times New Roman" w:eastAsia="Times New Roman" w:hAnsi="Times New Roman" w:cs="Times New Roman"/>
          <w:color w:val="000000"/>
          <w:sz w:val="28"/>
          <w:szCs w:val="24"/>
          <w:lang w:eastAsia="ru-RU"/>
        </w:rPr>
        <w:t xml:space="preserve">Надзорными органами  в данных </w:t>
      </w:r>
      <w:proofErr w:type="gramStart"/>
      <w:r w:rsidRPr="00D21805">
        <w:rPr>
          <w:rFonts w:ascii="Times New Roman" w:eastAsia="Times New Roman" w:hAnsi="Times New Roman" w:cs="Times New Roman"/>
          <w:color w:val="000000"/>
          <w:sz w:val="28"/>
          <w:szCs w:val="24"/>
          <w:lang w:eastAsia="ru-RU"/>
        </w:rPr>
        <w:t>областях</w:t>
      </w:r>
      <w:proofErr w:type="gramEnd"/>
      <w:r w:rsidRPr="00D21805">
        <w:rPr>
          <w:rFonts w:ascii="Times New Roman" w:eastAsia="Times New Roman" w:hAnsi="Times New Roman" w:cs="Times New Roman"/>
          <w:color w:val="000000"/>
          <w:sz w:val="28"/>
          <w:szCs w:val="24"/>
          <w:lang w:eastAsia="ru-RU"/>
        </w:rPr>
        <w:t xml:space="preserve"> как правило  выступает Счетная палата,  объектом – договорные условия Минэнерго, </w:t>
      </w:r>
      <w:proofErr w:type="spellStart"/>
      <w:r w:rsidRPr="00D21805">
        <w:rPr>
          <w:rFonts w:ascii="Times New Roman" w:eastAsia="Times New Roman" w:hAnsi="Times New Roman" w:cs="Times New Roman"/>
          <w:color w:val="000000"/>
          <w:sz w:val="28"/>
          <w:szCs w:val="24"/>
          <w:lang w:eastAsia="ru-RU"/>
        </w:rPr>
        <w:t>Росимущ</w:t>
      </w:r>
      <w:r w:rsidRPr="00D21805">
        <w:rPr>
          <w:rFonts w:ascii="Times New Roman" w:eastAsia="Times New Roman" w:hAnsi="Times New Roman" w:cs="Times New Roman"/>
          <w:color w:val="000000"/>
          <w:sz w:val="28"/>
          <w:szCs w:val="24"/>
          <w:lang w:eastAsia="ru-RU"/>
        </w:rPr>
        <w:t>е</w:t>
      </w:r>
      <w:r w:rsidRPr="00D21805">
        <w:rPr>
          <w:rFonts w:ascii="Times New Roman" w:eastAsia="Times New Roman" w:hAnsi="Times New Roman" w:cs="Times New Roman"/>
          <w:color w:val="000000"/>
          <w:sz w:val="28"/>
          <w:szCs w:val="24"/>
          <w:lang w:eastAsia="ru-RU"/>
        </w:rPr>
        <w:t>ства</w:t>
      </w:r>
      <w:proofErr w:type="spellEnd"/>
      <w:r w:rsidRPr="00D21805">
        <w:rPr>
          <w:rFonts w:ascii="Times New Roman" w:eastAsia="Times New Roman" w:hAnsi="Times New Roman" w:cs="Times New Roman"/>
          <w:color w:val="000000"/>
          <w:sz w:val="28"/>
          <w:szCs w:val="24"/>
          <w:lang w:eastAsia="ru-RU"/>
        </w:rPr>
        <w:t xml:space="preserve">  и компаний. Результаты нарушений грозят штрафами, как </w:t>
      </w:r>
      <w:proofErr w:type="gramStart"/>
      <w:r w:rsidRPr="00D21805">
        <w:rPr>
          <w:rFonts w:ascii="Times New Roman" w:eastAsia="Times New Roman" w:hAnsi="Times New Roman" w:cs="Times New Roman"/>
          <w:color w:val="000000"/>
          <w:sz w:val="28"/>
          <w:szCs w:val="24"/>
          <w:lang w:eastAsia="ru-RU"/>
        </w:rPr>
        <w:t>правило</w:t>
      </w:r>
      <w:proofErr w:type="gramEnd"/>
      <w:r w:rsidRPr="00D21805">
        <w:rPr>
          <w:rFonts w:ascii="Times New Roman" w:eastAsia="Times New Roman" w:hAnsi="Times New Roman" w:cs="Times New Roman"/>
          <w:color w:val="000000"/>
          <w:sz w:val="28"/>
          <w:szCs w:val="24"/>
          <w:lang w:eastAsia="ru-RU"/>
        </w:rPr>
        <w:t xml:space="preserve"> </w:t>
      </w:r>
      <w:r w:rsidR="00FC3FDC" w:rsidRPr="00D21805">
        <w:rPr>
          <w:rFonts w:ascii="Times New Roman" w:eastAsia="Times New Roman" w:hAnsi="Times New Roman" w:cs="Times New Roman"/>
          <w:sz w:val="28"/>
          <w:szCs w:val="24"/>
        </w:rPr>
        <w:t>р</w:t>
      </w:r>
      <w:r w:rsidRPr="00D21805">
        <w:rPr>
          <w:rFonts w:ascii="Times New Roman" w:eastAsia="Times New Roman" w:hAnsi="Times New Roman" w:cs="Times New Roman"/>
          <w:sz w:val="28"/>
          <w:szCs w:val="24"/>
        </w:rPr>
        <w:t>ассчитываемыми по результатам документального оформления ввода объектов строительства.</w:t>
      </w:r>
    </w:p>
    <w:p w:rsidR="00705A72" w:rsidRPr="00D21805" w:rsidRDefault="00705A72" w:rsidP="00735180">
      <w:pPr>
        <w:spacing w:line="360" w:lineRule="auto"/>
        <w:ind w:firstLine="567"/>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Денежно-кредитный контроль  и финансовый  мониторинг  в 80% случаев в отношении энергетических компаний реализуется со стороны «Сбербанка».</w:t>
      </w:r>
    </w:p>
    <w:p w:rsidR="00705A72" w:rsidRPr="00D21805" w:rsidRDefault="00735180" w:rsidP="00735180">
      <w:pPr>
        <w:shd w:val="clear" w:color="auto" w:fill="FFFFFF"/>
        <w:spacing w:line="360" w:lineRule="auto"/>
        <w:ind w:firstLine="567"/>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sz w:val="28"/>
          <w:szCs w:val="24"/>
        </w:rPr>
        <w:lastRenderedPageBreak/>
        <w:t xml:space="preserve">Финансовый мониторинг </w:t>
      </w:r>
      <w:r w:rsidR="00705A72" w:rsidRPr="00D21805">
        <w:rPr>
          <w:rFonts w:ascii="Times New Roman" w:eastAsia="Times New Roman" w:hAnsi="Times New Roman" w:cs="Times New Roman"/>
          <w:sz w:val="28"/>
          <w:szCs w:val="24"/>
        </w:rPr>
        <w:t>представляет собой важную часть системы контроля, применяемой по инициативе компаний. Данная система обесп</w:t>
      </w:r>
      <w:r w:rsidR="00705A72" w:rsidRPr="00D21805">
        <w:rPr>
          <w:rFonts w:ascii="Times New Roman" w:eastAsia="Times New Roman" w:hAnsi="Times New Roman" w:cs="Times New Roman"/>
          <w:sz w:val="28"/>
          <w:szCs w:val="24"/>
        </w:rPr>
        <w:t>е</w:t>
      </w:r>
      <w:r w:rsidR="00705A72" w:rsidRPr="00D21805">
        <w:rPr>
          <w:rFonts w:ascii="Times New Roman" w:eastAsia="Times New Roman" w:hAnsi="Times New Roman" w:cs="Times New Roman"/>
          <w:sz w:val="28"/>
          <w:szCs w:val="24"/>
        </w:rPr>
        <w:t xml:space="preserve">чивает максимальный уровень </w:t>
      </w:r>
      <w:proofErr w:type="spellStart"/>
      <w:r w:rsidR="00705A72" w:rsidRPr="00D21805">
        <w:rPr>
          <w:rFonts w:ascii="Times New Roman" w:eastAsia="Times New Roman" w:hAnsi="Times New Roman" w:cs="Times New Roman"/>
          <w:sz w:val="28"/>
          <w:szCs w:val="24"/>
        </w:rPr>
        <w:t>транспарентности</w:t>
      </w:r>
      <w:proofErr w:type="spellEnd"/>
      <w:r w:rsidR="00705A72" w:rsidRPr="00D21805">
        <w:rPr>
          <w:rFonts w:ascii="Times New Roman" w:eastAsia="Times New Roman" w:hAnsi="Times New Roman" w:cs="Times New Roman"/>
          <w:sz w:val="28"/>
          <w:szCs w:val="24"/>
        </w:rPr>
        <w:t xml:space="preserve"> при целевом расходов</w:t>
      </w:r>
      <w:r w:rsidR="00705A72" w:rsidRPr="00D21805">
        <w:rPr>
          <w:rFonts w:ascii="Times New Roman" w:eastAsia="Times New Roman" w:hAnsi="Times New Roman" w:cs="Times New Roman"/>
          <w:sz w:val="28"/>
          <w:szCs w:val="24"/>
        </w:rPr>
        <w:t>а</w:t>
      </w:r>
      <w:r w:rsidR="00705A72" w:rsidRPr="00D21805">
        <w:rPr>
          <w:rFonts w:ascii="Times New Roman" w:eastAsia="Times New Roman" w:hAnsi="Times New Roman" w:cs="Times New Roman"/>
          <w:sz w:val="28"/>
          <w:szCs w:val="24"/>
        </w:rPr>
        <w:t>нии бюджетных средств и позволяет государству в текущем режиме оц</w:t>
      </w:r>
      <w:r w:rsidR="00705A72" w:rsidRPr="00D21805">
        <w:rPr>
          <w:rFonts w:ascii="Times New Roman" w:eastAsia="Times New Roman" w:hAnsi="Times New Roman" w:cs="Times New Roman"/>
          <w:sz w:val="28"/>
          <w:szCs w:val="24"/>
        </w:rPr>
        <w:t>е</w:t>
      </w:r>
      <w:r w:rsidR="00705A72" w:rsidRPr="00D21805">
        <w:rPr>
          <w:rFonts w:ascii="Times New Roman" w:eastAsia="Times New Roman" w:hAnsi="Times New Roman" w:cs="Times New Roman"/>
          <w:sz w:val="28"/>
          <w:szCs w:val="24"/>
        </w:rPr>
        <w:t xml:space="preserve">нивать и проводить анализ хода реализации </w:t>
      </w:r>
      <w:r w:rsidR="00705A72" w:rsidRPr="00D21805">
        <w:rPr>
          <w:rFonts w:ascii="Times New Roman" w:eastAsia="Times New Roman" w:hAnsi="Times New Roman" w:cs="Times New Roman"/>
          <w:color w:val="000000"/>
          <w:sz w:val="28"/>
          <w:szCs w:val="24"/>
          <w:lang w:eastAsia="ru-RU"/>
        </w:rPr>
        <w:t>проектов, проверять эффе</w:t>
      </w:r>
      <w:r w:rsidR="00705A72" w:rsidRPr="00D21805">
        <w:rPr>
          <w:rFonts w:ascii="Times New Roman" w:eastAsia="Times New Roman" w:hAnsi="Times New Roman" w:cs="Times New Roman"/>
          <w:color w:val="000000"/>
          <w:sz w:val="28"/>
          <w:szCs w:val="24"/>
          <w:lang w:eastAsia="ru-RU"/>
        </w:rPr>
        <w:t>к</w:t>
      </w:r>
      <w:r w:rsidR="00705A72" w:rsidRPr="00D21805">
        <w:rPr>
          <w:rFonts w:ascii="Times New Roman" w:eastAsia="Times New Roman" w:hAnsi="Times New Roman" w:cs="Times New Roman"/>
          <w:color w:val="000000"/>
          <w:sz w:val="28"/>
          <w:szCs w:val="24"/>
          <w:lang w:eastAsia="ru-RU"/>
        </w:rPr>
        <w:t>тивность капитальных вложений</w:t>
      </w:r>
      <w:r w:rsidRPr="00D21805">
        <w:rPr>
          <w:rFonts w:ascii="Times New Roman" w:eastAsia="Times New Roman" w:hAnsi="Times New Roman" w:cs="Times New Roman"/>
          <w:color w:val="000000"/>
          <w:sz w:val="28"/>
          <w:szCs w:val="24"/>
          <w:lang w:eastAsia="ru-RU"/>
        </w:rPr>
        <w:t>.</w:t>
      </w:r>
      <w:r w:rsidR="00705A72" w:rsidRPr="00D21805">
        <w:rPr>
          <w:rFonts w:ascii="Times New Roman" w:eastAsia="Times New Roman" w:hAnsi="Times New Roman" w:cs="Times New Roman"/>
          <w:color w:val="000000"/>
          <w:sz w:val="28"/>
          <w:szCs w:val="24"/>
          <w:lang w:eastAsia="ru-RU"/>
        </w:rPr>
        <w:t xml:space="preserve"> </w:t>
      </w:r>
    </w:p>
    <w:p w:rsidR="00705A72" w:rsidRPr="00D21805" w:rsidRDefault="00705A72" w:rsidP="00735180">
      <w:pPr>
        <w:shd w:val="clear" w:color="auto" w:fill="FFFFFF"/>
        <w:spacing w:line="360" w:lineRule="auto"/>
        <w:ind w:firstLine="567"/>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Ещё одна важная составляющая </w:t>
      </w:r>
      <w:proofErr w:type="gramStart"/>
      <w:r w:rsidRPr="00D21805">
        <w:rPr>
          <w:rFonts w:ascii="Times New Roman" w:eastAsia="Times New Roman" w:hAnsi="Times New Roman" w:cs="Times New Roman"/>
          <w:color w:val="000000"/>
          <w:sz w:val="28"/>
          <w:szCs w:val="24"/>
          <w:lang w:eastAsia="ru-RU"/>
        </w:rPr>
        <w:t>гос. контроля</w:t>
      </w:r>
      <w:proofErr w:type="gramEnd"/>
      <w:r w:rsidRPr="00D21805">
        <w:rPr>
          <w:rFonts w:ascii="Times New Roman" w:eastAsia="Times New Roman" w:hAnsi="Times New Roman" w:cs="Times New Roman"/>
          <w:color w:val="000000"/>
          <w:sz w:val="28"/>
          <w:szCs w:val="24"/>
          <w:lang w:eastAsia="ru-RU"/>
        </w:rPr>
        <w:t xml:space="preserve"> - налоговый монит</w:t>
      </w:r>
      <w:r w:rsidRPr="00D21805">
        <w:rPr>
          <w:rFonts w:ascii="Times New Roman" w:eastAsia="Times New Roman" w:hAnsi="Times New Roman" w:cs="Times New Roman"/>
          <w:color w:val="000000"/>
          <w:sz w:val="28"/>
          <w:szCs w:val="24"/>
          <w:lang w:eastAsia="ru-RU"/>
        </w:rPr>
        <w:t>о</w:t>
      </w:r>
      <w:r w:rsidRPr="00D21805">
        <w:rPr>
          <w:rFonts w:ascii="Times New Roman" w:eastAsia="Times New Roman" w:hAnsi="Times New Roman" w:cs="Times New Roman"/>
          <w:color w:val="000000"/>
          <w:sz w:val="28"/>
          <w:szCs w:val="24"/>
          <w:lang w:eastAsia="ru-RU"/>
        </w:rPr>
        <w:t>ринг</w:t>
      </w:r>
      <w:r w:rsidR="00735180" w:rsidRPr="00D21805">
        <w:rPr>
          <w:rFonts w:ascii="Times New Roman" w:eastAsia="Times New Roman" w:hAnsi="Times New Roman" w:cs="Times New Roman"/>
          <w:color w:val="000000"/>
          <w:sz w:val="28"/>
          <w:szCs w:val="24"/>
          <w:lang w:eastAsia="ru-RU"/>
        </w:rPr>
        <w:t xml:space="preserve">. </w:t>
      </w:r>
      <w:r w:rsidRPr="00D21805">
        <w:rPr>
          <w:rFonts w:ascii="Times New Roman" w:eastAsia="Times New Roman" w:hAnsi="Times New Roman" w:cs="Times New Roman"/>
          <w:color w:val="000000"/>
          <w:sz w:val="28"/>
          <w:szCs w:val="24"/>
          <w:lang w:eastAsia="ru-RU"/>
        </w:rPr>
        <w:t>В рамках заключённых двусторонних соглашений налоговые службы осуществляли мониторинг финансово-хозяйственных операций налогопл</w:t>
      </w:r>
      <w:r w:rsidRPr="00D21805">
        <w:rPr>
          <w:rFonts w:ascii="Times New Roman" w:eastAsia="Times New Roman" w:hAnsi="Times New Roman" w:cs="Times New Roman"/>
          <w:color w:val="000000"/>
          <w:sz w:val="28"/>
          <w:szCs w:val="24"/>
          <w:lang w:eastAsia="ru-RU"/>
        </w:rPr>
        <w:t>а</w:t>
      </w:r>
      <w:r w:rsidRPr="00D21805">
        <w:rPr>
          <w:rFonts w:ascii="Times New Roman" w:eastAsia="Times New Roman" w:hAnsi="Times New Roman" w:cs="Times New Roman"/>
          <w:color w:val="000000"/>
          <w:sz w:val="28"/>
          <w:szCs w:val="24"/>
          <w:lang w:eastAsia="ru-RU"/>
        </w:rPr>
        <w:t>тельщиков в режиме реального времени, а компаниям-участницам данного проекта была предоставлена возможность заранее согласовывать свою п</w:t>
      </w:r>
      <w:r w:rsidRPr="00D21805">
        <w:rPr>
          <w:rFonts w:ascii="Times New Roman" w:eastAsia="Times New Roman" w:hAnsi="Times New Roman" w:cs="Times New Roman"/>
          <w:color w:val="000000"/>
          <w:sz w:val="28"/>
          <w:szCs w:val="24"/>
          <w:lang w:eastAsia="ru-RU"/>
        </w:rPr>
        <w:t>о</w:t>
      </w:r>
      <w:r w:rsidRPr="00D21805">
        <w:rPr>
          <w:rFonts w:ascii="Times New Roman" w:eastAsia="Times New Roman" w:hAnsi="Times New Roman" w:cs="Times New Roman"/>
          <w:color w:val="000000"/>
          <w:sz w:val="28"/>
          <w:szCs w:val="24"/>
          <w:lang w:eastAsia="ru-RU"/>
        </w:rPr>
        <w:t>зицию по вопросам налогообложения с ФНС России.</w:t>
      </w:r>
    </w:p>
    <w:p w:rsidR="00705A72" w:rsidRPr="00D21805" w:rsidRDefault="00705A72" w:rsidP="00735180">
      <w:pPr>
        <w:spacing w:line="360" w:lineRule="auto"/>
        <w:ind w:firstLine="709"/>
        <w:jc w:val="both"/>
        <w:rPr>
          <w:rFonts w:ascii="Times New Roman" w:hAnsi="Times New Roman" w:cs="Times New Roman"/>
          <w:sz w:val="28"/>
          <w:szCs w:val="24"/>
        </w:rPr>
      </w:pPr>
      <w:r w:rsidRPr="00D21805">
        <w:rPr>
          <w:rFonts w:ascii="Times New Roman" w:eastAsia="Times New Roman" w:hAnsi="Times New Roman" w:cs="Times New Roman"/>
          <w:color w:val="000000"/>
          <w:sz w:val="28"/>
          <w:szCs w:val="24"/>
          <w:lang w:eastAsia="ru-RU"/>
        </w:rPr>
        <w:t>Налоговый мониторинг представляет собой полное раскрытие и</w:t>
      </w:r>
      <w:r w:rsidRPr="00D21805">
        <w:rPr>
          <w:rFonts w:ascii="Times New Roman" w:eastAsia="Times New Roman" w:hAnsi="Times New Roman" w:cs="Times New Roman"/>
          <w:color w:val="000000"/>
          <w:sz w:val="28"/>
          <w:szCs w:val="24"/>
          <w:lang w:eastAsia="ru-RU"/>
        </w:rPr>
        <w:t>н</w:t>
      </w:r>
      <w:r w:rsidRPr="00D21805">
        <w:rPr>
          <w:rFonts w:ascii="Times New Roman" w:eastAsia="Times New Roman" w:hAnsi="Times New Roman" w:cs="Times New Roman"/>
          <w:color w:val="000000"/>
          <w:sz w:val="28"/>
          <w:szCs w:val="24"/>
          <w:lang w:eastAsia="ru-RU"/>
        </w:rPr>
        <w:t xml:space="preserve">формации о деятельности со стороны компаний-налогоплательщиков, что, в свою очередь, </w:t>
      </w:r>
      <w:r w:rsidRPr="00D21805">
        <w:rPr>
          <w:rFonts w:ascii="Times New Roman" w:hAnsi="Times New Roman" w:cs="Times New Roman"/>
          <w:sz w:val="28"/>
          <w:szCs w:val="24"/>
        </w:rPr>
        <w:t xml:space="preserve">позволяет налоговым органам осуществлять налоговый контроль на постоянной основе. </w:t>
      </w:r>
      <w:r w:rsidR="00735180" w:rsidRPr="00D21805">
        <w:rPr>
          <w:rFonts w:ascii="Times New Roman" w:hAnsi="Times New Roman" w:cs="Times New Roman"/>
          <w:sz w:val="28"/>
          <w:szCs w:val="24"/>
        </w:rPr>
        <w:t>Д</w:t>
      </w:r>
      <w:r w:rsidRPr="00D21805">
        <w:rPr>
          <w:rFonts w:ascii="Times New Roman" w:hAnsi="Times New Roman" w:cs="Times New Roman"/>
          <w:sz w:val="28"/>
          <w:szCs w:val="24"/>
        </w:rPr>
        <w:t>анный механизм удобен для налогопл</w:t>
      </w:r>
      <w:r w:rsidRPr="00D21805">
        <w:rPr>
          <w:rFonts w:ascii="Times New Roman" w:hAnsi="Times New Roman" w:cs="Times New Roman"/>
          <w:sz w:val="28"/>
          <w:szCs w:val="24"/>
        </w:rPr>
        <w:t>а</w:t>
      </w:r>
      <w:r w:rsidRPr="00D21805">
        <w:rPr>
          <w:rFonts w:ascii="Times New Roman" w:hAnsi="Times New Roman" w:cs="Times New Roman"/>
          <w:sz w:val="28"/>
          <w:szCs w:val="24"/>
        </w:rPr>
        <w:t>тельщиков, поскольку с его помощью снижаются налоговые риски за счёт повышения предсказуемости налогового регулирования, уменьшается н</w:t>
      </w:r>
      <w:r w:rsidRPr="00D21805">
        <w:rPr>
          <w:rFonts w:ascii="Times New Roman" w:hAnsi="Times New Roman" w:cs="Times New Roman"/>
          <w:sz w:val="28"/>
          <w:szCs w:val="24"/>
        </w:rPr>
        <w:t>е</w:t>
      </w:r>
      <w:r w:rsidRPr="00D21805">
        <w:rPr>
          <w:rFonts w:ascii="Times New Roman" w:hAnsi="Times New Roman" w:cs="Times New Roman"/>
          <w:sz w:val="28"/>
          <w:szCs w:val="24"/>
        </w:rPr>
        <w:t xml:space="preserve">определённость, возникающая в применения налогового законодательства. </w:t>
      </w:r>
      <w:r w:rsidR="00735180" w:rsidRPr="00D21805">
        <w:rPr>
          <w:rFonts w:ascii="Times New Roman" w:hAnsi="Times New Roman" w:cs="Times New Roman"/>
          <w:sz w:val="28"/>
          <w:szCs w:val="24"/>
        </w:rPr>
        <w:t>П</w:t>
      </w:r>
      <w:r w:rsidRPr="00D21805">
        <w:rPr>
          <w:rFonts w:ascii="Times New Roman" w:hAnsi="Times New Roman" w:cs="Times New Roman"/>
          <w:sz w:val="28"/>
          <w:szCs w:val="24"/>
        </w:rPr>
        <w:t xml:space="preserve">роцедура горизонтального мониторинга предполагает высокую степень </w:t>
      </w:r>
      <w:proofErr w:type="spellStart"/>
      <w:r w:rsidRPr="00D21805">
        <w:rPr>
          <w:rFonts w:ascii="Times New Roman" w:hAnsi="Times New Roman" w:cs="Times New Roman"/>
          <w:sz w:val="28"/>
          <w:szCs w:val="24"/>
        </w:rPr>
        <w:t>транспарентности</w:t>
      </w:r>
      <w:proofErr w:type="spellEnd"/>
      <w:r w:rsidRPr="00D21805">
        <w:rPr>
          <w:rFonts w:ascii="Times New Roman" w:hAnsi="Times New Roman" w:cs="Times New Roman"/>
          <w:sz w:val="28"/>
          <w:szCs w:val="24"/>
        </w:rPr>
        <w:t xml:space="preserve"> компании для налоговых органов, прозрачность ведения договорных отношений и готовность налогоплательщика к конструкти</w:t>
      </w:r>
      <w:r w:rsidRPr="00D21805">
        <w:rPr>
          <w:rFonts w:ascii="Times New Roman" w:hAnsi="Times New Roman" w:cs="Times New Roman"/>
          <w:sz w:val="28"/>
          <w:szCs w:val="24"/>
        </w:rPr>
        <w:t>в</w:t>
      </w:r>
      <w:r w:rsidRPr="00D21805">
        <w:rPr>
          <w:rFonts w:ascii="Times New Roman" w:hAnsi="Times New Roman" w:cs="Times New Roman"/>
          <w:sz w:val="28"/>
          <w:szCs w:val="24"/>
        </w:rPr>
        <w:t>ному диалогу с представителями налоговой системы</w:t>
      </w:r>
      <w:r w:rsidR="00EB302E" w:rsidRPr="00D21805">
        <w:rPr>
          <w:rFonts w:ascii="Times New Roman" w:hAnsi="Times New Roman" w:cs="Times New Roman"/>
          <w:sz w:val="28"/>
          <w:szCs w:val="24"/>
        </w:rPr>
        <w:t>. Данные мероприятия  позволяют получать разъяснения по разным налоговым вопросам, и как следствие, урегулировать налоговые споры в мирном порядке.</w:t>
      </w:r>
    </w:p>
    <w:p w:rsidR="00705A72" w:rsidRPr="00D21805" w:rsidRDefault="00705A72" w:rsidP="00735180">
      <w:pPr>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Существующие процедуры и способы финансового контроля, ос</w:t>
      </w:r>
      <w:r w:rsidRPr="00D21805">
        <w:rPr>
          <w:rFonts w:ascii="Times New Roman" w:hAnsi="Times New Roman" w:cs="Times New Roman"/>
          <w:sz w:val="28"/>
          <w:szCs w:val="24"/>
        </w:rPr>
        <w:t>у</w:t>
      </w:r>
      <w:r w:rsidRPr="00D21805">
        <w:rPr>
          <w:rFonts w:ascii="Times New Roman" w:hAnsi="Times New Roman" w:cs="Times New Roman"/>
          <w:sz w:val="28"/>
          <w:szCs w:val="24"/>
        </w:rPr>
        <w:t>ществляемого в отношении  компаний энергетического сектора, дают свои результаты и  положительно отражаются на итогах деятельности</w:t>
      </w:r>
      <w:r w:rsidR="00FC3FDC" w:rsidRPr="00D21805">
        <w:rPr>
          <w:rFonts w:ascii="Times New Roman" w:hAnsi="Times New Roman" w:cs="Times New Roman"/>
          <w:sz w:val="28"/>
          <w:szCs w:val="24"/>
        </w:rPr>
        <w:t xml:space="preserve">. В силу того, что в большинстве  исследуемых компаний с </w:t>
      </w:r>
      <w:r w:rsidR="00EB302E" w:rsidRPr="00D21805">
        <w:rPr>
          <w:rFonts w:ascii="Times New Roman" w:hAnsi="Times New Roman" w:cs="Times New Roman"/>
          <w:sz w:val="28"/>
          <w:szCs w:val="24"/>
        </w:rPr>
        <w:t xml:space="preserve">процессы, процедуры и направления внутреннего контроля совпадают  с вероятностью 75 %, то </w:t>
      </w:r>
      <w:r w:rsidR="00EB302E" w:rsidRPr="00D21805">
        <w:rPr>
          <w:rFonts w:ascii="Times New Roman" w:hAnsi="Times New Roman" w:cs="Times New Roman"/>
          <w:sz w:val="28"/>
          <w:szCs w:val="24"/>
        </w:rPr>
        <w:lastRenderedPageBreak/>
        <w:t xml:space="preserve">нами предложена модель комплексной оценки эффективности внутреннего финансового контроля. Модель позволяет  ликвидировать узкие места,  выявить отсутствующие ключевые звенья. Модель может </w:t>
      </w:r>
      <w:r w:rsidR="00735180" w:rsidRPr="00D21805">
        <w:rPr>
          <w:rFonts w:ascii="Times New Roman" w:hAnsi="Times New Roman" w:cs="Times New Roman"/>
          <w:sz w:val="28"/>
          <w:szCs w:val="24"/>
        </w:rPr>
        <w:t>применяться</w:t>
      </w:r>
      <w:r w:rsidR="00EB302E" w:rsidRPr="00D21805">
        <w:rPr>
          <w:rFonts w:ascii="Times New Roman" w:hAnsi="Times New Roman" w:cs="Times New Roman"/>
          <w:sz w:val="28"/>
          <w:szCs w:val="24"/>
        </w:rPr>
        <w:t xml:space="preserve"> и для глубокого анализа эффективности  внутрифирменного контроля, а так же для проведения </w:t>
      </w:r>
      <w:proofErr w:type="spellStart"/>
      <w:r w:rsidR="00EB302E" w:rsidRPr="00D21805">
        <w:rPr>
          <w:rFonts w:ascii="Times New Roman" w:hAnsi="Times New Roman" w:cs="Times New Roman"/>
          <w:sz w:val="28"/>
          <w:szCs w:val="24"/>
        </w:rPr>
        <w:t>бенчмаркинга</w:t>
      </w:r>
      <w:proofErr w:type="spellEnd"/>
      <w:r w:rsidR="00EB302E" w:rsidRPr="00D21805">
        <w:rPr>
          <w:rFonts w:ascii="Times New Roman" w:hAnsi="Times New Roman" w:cs="Times New Roman"/>
          <w:sz w:val="28"/>
          <w:szCs w:val="24"/>
        </w:rPr>
        <w:t xml:space="preserve"> компаний отрасли.</w:t>
      </w:r>
    </w:p>
    <w:p w:rsidR="00A05135" w:rsidRPr="00D21805" w:rsidRDefault="00735180" w:rsidP="00735180">
      <w:pPr>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В целом </w:t>
      </w:r>
      <w:r w:rsidR="00A05135" w:rsidRPr="00D21805">
        <w:rPr>
          <w:rFonts w:ascii="Times New Roman" w:hAnsi="Times New Roman" w:cs="Times New Roman"/>
          <w:sz w:val="28"/>
          <w:szCs w:val="24"/>
        </w:rPr>
        <w:t xml:space="preserve"> результаты </w:t>
      </w:r>
      <w:r w:rsidRPr="00D21805">
        <w:rPr>
          <w:rFonts w:ascii="Times New Roman" w:hAnsi="Times New Roman" w:cs="Times New Roman"/>
          <w:sz w:val="28"/>
          <w:szCs w:val="24"/>
        </w:rPr>
        <w:t>ВФК</w:t>
      </w:r>
      <w:r w:rsidR="00A05135" w:rsidRPr="00D21805">
        <w:rPr>
          <w:rFonts w:ascii="Times New Roman" w:hAnsi="Times New Roman" w:cs="Times New Roman"/>
          <w:sz w:val="28"/>
          <w:szCs w:val="24"/>
        </w:rPr>
        <w:t xml:space="preserve"> рассматриваются в качестве базы для пр</w:t>
      </w:r>
      <w:r w:rsidR="00A05135" w:rsidRPr="00D21805">
        <w:rPr>
          <w:rFonts w:ascii="Times New Roman" w:hAnsi="Times New Roman" w:cs="Times New Roman"/>
          <w:sz w:val="28"/>
          <w:szCs w:val="24"/>
        </w:rPr>
        <w:t>и</w:t>
      </w:r>
      <w:r w:rsidR="00A05135" w:rsidRPr="00D21805">
        <w:rPr>
          <w:rFonts w:ascii="Times New Roman" w:hAnsi="Times New Roman" w:cs="Times New Roman"/>
          <w:sz w:val="28"/>
          <w:szCs w:val="24"/>
        </w:rPr>
        <w:t xml:space="preserve">нятия инвестиционных решений при распределении прибыли корпорации, определения приоритетов развития различных подразделений. </w:t>
      </w:r>
      <w:proofErr w:type="gramStart"/>
      <w:r w:rsidR="00A05135" w:rsidRPr="00D21805">
        <w:rPr>
          <w:rFonts w:ascii="Times New Roman" w:hAnsi="Times New Roman" w:cs="Times New Roman"/>
          <w:sz w:val="28"/>
          <w:szCs w:val="24"/>
        </w:rPr>
        <w:t>Однако ввиду того, что корпоративная финансовая информация находится в огр</w:t>
      </w:r>
      <w:r w:rsidR="00A05135" w:rsidRPr="00D21805">
        <w:rPr>
          <w:rFonts w:ascii="Times New Roman" w:hAnsi="Times New Roman" w:cs="Times New Roman"/>
          <w:sz w:val="28"/>
          <w:szCs w:val="24"/>
        </w:rPr>
        <w:t>а</w:t>
      </w:r>
      <w:r w:rsidR="00A05135" w:rsidRPr="00D21805">
        <w:rPr>
          <w:rFonts w:ascii="Times New Roman" w:hAnsi="Times New Roman" w:cs="Times New Roman"/>
          <w:sz w:val="28"/>
          <w:szCs w:val="24"/>
        </w:rPr>
        <w:t xml:space="preserve">ниченном доступе для сторонних лиц, объективная оценка </w:t>
      </w:r>
      <w:r w:rsidR="00762938" w:rsidRPr="00D21805">
        <w:rPr>
          <w:rFonts w:ascii="Times New Roman" w:hAnsi="Times New Roman" w:cs="Times New Roman"/>
          <w:sz w:val="28"/>
          <w:szCs w:val="24"/>
        </w:rPr>
        <w:t>эффективности</w:t>
      </w:r>
      <w:r w:rsidR="00A05135" w:rsidRPr="00D21805">
        <w:rPr>
          <w:rFonts w:ascii="Times New Roman" w:hAnsi="Times New Roman" w:cs="Times New Roman"/>
          <w:sz w:val="28"/>
          <w:szCs w:val="24"/>
        </w:rPr>
        <w:t xml:space="preserve"> внутреннего финансового контроля сложна как в теоретическом, так и в практическом аспектах.</w:t>
      </w:r>
      <w:proofErr w:type="gramEnd"/>
      <w:r w:rsidR="00A05135" w:rsidRPr="00D21805">
        <w:rPr>
          <w:rFonts w:ascii="Times New Roman" w:hAnsi="Times New Roman" w:cs="Times New Roman"/>
          <w:sz w:val="28"/>
          <w:szCs w:val="24"/>
        </w:rPr>
        <w:t xml:space="preserve"> Поэтому пользователям корпоративных данных либо потенциальным инвесторам остаётся лишь довериться предоставля</w:t>
      </w:r>
      <w:r w:rsidR="00A05135" w:rsidRPr="00D21805">
        <w:rPr>
          <w:rFonts w:ascii="Times New Roman" w:hAnsi="Times New Roman" w:cs="Times New Roman"/>
          <w:sz w:val="28"/>
          <w:szCs w:val="24"/>
        </w:rPr>
        <w:t>е</w:t>
      </w:r>
      <w:r w:rsidR="00A05135" w:rsidRPr="00D21805">
        <w:rPr>
          <w:rFonts w:ascii="Times New Roman" w:hAnsi="Times New Roman" w:cs="Times New Roman"/>
          <w:sz w:val="28"/>
          <w:szCs w:val="24"/>
        </w:rPr>
        <w:t xml:space="preserve">мым компаниями сведениям в надежде на их достоверность и </w:t>
      </w:r>
      <w:proofErr w:type="spellStart"/>
      <w:r w:rsidR="00A05135" w:rsidRPr="00D21805">
        <w:rPr>
          <w:rFonts w:ascii="Times New Roman" w:hAnsi="Times New Roman" w:cs="Times New Roman"/>
          <w:sz w:val="28"/>
          <w:szCs w:val="24"/>
        </w:rPr>
        <w:t>трансп</w:t>
      </w:r>
      <w:r w:rsidR="00A05135" w:rsidRPr="00D21805">
        <w:rPr>
          <w:rFonts w:ascii="Times New Roman" w:hAnsi="Times New Roman" w:cs="Times New Roman"/>
          <w:sz w:val="28"/>
          <w:szCs w:val="24"/>
        </w:rPr>
        <w:t>а</w:t>
      </w:r>
      <w:r w:rsidR="00A05135" w:rsidRPr="00D21805">
        <w:rPr>
          <w:rFonts w:ascii="Times New Roman" w:hAnsi="Times New Roman" w:cs="Times New Roman"/>
          <w:sz w:val="28"/>
          <w:szCs w:val="24"/>
        </w:rPr>
        <w:t>рентность</w:t>
      </w:r>
      <w:proofErr w:type="spellEnd"/>
      <w:r w:rsidR="00A05135" w:rsidRPr="00D21805">
        <w:rPr>
          <w:rFonts w:ascii="Times New Roman" w:hAnsi="Times New Roman" w:cs="Times New Roman"/>
          <w:sz w:val="28"/>
          <w:szCs w:val="24"/>
        </w:rPr>
        <w:t>.</w:t>
      </w:r>
    </w:p>
    <w:p w:rsidR="00A05135" w:rsidRPr="00D21805" w:rsidRDefault="00A05135" w:rsidP="00735180">
      <w:pPr>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 </w:t>
      </w:r>
      <w:r w:rsidR="00735180" w:rsidRPr="00D21805">
        <w:rPr>
          <w:rFonts w:ascii="Times New Roman" w:hAnsi="Times New Roman" w:cs="Times New Roman"/>
          <w:sz w:val="28"/>
          <w:szCs w:val="24"/>
        </w:rPr>
        <w:t>К</w:t>
      </w:r>
      <w:r w:rsidRPr="00D21805">
        <w:rPr>
          <w:rFonts w:ascii="Times New Roman" w:hAnsi="Times New Roman" w:cs="Times New Roman"/>
          <w:sz w:val="28"/>
          <w:szCs w:val="24"/>
        </w:rPr>
        <w:t xml:space="preserve"> сожалению, в подавляющем большинстве случаев руководство российских компаний не осознаёт значимость финансового контроля и внедряет его </w:t>
      </w:r>
      <w:r w:rsidR="00FC3FDC" w:rsidRPr="00D21805">
        <w:rPr>
          <w:rFonts w:ascii="Times New Roman" w:hAnsi="Times New Roman" w:cs="Times New Roman"/>
          <w:sz w:val="28"/>
          <w:szCs w:val="24"/>
        </w:rPr>
        <w:t xml:space="preserve">лишь формально </w:t>
      </w:r>
      <w:r w:rsidRPr="00D21805">
        <w:rPr>
          <w:rFonts w:ascii="Times New Roman" w:hAnsi="Times New Roman" w:cs="Times New Roman"/>
          <w:sz w:val="28"/>
          <w:szCs w:val="24"/>
        </w:rPr>
        <w:t xml:space="preserve"> при введении необходимости требованиями российского законодательства либо при попадании под международные требования. Следовательно, имеется необходимость в независимой оценке действенности и результативности процедур проводимого финансового контроля. Анкетирование среди компаний-представителей среднего бизн</w:t>
      </w:r>
      <w:r w:rsidRPr="00D21805">
        <w:rPr>
          <w:rFonts w:ascii="Times New Roman" w:hAnsi="Times New Roman" w:cs="Times New Roman"/>
          <w:sz w:val="28"/>
          <w:szCs w:val="24"/>
        </w:rPr>
        <w:t>е</w:t>
      </w:r>
      <w:r w:rsidRPr="00D21805">
        <w:rPr>
          <w:rFonts w:ascii="Times New Roman" w:hAnsi="Times New Roman" w:cs="Times New Roman"/>
          <w:sz w:val="28"/>
          <w:szCs w:val="24"/>
        </w:rPr>
        <w:t>са позволило сделать вывод о низкой информативности данного метода ввиду значительного количества пропусков ответов респондентов при а</w:t>
      </w:r>
      <w:r w:rsidRPr="00D21805">
        <w:rPr>
          <w:rFonts w:ascii="Times New Roman" w:hAnsi="Times New Roman" w:cs="Times New Roman"/>
          <w:sz w:val="28"/>
          <w:szCs w:val="24"/>
        </w:rPr>
        <w:t>н</w:t>
      </w:r>
      <w:r w:rsidRPr="00D21805">
        <w:rPr>
          <w:rFonts w:ascii="Times New Roman" w:hAnsi="Times New Roman" w:cs="Times New Roman"/>
          <w:sz w:val="28"/>
          <w:szCs w:val="24"/>
        </w:rPr>
        <w:t>кетировании. В следующей части будет представлена сводная система п</w:t>
      </w:r>
      <w:r w:rsidRPr="00D21805">
        <w:rPr>
          <w:rFonts w:ascii="Times New Roman" w:hAnsi="Times New Roman" w:cs="Times New Roman"/>
          <w:sz w:val="28"/>
          <w:szCs w:val="24"/>
        </w:rPr>
        <w:t>о</w:t>
      </w:r>
      <w:r w:rsidRPr="00D21805">
        <w:rPr>
          <w:rFonts w:ascii="Times New Roman" w:hAnsi="Times New Roman" w:cs="Times New Roman"/>
          <w:sz w:val="28"/>
          <w:szCs w:val="24"/>
        </w:rPr>
        <w:t>казателей финансового контроля, которая позволяет протестировать э</w:t>
      </w:r>
      <w:r w:rsidRPr="00D21805">
        <w:rPr>
          <w:rFonts w:ascii="Times New Roman" w:hAnsi="Times New Roman" w:cs="Times New Roman"/>
          <w:sz w:val="28"/>
          <w:szCs w:val="24"/>
        </w:rPr>
        <w:t>ф</w:t>
      </w:r>
      <w:r w:rsidRPr="00D21805">
        <w:rPr>
          <w:rFonts w:ascii="Times New Roman" w:hAnsi="Times New Roman" w:cs="Times New Roman"/>
          <w:sz w:val="28"/>
          <w:szCs w:val="24"/>
        </w:rPr>
        <w:t>фективность внутрифирменных процессов и указать «узкие места» при  их организации.</w:t>
      </w:r>
    </w:p>
    <w:p w:rsidR="00735180" w:rsidRPr="00D21805" w:rsidRDefault="003B4F05" w:rsidP="00735180">
      <w:pPr>
        <w:spacing w:line="360" w:lineRule="auto"/>
        <w:rPr>
          <w:rFonts w:ascii="Times New Roman" w:eastAsia="Times New Roman" w:hAnsi="Times New Roman" w:cs="Times New Roman"/>
          <w:b/>
          <w:bCs/>
          <w:sz w:val="28"/>
          <w:szCs w:val="24"/>
          <w:lang w:eastAsia="ru-RU"/>
        </w:rPr>
      </w:pPr>
      <w:bookmarkStart w:id="2" w:name="_Toc495004027"/>
      <w:r w:rsidRPr="00D21805">
        <w:rPr>
          <w:rFonts w:ascii="Times New Roman" w:eastAsia="Times New Roman" w:hAnsi="Times New Roman" w:cs="Times New Roman"/>
          <w:b/>
          <w:sz w:val="28"/>
          <w:szCs w:val="24"/>
          <w:lang w:eastAsia="ru-RU"/>
        </w:rPr>
        <w:t xml:space="preserve">Комплексная </w:t>
      </w:r>
      <w:r w:rsidR="00A53CC0" w:rsidRPr="00D21805">
        <w:rPr>
          <w:rFonts w:ascii="Times New Roman" w:eastAsia="Times New Roman" w:hAnsi="Times New Roman" w:cs="Times New Roman"/>
          <w:b/>
          <w:sz w:val="28"/>
          <w:szCs w:val="24"/>
          <w:lang w:eastAsia="ru-RU"/>
        </w:rPr>
        <w:t>систем</w:t>
      </w:r>
      <w:r w:rsidRPr="00D21805">
        <w:rPr>
          <w:rFonts w:ascii="Times New Roman" w:eastAsia="Times New Roman" w:hAnsi="Times New Roman" w:cs="Times New Roman"/>
          <w:b/>
          <w:sz w:val="28"/>
          <w:szCs w:val="24"/>
          <w:lang w:eastAsia="ru-RU"/>
        </w:rPr>
        <w:t>а</w:t>
      </w:r>
      <w:r w:rsidR="00A53CC0" w:rsidRPr="00D21805">
        <w:rPr>
          <w:rFonts w:ascii="Times New Roman" w:eastAsia="Times New Roman" w:hAnsi="Times New Roman" w:cs="Times New Roman"/>
          <w:b/>
          <w:sz w:val="28"/>
          <w:szCs w:val="24"/>
          <w:lang w:eastAsia="ru-RU"/>
        </w:rPr>
        <w:t xml:space="preserve"> оценки уровня финансового контроля в орган</w:t>
      </w:r>
      <w:r w:rsidR="00A53CC0" w:rsidRPr="00D21805">
        <w:rPr>
          <w:rFonts w:ascii="Times New Roman" w:eastAsia="Times New Roman" w:hAnsi="Times New Roman" w:cs="Times New Roman"/>
          <w:b/>
          <w:sz w:val="28"/>
          <w:szCs w:val="24"/>
          <w:lang w:eastAsia="ru-RU"/>
        </w:rPr>
        <w:t>и</w:t>
      </w:r>
      <w:r w:rsidR="00A53CC0" w:rsidRPr="00D21805">
        <w:rPr>
          <w:rFonts w:ascii="Times New Roman" w:eastAsia="Times New Roman" w:hAnsi="Times New Roman" w:cs="Times New Roman"/>
          <w:b/>
          <w:sz w:val="28"/>
          <w:szCs w:val="24"/>
          <w:lang w:eastAsia="ru-RU"/>
        </w:rPr>
        <w:t>зациях</w:t>
      </w:r>
      <w:bookmarkEnd w:id="2"/>
    </w:p>
    <w:p w:rsidR="00EE4F01" w:rsidRPr="00D21805" w:rsidRDefault="00A05135"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lastRenderedPageBreak/>
        <w:t>Настоящая методика позволяет  ис</w:t>
      </w:r>
      <w:r w:rsidR="00DB003C" w:rsidRPr="00D21805">
        <w:rPr>
          <w:rFonts w:ascii="Times New Roman" w:hAnsi="Times New Roman" w:cs="Times New Roman"/>
          <w:sz w:val="28"/>
          <w:szCs w:val="24"/>
        </w:rPr>
        <w:t>ключить фрагментарность  бол</w:t>
      </w:r>
      <w:r w:rsidR="00DB003C" w:rsidRPr="00D21805">
        <w:rPr>
          <w:rFonts w:ascii="Times New Roman" w:hAnsi="Times New Roman" w:cs="Times New Roman"/>
          <w:sz w:val="28"/>
          <w:szCs w:val="24"/>
        </w:rPr>
        <w:t>ь</w:t>
      </w:r>
      <w:r w:rsidR="00DB003C" w:rsidRPr="00D21805">
        <w:rPr>
          <w:rFonts w:ascii="Times New Roman" w:hAnsi="Times New Roman" w:cs="Times New Roman"/>
          <w:sz w:val="28"/>
          <w:szCs w:val="24"/>
        </w:rPr>
        <w:t xml:space="preserve">шинства существующих методов оценки внутрифирменного финансового </w:t>
      </w:r>
      <w:proofErr w:type="gramStart"/>
      <w:r w:rsidR="00DB003C" w:rsidRPr="00D21805">
        <w:rPr>
          <w:rFonts w:ascii="Times New Roman" w:hAnsi="Times New Roman" w:cs="Times New Roman"/>
          <w:sz w:val="28"/>
          <w:szCs w:val="24"/>
        </w:rPr>
        <w:t>контроля</w:t>
      </w:r>
      <w:proofErr w:type="gramEnd"/>
      <w:r w:rsidR="00DB003C" w:rsidRPr="00D21805">
        <w:rPr>
          <w:rFonts w:ascii="Times New Roman" w:hAnsi="Times New Roman" w:cs="Times New Roman"/>
          <w:sz w:val="28"/>
          <w:szCs w:val="24"/>
        </w:rPr>
        <w:t xml:space="preserve"> и направлена на выявление слабых мест в управлении  крупными компаниями энергетического сектора.</w:t>
      </w:r>
      <w:r w:rsidR="00EB3362" w:rsidRPr="00D21805">
        <w:rPr>
          <w:rFonts w:ascii="Times New Roman" w:hAnsi="Times New Roman" w:cs="Times New Roman"/>
          <w:sz w:val="28"/>
          <w:szCs w:val="24"/>
        </w:rPr>
        <w:t xml:space="preserve"> </w:t>
      </w:r>
      <w:r w:rsidR="00DB003C" w:rsidRPr="00D21805">
        <w:rPr>
          <w:rFonts w:ascii="Times New Roman" w:hAnsi="Times New Roman" w:cs="Times New Roman"/>
          <w:sz w:val="28"/>
          <w:szCs w:val="24"/>
        </w:rPr>
        <w:t xml:space="preserve">Методика представлена шестью </w:t>
      </w:r>
      <w:r w:rsidR="00A53CC0" w:rsidRPr="00D21805">
        <w:rPr>
          <w:rFonts w:ascii="Times New Roman" w:hAnsi="Times New Roman" w:cs="Times New Roman"/>
          <w:sz w:val="28"/>
          <w:szCs w:val="24"/>
        </w:rPr>
        <w:t xml:space="preserve"> </w:t>
      </w:r>
      <w:r w:rsidR="00DB003C" w:rsidRPr="00D21805">
        <w:rPr>
          <w:rFonts w:ascii="Times New Roman" w:hAnsi="Times New Roman" w:cs="Times New Roman"/>
          <w:sz w:val="28"/>
          <w:szCs w:val="24"/>
        </w:rPr>
        <w:t xml:space="preserve">группами </w:t>
      </w:r>
      <w:r w:rsidR="00A53CC0" w:rsidRPr="00D21805">
        <w:rPr>
          <w:rFonts w:ascii="Times New Roman" w:hAnsi="Times New Roman" w:cs="Times New Roman"/>
          <w:sz w:val="28"/>
          <w:szCs w:val="24"/>
        </w:rPr>
        <w:t xml:space="preserve"> показателей контроля, </w:t>
      </w:r>
      <w:r w:rsidR="00DB003C" w:rsidRPr="00D21805">
        <w:rPr>
          <w:rFonts w:ascii="Times New Roman" w:hAnsi="Times New Roman" w:cs="Times New Roman"/>
          <w:sz w:val="28"/>
          <w:szCs w:val="24"/>
        </w:rPr>
        <w:t>з</w:t>
      </w:r>
      <w:r w:rsidR="00A53CC0" w:rsidRPr="00D21805">
        <w:rPr>
          <w:rFonts w:ascii="Times New Roman" w:hAnsi="Times New Roman" w:cs="Times New Roman"/>
          <w:sz w:val="28"/>
          <w:szCs w:val="24"/>
        </w:rPr>
        <w:t xml:space="preserve">начимость </w:t>
      </w:r>
      <w:r w:rsidR="00DB003C" w:rsidRPr="00D21805">
        <w:rPr>
          <w:rFonts w:ascii="Times New Roman" w:hAnsi="Times New Roman" w:cs="Times New Roman"/>
          <w:sz w:val="28"/>
          <w:szCs w:val="24"/>
        </w:rPr>
        <w:t>которых</w:t>
      </w:r>
      <w:r w:rsidR="00A53CC0" w:rsidRPr="00D21805">
        <w:rPr>
          <w:rFonts w:ascii="Times New Roman" w:hAnsi="Times New Roman" w:cs="Times New Roman"/>
          <w:sz w:val="28"/>
          <w:szCs w:val="24"/>
        </w:rPr>
        <w:t xml:space="preserve"> и обоснование включения их в систему оценки представлены в </w:t>
      </w:r>
      <w:r w:rsidR="00DB003C" w:rsidRPr="00D21805">
        <w:rPr>
          <w:rFonts w:ascii="Times New Roman" w:hAnsi="Times New Roman" w:cs="Times New Roman"/>
          <w:sz w:val="28"/>
          <w:szCs w:val="24"/>
        </w:rPr>
        <w:t>таблице 1</w:t>
      </w:r>
      <w:r w:rsidR="00DD7F7C" w:rsidRPr="00D21805">
        <w:rPr>
          <w:rFonts w:ascii="Times New Roman" w:hAnsi="Times New Roman" w:cs="Times New Roman"/>
          <w:sz w:val="28"/>
          <w:szCs w:val="24"/>
        </w:rPr>
        <w:t>.</w:t>
      </w:r>
    </w:p>
    <w:p w:rsidR="00DB003C" w:rsidRPr="00D21805" w:rsidRDefault="00A53CC0" w:rsidP="00735180">
      <w:pPr>
        <w:tabs>
          <w:tab w:val="left" w:pos="851"/>
        </w:tabs>
        <w:spacing w:line="360" w:lineRule="auto"/>
        <w:ind w:firstLine="709"/>
        <w:jc w:val="right"/>
        <w:rPr>
          <w:rFonts w:ascii="Times New Roman" w:hAnsi="Times New Roman" w:cs="Times New Roman"/>
          <w:sz w:val="28"/>
          <w:szCs w:val="24"/>
        </w:rPr>
      </w:pPr>
      <w:r w:rsidRPr="00D21805">
        <w:rPr>
          <w:rFonts w:ascii="Times New Roman" w:hAnsi="Times New Roman" w:cs="Times New Roman"/>
          <w:sz w:val="28"/>
          <w:szCs w:val="24"/>
        </w:rPr>
        <w:t xml:space="preserve">Таблица </w:t>
      </w:r>
      <w:r w:rsidR="00DB003C" w:rsidRPr="00D21805">
        <w:rPr>
          <w:rFonts w:ascii="Times New Roman" w:hAnsi="Times New Roman" w:cs="Times New Roman"/>
          <w:sz w:val="28"/>
          <w:szCs w:val="24"/>
        </w:rPr>
        <w:t>1</w:t>
      </w:r>
    </w:p>
    <w:p w:rsidR="00A53CC0" w:rsidRPr="00D21805" w:rsidRDefault="00097B9F"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 </w:t>
      </w:r>
      <w:r w:rsidR="00A53CC0" w:rsidRPr="00D21805">
        <w:rPr>
          <w:rFonts w:ascii="Times New Roman" w:hAnsi="Times New Roman" w:cs="Times New Roman"/>
          <w:sz w:val="28"/>
          <w:szCs w:val="24"/>
        </w:rPr>
        <w:t>Комплексная система показателей финансового контроля</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305"/>
        <w:gridCol w:w="4330"/>
      </w:tblGrid>
      <w:tr w:rsidR="00A53CC0" w:rsidRPr="00735180" w:rsidTr="00DD365B">
        <w:trPr>
          <w:trHeight w:val="506"/>
        </w:trPr>
        <w:tc>
          <w:tcPr>
            <w:tcW w:w="0" w:type="auto"/>
            <w:shd w:val="clear" w:color="auto" w:fill="auto"/>
            <w:vAlign w:val="center"/>
            <w:hideMark/>
          </w:tcPr>
          <w:p w:rsidR="00A53CC0" w:rsidRPr="00735180" w:rsidRDefault="00A53CC0" w:rsidP="00735180">
            <w:pPr>
              <w:spacing w:line="360" w:lineRule="auto"/>
              <w:jc w:val="center"/>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Группа пок</w:t>
            </w:r>
            <w:r w:rsidRPr="00735180">
              <w:rPr>
                <w:rFonts w:ascii="Times New Roman" w:eastAsia="Times New Roman" w:hAnsi="Times New Roman" w:cs="Times New Roman"/>
                <w:bCs/>
                <w:color w:val="000000"/>
                <w:lang w:eastAsia="ru-RU"/>
              </w:rPr>
              <w:t>а</w:t>
            </w:r>
            <w:r w:rsidRPr="00735180">
              <w:rPr>
                <w:rFonts w:ascii="Times New Roman" w:eastAsia="Times New Roman" w:hAnsi="Times New Roman" w:cs="Times New Roman"/>
                <w:bCs/>
                <w:color w:val="000000"/>
                <w:lang w:eastAsia="ru-RU"/>
              </w:rPr>
              <w:t>зателей ко</w:t>
            </w:r>
            <w:r w:rsidRPr="00735180">
              <w:rPr>
                <w:rFonts w:ascii="Times New Roman" w:eastAsia="Times New Roman" w:hAnsi="Times New Roman" w:cs="Times New Roman"/>
                <w:bCs/>
                <w:color w:val="000000"/>
                <w:lang w:eastAsia="ru-RU"/>
              </w:rPr>
              <w:t>н</w:t>
            </w:r>
            <w:r w:rsidRPr="00735180">
              <w:rPr>
                <w:rFonts w:ascii="Times New Roman" w:eastAsia="Times New Roman" w:hAnsi="Times New Roman" w:cs="Times New Roman"/>
                <w:bCs/>
                <w:color w:val="000000"/>
                <w:lang w:eastAsia="ru-RU"/>
              </w:rPr>
              <w:t>троля</w:t>
            </w:r>
          </w:p>
        </w:tc>
        <w:tc>
          <w:tcPr>
            <w:tcW w:w="0" w:type="auto"/>
            <w:shd w:val="clear" w:color="auto" w:fill="auto"/>
            <w:vAlign w:val="center"/>
            <w:hideMark/>
          </w:tcPr>
          <w:p w:rsidR="00A53CC0" w:rsidRPr="00735180" w:rsidRDefault="00A53CC0" w:rsidP="00735180">
            <w:pPr>
              <w:spacing w:line="360" w:lineRule="auto"/>
              <w:jc w:val="center"/>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Контрольные процедуры</w:t>
            </w:r>
          </w:p>
        </w:tc>
        <w:tc>
          <w:tcPr>
            <w:tcW w:w="0" w:type="auto"/>
            <w:vAlign w:val="center"/>
          </w:tcPr>
          <w:p w:rsidR="00A53CC0" w:rsidRPr="00735180" w:rsidRDefault="00A53CC0" w:rsidP="00735180">
            <w:pPr>
              <w:spacing w:line="360" w:lineRule="auto"/>
              <w:jc w:val="center"/>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 xml:space="preserve">Значимость контрольной процедуры для включения в систему показателей </w:t>
            </w:r>
          </w:p>
        </w:tc>
      </w:tr>
      <w:tr w:rsidR="00A53CC0" w:rsidRPr="00735180" w:rsidTr="00DD365B">
        <w:trPr>
          <w:trHeight w:val="631"/>
        </w:trPr>
        <w:tc>
          <w:tcPr>
            <w:tcW w:w="0" w:type="auto"/>
            <w:vMerge w:val="restart"/>
            <w:shd w:val="clear" w:color="auto" w:fill="auto"/>
            <w:textDirection w:val="btLr"/>
            <w:vAlign w:val="center"/>
            <w:hideMark/>
          </w:tcPr>
          <w:p w:rsidR="00A53CC0" w:rsidRPr="00735180" w:rsidRDefault="00A53CC0" w:rsidP="00735180">
            <w:pPr>
              <w:spacing w:line="360" w:lineRule="auto"/>
              <w:ind w:left="113" w:right="113"/>
              <w:jc w:val="center"/>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А - Организация системы внутреннего финансового контроля</w:t>
            </w: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A1 - Наличие контрольных о</w:t>
            </w:r>
            <w:r w:rsidRPr="00735180">
              <w:rPr>
                <w:rFonts w:ascii="Times New Roman" w:eastAsia="Times New Roman" w:hAnsi="Times New Roman" w:cs="Times New Roman"/>
                <w:color w:val="000000"/>
                <w:lang w:eastAsia="ru-RU"/>
              </w:rPr>
              <w:t>р</w:t>
            </w:r>
            <w:r w:rsidRPr="00735180">
              <w:rPr>
                <w:rFonts w:ascii="Times New Roman" w:eastAsia="Times New Roman" w:hAnsi="Times New Roman" w:cs="Times New Roman"/>
                <w:color w:val="000000"/>
                <w:lang w:eastAsia="ru-RU"/>
              </w:rPr>
              <w:t>ганов</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Выявление проблемных областей деятел</w:t>
            </w:r>
            <w:r w:rsidRPr="00735180">
              <w:rPr>
                <w:rFonts w:ascii="Times New Roman" w:eastAsia="Times New Roman" w:hAnsi="Times New Roman" w:cs="Times New Roman"/>
                <w:color w:val="000000"/>
                <w:lang w:eastAsia="ru-RU"/>
              </w:rPr>
              <w:t>ь</w:t>
            </w:r>
            <w:r w:rsidRPr="00735180">
              <w:rPr>
                <w:rFonts w:ascii="Times New Roman" w:eastAsia="Times New Roman" w:hAnsi="Times New Roman" w:cs="Times New Roman"/>
                <w:color w:val="000000"/>
                <w:lang w:eastAsia="ru-RU"/>
              </w:rPr>
              <w:t>ности, определение потенциала улучш</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ния, повышение имиджа</w:t>
            </w:r>
          </w:p>
        </w:tc>
      </w:tr>
      <w:tr w:rsidR="00A53CC0" w:rsidRPr="00735180" w:rsidTr="00DD365B">
        <w:trPr>
          <w:trHeight w:val="759"/>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A2 - Наличие внутренних но</w:t>
            </w:r>
            <w:r w:rsidRPr="00735180">
              <w:rPr>
                <w:rFonts w:ascii="Times New Roman" w:eastAsia="Times New Roman" w:hAnsi="Times New Roman" w:cs="Times New Roman"/>
                <w:color w:val="000000"/>
                <w:lang w:eastAsia="ru-RU"/>
              </w:rPr>
              <w:t>р</w:t>
            </w:r>
            <w:r w:rsidRPr="00735180">
              <w:rPr>
                <w:rFonts w:ascii="Times New Roman" w:eastAsia="Times New Roman" w:hAnsi="Times New Roman" w:cs="Times New Roman"/>
                <w:color w:val="000000"/>
                <w:lang w:eastAsia="ru-RU"/>
              </w:rPr>
              <w:t>мативных документов</w:t>
            </w:r>
            <w:r w:rsidR="0003133A" w:rsidRPr="00735180">
              <w:rPr>
                <w:rFonts w:ascii="Times New Roman" w:eastAsia="Times New Roman" w:hAnsi="Times New Roman" w:cs="Times New Roman"/>
                <w:color w:val="000000"/>
                <w:lang w:eastAsia="ru-RU"/>
              </w:rPr>
              <w:t xml:space="preserve"> по </w:t>
            </w:r>
            <w:r w:rsidRPr="00735180">
              <w:rPr>
                <w:rFonts w:ascii="Times New Roman" w:eastAsia="Times New Roman" w:hAnsi="Times New Roman" w:cs="Times New Roman"/>
                <w:color w:val="000000"/>
                <w:lang w:eastAsia="ru-RU"/>
              </w:rPr>
              <w:t>ф</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нансов</w:t>
            </w:r>
            <w:r w:rsidR="0003133A" w:rsidRPr="00735180">
              <w:rPr>
                <w:rFonts w:ascii="Times New Roman" w:eastAsia="Times New Roman" w:hAnsi="Times New Roman" w:cs="Times New Roman"/>
                <w:color w:val="000000"/>
                <w:lang w:eastAsia="ru-RU"/>
              </w:rPr>
              <w:t>ому контролю</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Соответствие требованиям российского законодательства; регулирование финанс</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во-хозяйственной деятельности</w:t>
            </w:r>
          </w:p>
        </w:tc>
      </w:tr>
      <w:tr w:rsidR="00A53CC0" w:rsidRPr="00735180" w:rsidTr="00DD365B">
        <w:trPr>
          <w:trHeight w:val="1364"/>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A3 - Соответствие внутреннего финансового контроля рекоме</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дациям международных орган</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 xml:space="preserve">заций </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Возможность выхода на международные рынки капитала</w:t>
            </w:r>
          </w:p>
        </w:tc>
      </w:tr>
      <w:tr w:rsidR="00A53CC0" w:rsidRPr="00735180" w:rsidTr="00DD365B">
        <w:trPr>
          <w:trHeight w:val="920"/>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A4 - Количество мероприятий внутреннего финансового ко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троля, проведённых за год</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Выявление рисков, подтверждение дост</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верности отчётности, предотвращение м</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 xml:space="preserve">шенничества, обеспечение сохранности активов </w:t>
            </w:r>
          </w:p>
        </w:tc>
      </w:tr>
      <w:tr w:rsidR="00A53CC0" w:rsidRPr="00735180" w:rsidTr="00DD365B">
        <w:trPr>
          <w:trHeight w:val="435"/>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A5 - Наличие комплаенс-контроля в компании</w:t>
            </w:r>
          </w:p>
        </w:tc>
        <w:tc>
          <w:tcPr>
            <w:tcW w:w="0" w:type="auto"/>
            <w:vAlign w:val="center"/>
          </w:tcPr>
          <w:p w:rsidR="00A53CC0" w:rsidRPr="00735180" w:rsidRDefault="00A53CC0" w:rsidP="00735180">
            <w:pPr>
              <w:autoSpaceDE w:val="0"/>
              <w:autoSpaceDN w:val="0"/>
              <w:adjustRightInd w:val="0"/>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Механизм предупреждения нарушений законодательства</w:t>
            </w:r>
          </w:p>
        </w:tc>
      </w:tr>
      <w:tr w:rsidR="00A53CC0" w:rsidRPr="00735180" w:rsidTr="00DD365B">
        <w:trPr>
          <w:trHeight w:val="610"/>
        </w:trPr>
        <w:tc>
          <w:tcPr>
            <w:tcW w:w="0" w:type="auto"/>
            <w:vMerge w:val="restart"/>
            <w:shd w:val="clear" w:color="auto" w:fill="auto"/>
            <w:textDirection w:val="btLr"/>
            <w:vAlign w:val="center"/>
            <w:hideMark/>
          </w:tcPr>
          <w:p w:rsidR="00A53CC0" w:rsidRPr="00735180" w:rsidRDefault="00A53CC0" w:rsidP="00735180">
            <w:pPr>
              <w:spacing w:line="360" w:lineRule="auto"/>
              <w:ind w:left="113" w:right="113"/>
              <w:jc w:val="center"/>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В - Контрольные процедуры</w:t>
            </w: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bookmarkStart w:id="3" w:name="RANGE!C18"/>
            <w:r w:rsidRPr="00735180">
              <w:rPr>
                <w:rFonts w:ascii="Times New Roman" w:eastAsia="Times New Roman" w:hAnsi="Times New Roman" w:cs="Times New Roman"/>
                <w:color w:val="000000"/>
                <w:lang w:eastAsia="ru-RU"/>
              </w:rPr>
              <w:t>B1 - Наличие регламента пров</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дения закупочных процедур</w:t>
            </w:r>
            <w:bookmarkEnd w:id="3"/>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Обеспечение </w:t>
            </w:r>
            <w:proofErr w:type="spellStart"/>
            <w:r w:rsidRPr="00735180">
              <w:rPr>
                <w:rFonts w:ascii="Times New Roman" w:eastAsia="Times New Roman" w:hAnsi="Times New Roman" w:cs="Times New Roman"/>
                <w:color w:val="000000"/>
                <w:lang w:eastAsia="ru-RU"/>
              </w:rPr>
              <w:t>транспарентности</w:t>
            </w:r>
            <w:proofErr w:type="spellEnd"/>
            <w:r w:rsidRPr="00735180">
              <w:rPr>
                <w:rFonts w:ascii="Times New Roman" w:eastAsia="Times New Roman" w:hAnsi="Times New Roman" w:cs="Times New Roman"/>
                <w:color w:val="000000"/>
                <w:lang w:eastAsia="ru-RU"/>
              </w:rPr>
              <w:t xml:space="preserve"> и эффе</w:t>
            </w:r>
            <w:r w:rsidRPr="00735180">
              <w:rPr>
                <w:rFonts w:ascii="Times New Roman" w:eastAsia="Times New Roman" w:hAnsi="Times New Roman" w:cs="Times New Roman"/>
                <w:color w:val="000000"/>
                <w:lang w:eastAsia="ru-RU"/>
              </w:rPr>
              <w:t>к</w:t>
            </w:r>
            <w:r w:rsidRPr="00735180">
              <w:rPr>
                <w:rFonts w:ascii="Times New Roman" w:eastAsia="Times New Roman" w:hAnsi="Times New Roman" w:cs="Times New Roman"/>
                <w:color w:val="000000"/>
                <w:lang w:eastAsia="ru-RU"/>
              </w:rPr>
              <w:t>тивности деятельности</w:t>
            </w:r>
          </w:p>
        </w:tc>
      </w:tr>
      <w:tr w:rsidR="00A53CC0" w:rsidRPr="00735180" w:rsidTr="00DD365B">
        <w:trPr>
          <w:trHeight w:val="456"/>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B2 - Доля закупок на электро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ных торговых площадках</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Обеспечение конкуренции, выбор поста</w:t>
            </w:r>
            <w:r w:rsidRPr="00735180">
              <w:rPr>
                <w:rFonts w:ascii="Times New Roman" w:eastAsia="Times New Roman" w:hAnsi="Times New Roman" w:cs="Times New Roman"/>
                <w:color w:val="000000"/>
                <w:lang w:eastAsia="ru-RU"/>
              </w:rPr>
              <w:t>в</w:t>
            </w:r>
            <w:r w:rsidRPr="00735180">
              <w:rPr>
                <w:rFonts w:ascii="Times New Roman" w:eastAsia="Times New Roman" w:hAnsi="Times New Roman" w:cs="Times New Roman"/>
                <w:color w:val="000000"/>
                <w:lang w:eastAsia="ru-RU"/>
              </w:rPr>
              <w:t xml:space="preserve">щиков с наиболее выгодными условиями поставок, в </w:t>
            </w:r>
            <w:proofErr w:type="spellStart"/>
            <w:r w:rsidRPr="00735180">
              <w:rPr>
                <w:rFonts w:ascii="Times New Roman" w:eastAsia="Times New Roman" w:hAnsi="Times New Roman" w:cs="Times New Roman"/>
                <w:color w:val="000000"/>
                <w:lang w:eastAsia="ru-RU"/>
              </w:rPr>
              <w:t>т.ч</w:t>
            </w:r>
            <w:proofErr w:type="spellEnd"/>
            <w:r w:rsidRPr="00735180">
              <w:rPr>
                <w:rFonts w:ascii="Times New Roman" w:eastAsia="Times New Roman" w:hAnsi="Times New Roman" w:cs="Times New Roman"/>
                <w:color w:val="000000"/>
                <w:lang w:eastAsia="ru-RU"/>
              </w:rPr>
              <w:t>. финансовыми</w:t>
            </w:r>
          </w:p>
        </w:tc>
      </w:tr>
      <w:tr w:rsidR="00A53CC0" w:rsidRPr="00735180" w:rsidTr="00DD365B">
        <w:trPr>
          <w:trHeight w:val="805"/>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B3 - Доля экономии на закупках в сравнении с плановыми пок</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 xml:space="preserve">зателями </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эффективности закупочной д</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ятельности</w:t>
            </w:r>
          </w:p>
        </w:tc>
      </w:tr>
      <w:tr w:rsidR="00A53CC0" w:rsidRPr="00735180" w:rsidTr="00DD365B">
        <w:trPr>
          <w:trHeight w:val="575"/>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B4 - Доля непрофильных акт</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 xml:space="preserve">вов в общем объёме </w:t>
            </w:r>
            <w:proofErr w:type="spellStart"/>
            <w:r w:rsidRPr="00735180">
              <w:rPr>
                <w:rFonts w:ascii="Times New Roman" w:eastAsia="Times New Roman" w:hAnsi="Times New Roman" w:cs="Times New Roman"/>
                <w:color w:val="000000"/>
                <w:lang w:eastAsia="ru-RU"/>
              </w:rPr>
              <w:t>внеоборо</w:t>
            </w:r>
            <w:r w:rsidRPr="00735180">
              <w:rPr>
                <w:rFonts w:ascii="Times New Roman" w:eastAsia="Times New Roman" w:hAnsi="Times New Roman" w:cs="Times New Roman"/>
                <w:color w:val="000000"/>
                <w:lang w:eastAsia="ru-RU"/>
              </w:rPr>
              <w:t>т</w:t>
            </w:r>
            <w:r w:rsidRPr="00735180">
              <w:rPr>
                <w:rFonts w:ascii="Times New Roman" w:eastAsia="Times New Roman" w:hAnsi="Times New Roman" w:cs="Times New Roman"/>
                <w:color w:val="000000"/>
                <w:lang w:eastAsia="ru-RU"/>
              </w:rPr>
              <w:t>ных</w:t>
            </w:r>
            <w:proofErr w:type="spellEnd"/>
            <w:r w:rsidRPr="00735180">
              <w:rPr>
                <w:rFonts w:ascii="Times New Roman" w:eastAsia="Times New Roman" w:hAnsi="Times New Roman" w:cs="Times New Roman"/>
                <w:color w:val="000000"/>
                <w:lang w:eastAsia="ru-RU"/>
              </w:rPr>
              <w:t xml:space="preserve"> активов</w:t>
            </w:r>
          </w:p>
        </w:tc>
        <w:tc>
          <w:tcPr>
            <w:tcW w:w="0" w:type="auto"/>
            <w:vMerge w:val="restart"/>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Получение дополнительного дохода от р</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ализации непрофильных активов; сниж</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ние налогового бремени</w:t>
            </w:r>
          </w:p>
        </w:tc>
      </w:tr>
      <w:tr w:rsidR="00A53CC0" w:rsidRPr="00735180" w:rsidTr="00DD365B">
        <w:trPr>
          <w:trHeight w:val="374"/>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B5 - Доля реализации непр</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фильных активов в выручке</w:t>
            </w:r>
          </w:p>
        </w:tc>
        <w:tc>
          <w:tcPr>
            <w:tcW w:w="0" w:type="auto"/>
            <w:vMerge/>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p>
        </w:tc>
      </w:tr>
      <w:tr w:rsidR="00A53CC0" w:rsidRPr="00735180" w:rsidTr="00DD365B">
        <w:trPr>
          <w:trHeight w:val="645"/>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bookmarkStart w:id="4" w:name="RANGE!C35"/>
            <w:r w:rsidRPr="00735180">
              <w:rPr>
                <w:rFonts w:ascii="Times New Roman" w:eastAsia="Times New Roman" w:hAnsi="Times New Roman" w:cs="Times New Roman"/>
                <w:color w:val="000000"/>
                <w:lang w:eastAsia="ru-RU"/>
              </w:rPr>
              <w:t>B6 - Наличие судебных разб</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рательств в качестве истца</w:t>
            </w:r>
            <w:bookmarkEnd w:id="4"/>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Демонстрация уровня отслеживания и ре</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гирования на нарушения договорных об</w:t>
            </w:r>
            <w:r w:rsidRPr="00735180">
              <w:rPr>
                <w:rFonts w:ascii="Times New Roman" w:eastAsia="Times New Roman" w:hAnsi="Times New Roman" w:cs="Times New Roman"/>
                <w:color w:val="000000"/>
                <w:lang w:eastAsia="ru-RU"/>
              </w:rPr>
              <w:t>я</w:t>
            </w:r>
            <w:r w:rsidRPr="00735180">
              <w:rPr>
                <w:rFonts w:ascii="Times New Roman" w:eastAsia="Times New Roman" w:hAnsi="Times New Roman" w:cs="Times New Roman"/>
                <w:color w:val="000000"/>
                <w:lang w:eastAsia="ru-RU"/>
              </w:rPr>
              <w:t>зательств контрагентами</w:t>
            </w:r>
          </w:p>
        </w:tc>
      </w:tr>
      <w:tr w:rsidR="00A53CC0" w:rsidRPr="00735180" w:rsidTr="00DD365B">
        <w:trPr>
          <w:trHeight w:val="697"/>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bookmarkStart w:id="5" w:name="RANGE!C39"/>
            <w:r w:rsidRPr="00735180">
              <w:rPr>
                <w:rFonts w:ascii="Times New Roman" w:eastAsia="Times New Roman" w:hAnsi="Times New Roman" w:cs="Times New Roman"/>
                <w:color w:val="000000"/>
                <w:lang w:eastAsia="ru-RU"/>
              </w:rPr>
              <w:t>B7 - Наличие судебных разб</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рательств в качестве ответчика</w:t>
            </w:r>
            <w:bookmarkEnd w:id="5"/>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Демонстрация </w:t>
            </w:r>
            <w:proofErr w:type="gramStart"/>
            <w:r w:rsidRPr="00735180">
              <w:rPr>
                <w:rFonts w:ascii="Times New Roman" w:eastAsia="Times New Roman" w:hAnsi="Times New Roman" w:cs="Times New Roman"/>
                <w:color w:val="000000"/>
                <w:lang w:eastAsia="ru-RU"/>
              </w:rPr>
              <w:t>уровня отслеживания ко</w:t>
            </w:r>
            <w:r w:rsidRPr="00735180">
              <w:rPr>
                <w:rFonts w:ascii="Times New Roman" w:eastAsia="Times New Roman" w:hAnsi="Times New Roman" w:cs="Times New Roman"/>
                <w:color w:val="000000"/>
                <w:lang w:eastAsia="ru-RU"/>
              </w:rPr>
              <w:t>р</w:t>
            </w:r>
            <w:r w:rsidRPr="00735180">
              <w:rPr>
                <w:rFonts w:ascii="Times New Roman" w:eastAsia="Times New Roman" w:hAnsi="Times New Roman" w:cs="Times New Roman"/>
                <w:color w:val="000000"/>
                <w:lang w:eastAsia="ru-RU"/>
              </w:rPr>
              <w:t>ректности исполнения договорных обяз</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тельств</w:t>
            </w:r>
            <w:proofErr w:type="gramEnd"/>
            <w:r w:rsidRPr="00735180">
              <w:rPr>
                <w:rFonts w:ascii="Times New Roman" w:eastAsia="Times New Roman" w:hAnsi="Times New Roman" w:cs="Times New Roman"/>
                <w:color w:val="000000"/>
                <w:lang w:eastAsia="ru-RU"/>
              </w:rPr>
              <w:t xml:space="preserve"> со стороны компании</w:t>
            </w:r>
          </w:p>
        </w:tc>
      </w:tr>
      <w:tr w:rsidR="00A53CC0" w:rsidRPr="00735180" w:rsidTr="00DD365B">
        <w:trPr>
          <w:trHeight w:val="696"/>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B8 - Доля сумм исков по суде</w:t>
            </w:r>
            <w:r w:rsidRPr="00735180">
              <w:rPr>
                <w:rFonts w:ascii="Times New Roman" w:eastAsia="Times New Roman" w:hAnsi="Times New Roman" w:cs="Times New Roman"/>
                <w:bCs/>
                <w:color w:val="000000"/>
                <w:lang w:eastAsia="ru-RU"/>
              </w:rPr>
              <w:t>б</w:t>
            </w:r>
            <w:r w:rsidRPr="00735180">
              <w:rPr>
                <w:rFonts w:ascii="Times New Roman" w:eastAsia="Times New Roman" w:hAnsi="Times New Roman" w:cs="Times New Roman"/>
                <w:bCs/>
                <w:color w:val="000000"/>
                <w:lang w:eastAsia="ru-RU"/>
              </w:rPr>
              <w:t>ным разбирательствам в кач</w:t>
            </w:r>
            <w:r w:rsidRPr="00735180">
              <w:rPr>
                <w:rFonts w:ascii="Times New Roman" w:eastAsia="Times New Roman" w:hAnsi="Times New Roman" w:cs="Times New Roman"/>
                <w:bCs/>
                <w:color w:val="000000"/>
                <w:lang w:eastAsia="ru-RU"/>
              </w:rPr>
              <w:t>е</w:t>
            </w:r>
            <w:r w:rsidRPr="00735180">
              <w:rPr>
                <w:rFonts w:ascii="Times New Roman" w:eastAsia="Times New Roman" w:hAnsi="Times New Roman" w:cs="Times New Roman"/>
                <w:bCs/>
                <w:color w:val="000000"/>
                <w:lang w:eastAsia="ru-RU"/>
              </w:rPr>
              <w:t>стве истца в выручке</w:t>
            </w:r>
          </w:p>
        </w:tc>
        <w:tc>
          <w:tcPr>
            <w:tcW w:w="0" w:type="auto"/>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bCs/>
                <w:color w:val="000000"/>
                <w:lang w:eastAsia="ru-RU"/>
              </w:rPr>
            </w:pPr>
            <w:r w:rsidRPr="00735180">
              <w:rPr>
                <w:rFonts w:ascii="Times New Roman" w:eastAsia="Times New Roman" w:hAnsi="Times New Roman" w:cs="Times New Roman"/>
                <w:color w:val="000000"/>
                <w:lang w:eastAsia="ru-RU"/>
              </w:rPr>
              <w:t>Демонстрация уровня отслеживания и ре</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гирования на нарушения договорных об</w:t>
            </w:r>
            <w:r w:rsidRPr="00735180">
              <w:rPr>
                <w:rFonts w:ascii="Times New Roman" w:eastAsia="Times New Roman" w:hAnsi="Times New Roman" w:cs="Times New Roman"/>
                <w:color w:val="000000"/>
                <w:lang w:eastAsia="ru-RU"/>
              </w:rPr>
              <w:t>я</w:t>
            </w:r>
            <w:r w:rsidRPr="00735180">
              <w:rPr>
                <w:rFonts w:ascii="Times New Roman" w:eastAsia="Times New Roman" w:hAnsi="Times New Roman" w:cs="Times New Roman"/>
                <w:color w:val="000000"/>
                <w:lang w:eastAsia="ru-RU"/>
              </w:rPr>
              <w:t>зательств контрагентами</w:t>
            </w:r>
          </w:p>
        </w:tc>
      </w:tr>
      <w:tr w:rsidR="00A53CC0" w:rsidRPr="00735180" w:rsidTr="00DD365B">
        <w:trPr>
          <w:trHeight w:val="1230"/>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B9 - Доля исковых обязательств по судебным разбирательствам в качестве ответчика в операц</w:t>
            </w:r>
            <w:r w:rsidRPr="00735180">
              <w:rPr>
                <w:rFonts w:ascii="Times New Roman" w:eastAsia="Times New Roman" w:hAnsi="Times New Roman" w:cs="Times New Roman"/>
                <w:bCs/>
                <w:color w:val="000000"/>
                <w:lang w:eastAsia="ru-RU"/>
              </w:rPr>
              <w:t>и</w:t>
            </w:r>
            <w:r w:rsidRPr="00735180">
              <w:rPr>
                <w:rFonts w:ascii="Times New Roman" w:eastAsia="Times New Roman" w:hAnsi="Times New Roman" w:cs="Times New Roman"/>
                <w:bCs/>
                <w:color w:val="000000"/>
                <w:lang w:eastAsia="ru-RU"/>
              </w:rPr>
              <w:t>онных расходах</w:t>
            </w:r>
          </w:p>
        </w:tc>
        <w:tc>
          <w:tcPr>
            <w:tcW w:w="0" w:type="auto"/>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bCs/>
                <w:color w:val="000000"/>
                <w:lang w:eastAsia="ru-RU"/>
              </w:rPr>
            </w:pPr>
            <w:r w:rsidRPr="00735180">
              <w:rPr>
                <w:rFonts w:ascii="Times New Roman" w:eastAsia="Times New Roman" w:hAnsi="Times New Roman" w:cs="Times New Roman"/>
                <w:color w:val="000000"/>
                <w:lang w:eastAsia="ru-RU"/>
              </w:rPr>
              <w:t xml:space="preserve">Демонстрация </w:t>
            </w:r>
            <w:proofErr w:type="gramStart"/>
            <w:r w:rsidRPr="00735180">
              <w:rPr>
                <w:rFonts w:ascii="Times New Roman" w:eastAsia="Times New Roman" w:hAnsi="Times New Roman" w:cs="Times New Roman"/>
                <w:color w:val="000000"/>
                <w:lang w:eastAsia="ru-RU"/>
              </w:rPr>
              <w:t>уровня отслеживания ко</w:t>
            </w:r>
            <w:r w:rsidRPr="00735180">
              <w:rPr>
                <w:rFonts w:ascii="Times New Roman" w:eastAsia="Times New Roman" w:hAnsi="Times New Roman" w:cs="Times New Roman"/>
                <w:color w:val="000000"/>
                <w:lang w:eastAsia="ru-RU"/>
              </w:rPr>
              <w:t>р</w:t>
            </w:r>
            <w:r w:rsidRPr="00735180">
              <w:rPr>
                <w:rFonts w:ascii="Times New Roman" w:eastAsia="Times New Roman" w:hAnsi="Times New Roman" w:cs="Times New Roman"/>
                <w:color w:val="000000"/>
                <w:lang w:eastAsia="ru-RU"/>
              </w:rPr>
              <w:t>ректности исполнения договорных обяз</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тельств</w:t>
            </w:r>
            <w:proofErr w:type="gramEnd"/>
            <w:r w:rsidRPr="00735180">
              <w:rPr>
                <w:rFonts w:ascii="Times New Roman" w:eastAsia="Times New Roman" w:hAnsi="Times New Roman" w:cs="Times New Roman"/>
                <w:color w:val="000000"/>
                <w:lang w:eastAsia="ru-RU"/>
              </w:rPr>
              <w:t xml:space="preserve"> со стороны компании</w:t>
            </w:r>
          </w:p>
        </w:tc>
      </w:tr>
      <w:tr w:rsidR="00A53CC0" w:rsidRPr="00735180" w:rsidTr="00DD365B">
        <w:trPr>
          <w:trHeight w:val="476"/>
        </w:trPr>
        <w:tc>
          <w:tcPr>
            <w:tcW w:w="0" w:type="auto"/>
            <w:vMerge w:val="restart"/>
            <w:shd w:val="clear" w:color="auto" w:fill="auto"/>
            <w:textDirection w:val="btLr"/>
            <w:vAlign w:val="center"/>
            <w:hideMark/>
          </w:tcPr>
          <w:p w:rsidR="00A53CC0" w:rsidRPr="00735180" w:rsidRDefault="00A53CC0" w:rsidP="00735180">
            <w:pPr>
              <w:spacing w:line="360" w:lineRule="auto"/>
              <w:ind w:left="113" w:right="113"/>
              <w:jc w:val="center"/>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С - Финансовые показатели</w:t>
            </w: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C1 - Прирост выручки за год</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Развитие компании, расширение клиен</w:t>
            </w:r>
            <w:r w:rsidRPr="00735180">
              <w:rPr>
                <w:rFonts w:ascii="Times New Roman" w:eastAsia="Times New Roman" w:hAnsi="Times New Roman" w:cs="Times New Roman"/>
                <w:color w:val="000000"/>
                <w:lang w:eastAsia="ru-RU"/>
              </w:rPr>
              <w:t>т</w:t>
            </w:r>
            <w:r w:rsidRPr="00735180">
              <w:rPr>
                <w:rFonts w:ascii="Times New Roman" w:eastAsia="Times New Roman" w:hAnsi="Times New Roman" w:cs="Times New Roman"/>
                <w:color w:val="000000"/>
                <w:lang w:eastAsia="ru-RU"/>
              </w:rPr>
              <w:t>ской базы, повышение качества товаров, работ и услуг</w:t>
            </w:r>
          </w:p>
        </w:tc>
      </w:tr>
      <w:tr w:rsidR="00A53CC0" w:rsidRPr="00735180" w:rsidTr="00DD365B">
        <w:trPr>
          <w:trHeight w:val="273"/>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C2 - Доля полученных проце</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тов за размещение свободных денежных средств на депозитах в финансовых доходах</w:t>
            </w:r>
          </w:p>
        </w:tc>
        <w:tc>
          <w:tcPr>
            <w:tcW w:w="0" w:type="auto"/>
            <w:vMerge w:val="restart"/>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уровня эффективности испол</w:t>
            </w:r>
            <w:r w:rsidRPr="00735180">
              <w:rPr>
                <w:rFonts w:ascii="Times New Roman" w:eastAsia="Times New Roman" w:hAnsi="Times New Roman" w:cs="Times New Roman"/>
                <w:color w:val="000000"/>
                <w:lang w:eastAsia="ru-RU"/>
              </w:rPr>
              <w:t>ь</w:t>
            </w:r>
            <w:r w:rsidRPr="00735180">
              <w:rPr>
                <w:rFonts w:ascii="Times New Roman" w:eastAsia="Times New Roman" w:hAnsi="Times New Roman" w:cs="Times New Roman"/>
                <w:color w:val="000000"/>
                <w:lang w:eastAsia="ru-RU"/>
              </w:rPr>
              <w:t>зования временно свободных денежных средств, степени финансовой устойчивости</w:t>
            </w:r>
          </w:p>
        </w:tc>
      </w:tr>
      <w:tr w:rsidR="00A53CC0" w:rsidRPr="00735180" w:rsidTr="00DD365B">
        <w:trPr>
          <w:trHeight w:val="517"/>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C3 - Доля финансовых доходов в выручке</w:t>
            </w:r>
          </w:p>
        </w:tc>
        <w:tc>
          <w:tcPr>
            <w:tcW w:w="0" w:type="auto"/>
            <w:vMerge/>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p>
        </w:tc>
      </w:tr>
      <w:tr w:rsidR="00A53CC0" w:rsidRPr="00735180" w:rsidTr="00DD365B">
        <w:trPr>
          <w:trHeight w:val="123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C4 - Доля просроченной деб</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 xml:space="preserve">торской задолженности в общем объёме </w:t>
            </w:r>
            <w:r w:rsidR="00C0547B" w:rsidRPr="00735180">
              <w:rPr>
                <w:rFonts w:ascii="Times New Roman" w:eastAsia="Times New Roman" w:hAnsi="Times New Roman" w:cs="Times New Roman"/>
                <w:color w:val="000000"/>
                <w:lang w:eastAsia="ru-RU"/>
              </w:rPr>
              <w:t>дебиторской задолже</w:t>
            </w:r>
            <w:r w:rsidR="00C0547B" w:rsidRPr="00735180">
              <w:rPr>
                <w:rFonts w:ascii="Times New Roman" w:eastAsia="Times New Roman" w:hAnsi="Times New Roman" w:cs="Times New Roman"/>
                <w:color w:val="000000"/>
                <w:lang w:eastAsia="ru-RU"/>
              </w:rPr>
              <w:t>н</w:t>
            </w:r>
            <w:r w:rsidR="00C0547B" w:rsidRPr="00735180">
              <w:rPr>
                <w:rFonts w:ascii="Times New Roman" w:eastAsia="Times New Roman" w:hAnsi="Times New Roman" w:cs="Times New Roman"/>
                <w:color w:val="000000"/>
                <w:lang w:eastAsia="ru-RU"/>
              </w:rPr>
              <w:t>ности</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эффективности управления р</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ботой с дебиторами, контроль соблюдения договорных обязательств, уровень защиты от обесценения дебиторской задолженн</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сти</w:t>
            </w:r>
          </w:p>
        </w:tc>
      </w:tr>
      <w:tr w:rsidR="00A53CC0" w:rsidRPr="00735180" w:rsidTr="00DD365B">
        <w:trPr>
          <w:trHeight w:val="92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C5 - Доля кредиторской задо</w:t>
            </w:r>
            <w:r w:rsidRPr="00735180">
              <w:rPr>
                <w:rFonts w:ascii="Times New Roman" w:eastAsia="Times New Roman" w:hAnsi="Times New Roman" w:cs="Times New Roman"/>
                <w:color w:val="000000"/>
                <w:lang w:eastAsia="ru-RU"/>
              </w:rPr>
              <w:t>л</w:t>
            </w:r>
            <w:r w:rsidRPr="00735180">
              <w:rPr>
                <w:rFonts w:ascii="Times New Roman" w:eastAsia="Times New Roman" w:hAnsi="Times New Roman" w:cs="Times New Roman"/>
                <w:color w:val="000000"/>
                <w:lang w:eastAsia="ru-RU"/>
              </w:rPr>
              <w:t>женности в бюджет и внебю</w:t>
            </w:r>
            <w:r w:rsidRPr="00735180">
              <w:rPr>
                <w:rFonts w:ascii="Times New Roman" w:eastAsia="Times New Roman" w:hAnsi="Times New Roman" w:cs="Times New Roman"/>
                <w:color w:val="000000"/>
                <w:lang w:eastAsia="ru-RU"/>
              </w:rPr>
              <w:t>д</w:t>
            </w:r>
            <w:r w:rsidRPr="00735180">
              <w:rPr>
                <w:rFonts w:ascii="Times New Roman" w:eastAsia="Times New Roman" w:hAnsi="Times New Roman" w:cs="Times New Roman"/>
                <w:color w:val="000000"/>
                <w:lang w:eastAsia="ru-RU"/>
              </w:rPr>
              <w:t>жетные фонды в общем объёме обязательств</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уровня платёжеспособности, ликвидности; контроль уровня штрафных санкций за неисполнение обязательств</w:t>
            </w:r>
          </w:p>
        </w:tc>
      </w:tr>
      <w:tr w:rsidR="00A53CC0" w:rsidRPr="00735180" w:rsidTr="00DD365B">
        <w:trPr>
          <w:trHeight w:val="1012"/>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C6 - Доля обесценения ОС, ДЗ, фин. активов, НМА, </w:t>
            </w:r>
            <w:proofErr w:type="spellStart"/>
            <w:r w:rsidRPr="00735180">
              <w:rPr>
                <w:rFonts w:ascii="Times New Roman" w:eastAsia="Times New Roman" w:hAnsi="Times New Roman" w:cs="Times New Roman"/>
                <w:color w:val="000000"/>
                <w:lang w:eastAsia="ru-RU"/>
              </w:rPr>
              <w:t>гудвила</w:t>
            </w:r>
            <w:proofErr w:type="spellEnd"/>
            <w:r w:rsidRPr="00735180">
              <w:rPr>
                <w:rFonts w:ascii="Times New Roman" w:eastAsia="Times New Roman" w:hAnsi="Times New Roman" w:cs="Times New Roman"/>
                <w:color w:val="000000"/>
                <w:lang w:eastAsia="ru-RU"/>
              </w:rPr>
              <w:t xml:space="preserve"> от общей стоимости ОС, ДЗ, фин. активов, НМА, </w:t>
            </w:r>
            <w:proofErr w:type="spellStart"/>
            <w:r w:rsidRPr="00735180">
              <w:rPr>
                <w:rFonts w:ascii="Times New Roman" w:eastAsia="Times New Roman" w:hAnsi="Times New Roman" w:cs="Times New Roman"/>
                <w:color w:val="000000"/>
                <w:lang w:eastAsia="ru-RU"/>
              </w:rPr>
              <w:t>гудвила</w:t>
            </w:r>
            <w:proofErr w:type="spellEnd"/>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Выявление контроля компании над и</w:t>
            </w:r>
            <w:r w:rsidRPr="00735180">
              <w:rPr>
                <w:rFonts w:ascii="Times New Roman" w:eastAsia="Times New Roman" w:hAnsi="Times New Roman" w:cs="Times New Roman"/>
                <w:color w:val="000000"/>
                <w:lang w:eastAsia="ru-RU"/>
              </w:rPr>
              <w:t>с</w:t>
            </w:r>
            <w:r w:rsidRPr="00735180">
              <w:rPr>
                <w:rFonts w:ascii="Times New Roman" w:eastAsia="Times New Roman" w:hAnsi="Times New Roman" w:cs="Times New Roman"/>
                <w:color w:val="000000"/>
                <w:lang w:eastAsia="ru-RU"/>
              </w:rPr>
              <w:t>пользованием активов, сохранением их стоимости и потенциальных экономич</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ских выгод</w:t>
            </w:r>
          </w:p>
        </w:tc>
      </w:tr>
      <w:tr w:rsidR="00A53CC0" w:rsidRPr="00735180" w:rsidTr="00DD365B">
        <w:trPr>
          <w:trHeight w:val="449"/>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C7 - Коэффициент текущей ли</w:t>
            </w:r>
            <w:r w:rsidRPr="00735180">
              <w:rPr>
                <w:rFonts w:ascii="Times New Roman" w:eastAsia="Times New Roman" w:hAnsi="Times New Roman" w:cs="Times New Roman"/>
                <w:color w:val="000000"/>
                <w:lang w:eastAsia="ru-RU"/>
              </w:rPr>
              <w:t>к</w:t>
            </w:r>
            <w:r w:rsidRPr="00735180">
              <w:rPr>
                <w:rFonts w:ascii="Times New Roman" w:eastAsia="Times New Roman" w:hAnsi="Times New Roman" w:cs="Times New Roman"/>
                <w:color w:val="000000"/>
                <w:lang w:eastAsia="ru-RU"/>
              </w:rPr>
              <w:t>видности</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Демонстрация уровня платёжеспособности предприятия, его финансовой устойчив</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сти</w:t>
            </w:r>
          </w:p>
        </w:tc>
      </w:tr>
      <w:tr w:rsidR="00A53CC0" w:rsidRPr="00735180" w:rsidTr="00DD365B">
        <w:trPr>
          <w:trHeight w:val="277"/>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C8 - Коэффициент рентабельн</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сти инвестиций</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Демонстрация уровня отдачи вложенных средств, доходности либо убыточности компании</w:t>
            </w:r>
          </w:p>
        </w:tc>
      </w:tr>
      <w:tr w:rsidR="00A53CC0" w:rsidRPr="00735180" w:rsidTr="00DD365B">
        <w:trPr>
          <w:trHeight w:val="92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C9 - Продолжительность обор</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чиваемости дебиторской задо</w:t>
            </w:r>
            <w:r w:rsidRPr="00735180">
              <w:rPr>
                <w:rFonts w:ascii="Times New Roman" w:eastAsia="Times New Roman" w:hAnsi="Times New Roman" w:cs="Times New Roman"/>
                <w:color w:val="000000"/>
                <w:lang w:eastAsia="ru-RU"/>
              </w:rPr>
              <w:t>л</w:t>
            </w:r>
            <w:r w:rsidRPr="00735180">
              <w:rPr>
                <w:rFonts w:ascii="Times New Roman" w:eastAsia="Times New Roman" w:hAnsi="Times New Roman" w:cs="Times New Roman"/>
                <w:color w:val="000000"/>
                <w:lang w:eastAsia="ru-RU"/>
              </w:rPr>
              <w:t>женности в днях</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эффективности управления долгами перед компанией, степени ко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троля над неплатёжеспособными покуп</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телями</w:t>
            </w:r>
          </w:p>
        </w:tc>
      </w:tr>
      <w:tr w:rsidR="00A53CC0" w:rsidRPr="00735180" w:rsidTr="00DD365B">
        <w:trPr>
          <w:trHeight w:val="95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C10 - Продолжительность об</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рачиваемости запасов в днях</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эффективности использования товарно-материальных запасов в операц</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онной деятельности компании, частоту п</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 xml:space="preserve">лучения выручки </w:t>
            </w:r>
          </w:p>
        </w:tc>
      </w:tr>
      <w:tr w:rsidR="00A53CC0" w:rsidRPr="00735180" w:rsidTr="00DD365B">
        <w:trPr>
          <w:trHeight w:val="541"/>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C11 - Коэффициент автономии</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стабильности финансового п</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ложения компании, уровня независимости от кредиторов</w:t>
            </w:r>
          </w:p>
        </w:tc>
      </w:tr>
      <w:tr w:rsidR="00A53CC0" w:rsidRPr="00735180" w:rsidTr="00DD365B">
        <w:trPr>
          <w:trHeight w:val="553"/>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C12 - Коэффициент соотнош</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ния собственных и заёмных средств</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Контроль вероятности банкротства, дост</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точности собственного капитала</w:t>
            </w:r>
          </w:p>
        </w:tc>
      </w:tr>
      <w:tr w:rsidR="00A53CC0" w:rsidRPr="00735180" w:rsidTr="00DD365B">
        <w:trPr>
          <w:trHeight w:val="92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C13 - Коэффициент финансовой устойчивости</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стабильности положения ко</w:t>
            </w:r>
            <w:r w:rsidRPr="00735180">
              <w:rPr>
                <w:rFonts w:ascii="Times New Roman" w:eastAsia="Times New Roman" w:hAnsi="Times New Roman" w:cs="Times New Roman"/>
                <w:color w:val="000000"/>
                <w:lang w:eastAsia="ru-RU"/>
              </w:rPr>
              <w:t>м</w:t>
            </w:r>
            <w:r w:rsidRPr="00735180">
              <w:rPr>
                <w:rFonts w:ascii="Times New Roman" w:eastAsia="Times New Roman" w:hAnsi="Times New Roman" w:cs="Times New Roman"/>
                <w:color w:val="000000"/>
                <w:lang w:eastAsia="ru-RU"/>
              </w:rPr>
              <w:t>пании на рынке, наличия устойчивых и</w:t>
            </w:r>
            <w:r w:rsidRPr="00735180">
              <w:rPr>
                <w:rFonts w:ascii="Times New Roman" w:eastAsia="Times New Roman" w:hAnsi="Times New Roman" w:cs="Times New Roman"/>
                <w:color w:val="000000"/>
                <w:lang w:eastAsia="ru-RU"/>
              </w:rPr>
              <w:t>с</w:t>
            </w:r>
            <w:r w:rsidRPr="00735180">
              <w:rPr>
                <w:rFonts w:ascii="Times New Roman" w:eastAsia="Times New Roman" w:hAnsi="Times New Roman" w:cs="Times New Roman"/>
                <w:color w:val="000000"/>
                <w:lang w:eastAsia="ru-RU"/>
              </w:rPr>
              <w:t>точников финансирования финансово-хозяйственной деятельности</w:t>
            </w:r>
          </w:p>
        </w:tc>
      </w:tr>
      <w:tr w:rsidR="00A53CC0" w:rsidRPr="00735180" w:rsidTr="00DD365B">
        <w:trPr>
          <w:trHeight w:val="61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C14 - Чистый денежный поток</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Способность предприятия к повышению собственной стоимости и инвестиционной привлекательности </w:t>
            </w:r>
          </w:p>
        </w:tc>
      </w:tr>
      <w:tr w:rsidR="00A53CC0" w:rsidRPr="00735180" w:rsidTr="00DD365B">
        <w:trPr>
          <w:trHeight w:val="506"/>
        </w:trPr>
        <w:tc>
          <w:tcPr>
            <w:tcW w:w="0" w:type="auto"/>
            <w:vMerge w:val="restart"/>
            <w:shd w:val="clear" w:color="auto" w:fill="auto"/>
            <w:textDirection w:val="btLr"/>
            <w:vAlign w:val="center"/>
            <w:hideMark/>
          </w:tcPr>
          <w:p w:rsidR="00A53CC0" w:rsidRPr="00735180" w:rsidRDefault="00A53CC0" w:rsidP="00735180">
            <w:pPr>
              <w:spacing w:line="360" w:lineRule="auto"/>
              <w:ind w:left="113" w:right="113"/>
              <w:jc w:val="center"/>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D - Договорные о</w:t>
            </w:r>
            <w:r w:rsidRPr="00735180">
              <w:rPr>
                <w:rFonts w:ascii="Times New Roman" w:eastAsia="Times New Roman" w:hAnsi="Times New Roman" w:cs="Times New Roman"/>
                <w:color w:val="000000"/>
                <w:lang w:eastAsia="ru-RU"/>
              </w:rPr>
              <w:t>т</w:t>
            </w:r>
            <w:r w:rsidRPr="00735180">
              <w:rPr>
                <w:rFonts w:ascii="Times New Roman" w:eastAsia="Times New Roman" w:hAnsi="Times New Roman" w:cs="Times New Roman"/>
                <w:color w:val="000000"/>
                <w:lang w:eastAsia="ru-RU"/>
              </w:rPr>
              <w:t>ношения</w:t>
            </w: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D1 - Доля фактов нарушения договорных обязательств от общего количества </w:t>
            </w:r>
            <w:r w:rsidR="00A05C79" w:rsidRPr="00735180">
              <w:rPr>
                <w:rFonts w:ascii="Times New Roman" w:eastAsia="Times New Roman" w:hAnsi="Times New Roman" w:cs="Times New Roman"/>
                <w:color w:val="000000"/>
                <w:lang w:eastAsia="ru-RU"/>
              </w:rPr>
              <w:t>договоров</w:t>
            </w:r>
          </w:p>
        </w:tc>
        <w:tc>
          <w:tcPr>
            <w:tcW w:w="0" w:type="auto"/>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Соблюдение деловой репутации, культуры договорных отношений</w:t>
            </w:r>
          </w:p>
        </w:tc>
      </w:tr>
      <w:tr w:rsidR="00A53CC0" w:rsidRPr="00735180" w:rsidTr="00DD365B">
        <w:trPr>
          <w:trHeight w:val="777"/>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 xml:space="preserve">D2 - Доля </w:t>
            </w:r>
            <w:r w:rsidR="00A05C79" w:rsidRPr="00735180">
              <w:rPr>
                <w:rFonts w:ascii="Times New Roman" w:eastAsia="Times New Roman" w:hAnsi="Times New Roman" w:cs="Times New Roman"/>
                <w:bCs/>
                <w:color w:val="000000"/>
                <w:lang w:eastAsia="ru-RU"/>
              </w:rPr>
              <w:t xml:space="preserve">сумм </w:t>
            </w:r>
            <w:r w:rsidRPr="00735180">
              <w:rPr>
                <w:rFonts w:ascii="Times New Roman" w:eastAsia="Times New Roman" w:hAnsi="Times New Roman" w:cs="Times New Roman"/>
                <w:bCs/>
                <w:color w:val="000000"/>
                <w:lang w:eastAsia="ru-RU"/>
              </w:rPr>
              <w:t>нарушения д</w:t>
            </w:r>
            <w:r w:rsidRPr="00735180">
              <w:rPr>
                <w:rFonts w:ascii="Times New Roman" w:eastAsia="Times New Roman" w:hAnsi="Times New Roman" w:cs="Times New Roman"/>
                <w:bCs/>
                <w:color w:val="000000"/>
                <w:lang w:eastAsia="ru-RU"/>
              </w:rPr>
              <w:t>о</w:t>
            </w:r>
            <w:r w:rsidRPr="00735180">
              <w:rPr>
                <w:rFonts w:ascii="Times New Roman" w:eastAsia="Times New Roman" w:hAnsi="Times New Roman" w:cs="Times New Roman"/>
                <w:bCs/>
                <w:color w:val="000000"/>
                <w:lang w:eastAsia="ru-RU"/>
              </w:rPr>
              <w:t>говорных обязательств в выру</w:t>
            </w:r>
            <w:r w:rsidRPr="00735180">
              <w:rPr>
                <w:rFonts w:ascii="Times New Roman" w:eastAsia="Times New Roman" w:hAnsi="Times New Roman" w:cs="Times New Roman"/>
                <w:bCs/>
                <w:color w:val="000000"/>
                <w:lang w:eastAsia="ru-RU"/>
              </w:rPr>
              <w:t>ч</w:t>
            </w:r>
            <w:r w:rsidRPr="00735180">
              <w:rPr>
                <w:rFonts w:ascii="Times New Roman" w:eastAsia="Times New Roman" w:hAnsi="Times New Roman" w:cs="Times New Roman"/>
                <w:bCs/>
                <w:color w:val="000000"/>
                <w:lang w:eastAsia="ru-RU"/>
              </w:rPr>
              <w:t>ке</w:t>
            </w:r>
          </w:p>
        </w:tc>
        <w:tc>
          <w:tcPr>
            <w:tcW w:w="0" w:type="auto"/>
            <w:vMerge w:val="restart"/>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Отслеживание нарушений условий догов</w:t>
            </w:r>
            <w:r w:rsidRPr="00735180">
              <w:rPr>
                <w:rFonts w:ascii="Times New Roman" w:eastAsia="Times New Roman" w:hAnsi="Times New Roman" w:cs="Times New Roman"/>
                <w:bCs/>
                <w:color w:val="000000"/>
                <w:lang w:eastAsia="ru-RU"/>
              </w:rPr>
              <w:t>о</w:t>
            </w:r>
            <w:r w:rsidRPr="00735180">
              <w:rPr>
                <w:rFonts w:ascii="Times New Roman" w:eastAsia="Times New Roman" w:hAnsi="Times New Roman" w:cs="Times New Roman"/>
                <w:bCs/>
                <w:color w:val="000000"/>
                <w:lang w:eastAsia="ru-RU"/>
              </w:rPr>
              <w:t>ров, соблюдение финансовой дисциплины</w:t>
            </w:r>
          </w:p>
        </w:tc>
      </w:tr>
      <w:tr w:rsidR="00A53CC0" w:rsidRPr="00735180" w:rsidTr="00DD365B">
        <w:trPr>
          <w:trHeight w:val="982"/>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D3 -</w:t>
            </w:r>
            <w:r w:rsidR="00A05C79" w:rsidRPr="00735180">
              <w:rPr>
                <w:rFonts w:ascii="Times New Roman" w:eastAsia="Times New Roman" w:hAnsi="Times New Roman" w:cs="Times New Roman"/>
                <w:bCs/>
                <w:color w:val="000000"/>
                <w:lang w:eastAsia="ru-RU"/>
              </w:rPr>
              <w:t xml:space="preserve"> Доля штрафов, пеней, неустоек з</w:t>
            </w:r>
            <w:r w:rsidRPr="00735180">
              <w:rPr>
                <w:rFonts w:ascii="Times New Roman" w:eastAsia="Times New Roman" w:hAnsi="Times New Roman" w:cs="Times New Roman"/>
                <w:bCs/>
                <w:color w:val="000000"/>
                <w:lang w:eastAsia="ru-RU"/>
              </w:rPr>
              <w:t>а нарушение догово</w:t>
            </w:r>
            <w:r w:rsidRPr="00735180">
              <w:rPr>
                <w:rFonts w:ascii="Times New Roman" w:eastAsia="Times New Roman" w:hAnsi="Times New Roman" w:cs="Times New Roman"/>
                <w:bCs/>
                <w:color w:val="000000"/>
                <w:lang w:eastAsia="ru-RU"/>
              </w:rPr>
              <w:t>р</w:t>
            </w:r>
            <w:r w:rsidRPr="00735180">
              <w:rPr>
                <w:rFonts w:ascii="Times New Roman" w:eastAsia="Times New Roman" w:hAnsi="Times New Roman" w:cs="Times New Roman"/>
                <w:bCs/>
                <w:color w:val="000000"/>
                <w:lang w:eastAsia="ru-RU"/>
              </w:rPr>
              <w:t>ных обязательств в операцио</w:t>
            </w:r>
            <w:r w:rsidRPr="00735180">
              <w:rPr>
                <w:rFonts w:ascii="Times New Roman" w:eastAsia="Times New Roman" w:hAnsi="Times New Roman" w:cs="Times New Roman"/>
                <w:bCs/>
                <w:color w:val="000000"/>
                <w:lang w:eastAsia="ru-RU"/>
              </w:rPr>
              <w:t>н</w:t>
            </w:r>
            <w:r w:rsidRPr="00735180">
              <w:rPr>
                <w:rFonts w:ascii="Times New Roman" w:eastAsia="Times New Roman" w:hAnsi="Times New Roman" w:cs="Times New Roman"/>
                <w:bCs/>
                <w:color w:val="000000"/>
                <w:lang w:eastAsia="ru-RU"/>
              </w:rPr>
              <w:t>ных расходах</w:t>
            </w:r>
          </w:p>
        </w:tc>
        <w:tc>
          <w:tcPr>
            <w:tcW w:w="0" w:type="auto"/>
            <w:vMerge/>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bCs/>
                <w:color w:val="000000"/>
                <w:lang w:eastAsia="ru-RU"/>
              </w:rPr>
            </w:pPr>
          </w:p>
        </w:tc>
      </w:tr>
      <w:tr w:rsidR="00A53CC0" w:rsidRPr="00735180" w:rsidTr="00DD365B">
        <w:trPr>
          <w:trHeight w:val="557"/>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D4 - Средняя процентная ставка по рублёвым кредитным дог</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ворам в качестве заёмщика</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уровня деловой репутации фирмы, её финансовой надёжности</w:t>
            </w:r>
          </w:p>
        </w:tc>
      </w:tr>
      <w:tr w:rsidR="00A53CC0" w:rsidRPr="00735180" w:rsidTr="00DD365B">
        <w:trPr>
          <w:trHeight w:val="427"/>
        </w:trPr>
        <w:tc>
          <w:tcPr>
            <w:tcW w:w="0" w:type="auto"/>
            <w:vMerge w:val="restart"/>
            <w:shd w:val="clear" w:color="auto" w:fill="auto"/>
            <w:textDirection w:val="btLr"/>
            <w:vAlign w:val="center"/>
            <w:hideMark/>
          </w:tcPr>
          <w:p w:rsidR="00A53CC0" w:rsidRPr="00735180" w:rsidRDefault="00A53CC0" w:rsidP="00735180">
            <w:pPr>
              <w:spacing w:line="360" w:lineRule="auto"/>
              <w:ind w:left="113" w:right="113"/>
              <w:jc w:val="center"/>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F - Показатели рейтинга компании на рынке</w:t>
            </w: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F1 - Котировальные списки, в которые входят акции</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Соответствие требованиям листинга би</w:t>
            </w:r>
            <w:r w:rsidRPr="00735180">
              <w:rPr>
                <w:rFonts w:ascii="Times New Roman" w:eastAsia="Times New Roman" w:hAnsi="Times New Roman" w:cs="Times New Roman"/>
                <w:color w:val="000000"/>
                <w:lang w:eastAsia="ru-RU"/>
              </w:rPr>
              <w:t>р</w:t>
            </w:r>
            <w:r w:rsidRPr="00735180">
              <w:rPr>
                <w:rFonts w:ascii="Times New Roman" w:eastAsia="Times New Roman" w:hAnsi="Times New Roman" w:cs="Times New Roman"/>
                <w:color w:val="000000"/>
                <w:lang w:eastAsia="ru-RU"/>
              </w:rPr>
              <w:t>жи, отражение деловой репутации, надё</w:t>
            </w:r>
            <w:r w:rsidRPr="00735180">
              <w:rPr>
                <w:rFonts w:ascii="Times New Roman" w:eastAsia="Times New Roman" w:hAnsi="Times New Roman" w:cs="Times New Roman"/>
                <w:color w:val="000000"/>
                <w:lang w:eastAsia="ru-RU"/>
              </w:rPr>
              <w:t>ж</w:t>
            </w:r>
            <w:r w:rsidRPr="00735180">
              <w:rPr>
                <w:rFonts w:ascii="Times New Roman" w:eastAsia="Times New Roman" w:hAnsi="Times New Roman" w:cs="Times New Roman"/>
                <w:color w:val="000000"/>
                <w:lang w:eastAsia="ru-RU"/>
              </w:rPr>
              <w:t>ности и финансовой устойчивости комп</w:t>
            </w:r>
            <w:r w:rsidRPr="00735180">
              <w:rPr>
                <w:rFonts w:ascii="Times New Roman" w:eastAsia="Times New Roman" w:hAnsi="Times New Roman" w:cs="Times New Roman"/>
                <w:color w:val="000000"/>
                <w:lang w:eastAsia="ru-RU"/>
              </w:rPr>
              <w:t>а</w:t>
            </w:r>
            <w:r w:rsidRPr="00735180">
              <w:rPr>
                <w:rFonts w:ascii="Times New Roman" w:eastAsia="Times New Roman" w:hAnsi="Times New Roman" w:cs="Times New Roman"/>
                <w:color w:val="000000"/>
                <w:lang w:eastAsia="ru-RU"/>
              </w:rPr>
              <w:t>нии</w:t>
            </w:r>
          </w:p>
        </w:tc>
      </w:tr>
      <w:tr w:rsidR="00A53CC0" w:rsidRPr="00735180" w:rsidTr="00DD365B">
        <w:trPr>
          <w:trHeight w:val="725"/>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F2 - Долгосрочный кредитный рейтинг рейтинговых агентств</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Мера кредитоспособности компании, уровня её финансовой устойчивости и надёжности для инвестирования</w:t>
            </w:r>
          </w:p>
        </w:tc>
      </w:tr>
      <w:tr w:rsidR="00A53CC0" w:rsidRPr="00735180" w:rsidTr="00DD365B">
        <w:trPr>
          <w:trHeight w:val="1160"/>
        </w:trPr>
        <w:tc>
          <w:tcPr>
            <w:tcW w:w="0" w:type="auto"/>
            <w:vMerge/>
            <w:textDirection w:val="btLr"/>
            <w:vAlign w:val="center"/>
            <w:hideMark/>
          </w:tcPr>
          <w:p w:rsidR="00A53CC0" w:rsidRPr="00735180" w:rsidRDefault="00A53CC0" w:rsidP="00735180">
            <w:pPr>
              <w:spacing w:line="360" w:lineRule="auto"/>
              <w:ind w:left="113" w:right="113"/>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F3 - Выход на международные рынки капитала</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Отражение эффективности финансово-хозяйственной деятельности, расширение базы инвесторов, увеличение популярн</w:t>
            </w:r>
            <w:r w:rsidRPr="00735180">
              <w:rPr>
                <w:rFonts w:ascii="Times New Roman" w:eastAsia="Times New Roman" w:hAnsi="Times New Roman" w:cs="Times New Roman"/>
                <w:color w:val="000000"/>
                <w:lang w:eastAsia="ru-RU"/>
              </w:rPr>
              <w:t>о</w:t>
            </w:r>
            <w:r w:rsidRPr="00735180">
              <w:rPr>
                <w:rFonts w:ascii="Times New Roman" w:eastAsia="Times New Roman" w:hAnsi="Times New Roman" w:cs="Times New Roman"/>
                <w:color w:val="000000"/>
                <w:lang w:eastAsia="ru-RU"/>
              </w:rPr>
              <w:t>сти компании за ру</w:t>
            </w:r>
            <w:r w:rsidR="009776CF" w:rsidRPr="00735180">
              <w:rPr>
                <w:rFonts w:ascii="Times New Roman" w:eastAsia="Times New Roman" w:hAnsi="Times New Roman" w:cs="Times New Roman"/>
                <w:color w:val="000000"/>
                <w:lang w:eastAsia="ru-RU"/>
              </w:rPr>
              <w:t xml:space="preserve">бежом, привлечение дополнительного </w:t>
            </w:r>
            <w:r w:rsidRPr="00735180">
              <w:rPr>
                <w:rFonts w:ascii="Times New Roman" w:eastAsia="Times New Roman" w:hAnsi="Times New Roman" w:cs="Times New Roman"/>
                <w:color w:val="000000"/>
                <w:lang w:eastAsia="ru-RU"/>
              </w:rPr>
              <w:t>финансирования</w:t>
            </w:r>
          </w:p>
        </w:tc>
      </w:tr>
      <w:tr w:rsidR="00A53CC0" w:rsidRPr="00735180" w:rsidTr="00DD365B">
        <w:trPr>
          <w:trHeight w:val="610"/>
        </w:trPr>
        <w:tc>
          <w:tcPr>
            <w:tcW w:w="0" w:type="auto"/>
            <w:vMerge w:val="restart"/>
            <w:shd w:val="clear" w:color="auto" w:fill="auto"/>
            <w:textDirection w:val="btLr"/>
            <w:vAlign w:val="center"/>
            <w:hideMark/>
          </w:tcPr>
          <w:p w:rsidR="00A53CC0" w:rsidRPr="00735180" w:rsidRDefault="00A53CC0" w:rsidP="00735180">
            <w:pPr>
              <w:spacing w:line="360" w:lineRule="auto"/>
              <w:ind w:left="113" w:right="113"/>
              <w:jc w:val="center"/>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 - Контроль со стороны государственных органов</w:t>
            </w: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G1 - Членство в Антикоррупц</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онной хартии российского би</w:t>
            </w:r>
            <w:r w:rsidRPr="00735180">
              <w:rPr>
                <w:rFonts w:ascii="Times New Roman" w:eastAsia="Times New Roman" w:hAnsi="Times New Roman" w:cs="Times New Roman"/>
                <w:color w:val="000000"/>
                <w:lang w:eastAsia="ru-RU"/>
              </w:rPr>
              <w:t>з</w:t>
            </w:r>
            <w:r w:rsidRPr="00735180">
              <w:rPr>
                <w:rFonts w:ascii="Times New Roman" w:eastAsia="Times New Roman" w:hAnsi="Times New Roman" w:cs="Times New Roman"/>
                <w:color w:val="000000"/>
                <w:lang w:eastAsia="ru-RU"/>
              </w:rPr>
              <w:t>неса</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Отражение самоограничения компании в части коррупционных практик </w:t>
            </w:r>
          </w:p>
        </w:tc>
      </w:tr>
      <w:tr w:rsidR="00A53CC0" w:rsidRPr="00735180" w:rsidTr="00DD365B">
        <w:trPr>
          <w:trHeight w:val="653"/>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G2 - Число нарушений антико</w:t>
            </w:r>
            <w:r w:rsidRPr="00735180">
              <w:rPr>
                <w:rFonts w:ascii="Times New Roman" w:eastAsia="Times New Roman" w:hAnsi="Times New Roman" w:cs="Times New Roman"/>
                <w:color w:val="000000"/>
                <w:lang w:eastAsia="ru-RU"/>
              </w:rPr>
              <w:t>р</w:t>
            </w:r>
            <w:r w:rsidRPr="00735180">
              <w:rPr>
                <w:rFonts w:ascii="Times New Roman" w:eastAsia="Times New Roman" w:hAnsi="Times New Roman" w:cs="Times New Roman"/>
                <w:color w:val="000000"/>
                <w:lang w:eastAsia="ru-RU"/>
              </w:rPr>
              <w:t>рупционного законодательства</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Соблюдение комплаенс-контроля, демо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страция уровня деловой репутации</w:t>
            </w:r>
          </w:p>
        </w:tc>
      </w:tr>
      <w:tr w:rsidR="00A53CC0" w:rsidRPr="00735180" w:rsidTr="00DD365B">
        <w:trPr>
          <w:trHeight w:val="96"/>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G3 - Число проверок со стороны ор</w:t>
            </w:r>
            <w:r w:rsidR="009776CF" w:rsidRPr="00735180">
              <w:rPr>
                <w:rFonts w:ascii="Times New Roman" w:eastAsia="Times New Roman" w:hAnsi="Times New Roman" w:cs="Times New Roman"/>
                <w:color w:val="000000"/>
                <w:lang w:eastAsia="ru-RU"/>
              </w:rPr>
              <w:t>ганов государственного ко</w:t>
            </w:r>
            <w:r w:rsidR="009776CF" w:rsidRPr="00735180">
              <w:rPr>
                <w:rFonts w:ascii="Times New Roman" w:eastAsia="Times New Roman" w:hAnsi="Times New Roman" w:cs="Times New Roman"/>
                <w:color w:val="000000"/>
                <w:lang w:eastAsia="ru-RU"/>
              </w:rPr>
              <w:t>н</w:t>
            </w:r>
            <w:r w:rsidR="009776CF" w:rsidRPr="00735180">
              <w:rPr>
                <w:rFonts w:ascii="Times New Roman" w:eastAsia="Times New Roman" w:hAnsi="Times New Roman" w:cs="Times New Roman"/>
                <w:color w:val="000000"/>
                <w:lang w:eastAsia="ru-RU"/>
              </w:rPr>
              <w:t>троля</w:t>
            </w:r>
          </w:p>
        </w:tc>
        <w:tc>
          <w:tcPr>
            <w:tcW w:w="0" w:type="auto"/>
            <w:vMerge w:val="restart"/>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Повышение эффективности деятельности предприятия, выявление и устранение неполадок, обеспечении прозрачности де</w:t>
            </w:r>
            <w:r w:rsidRPr="00735180">
              <w:rPr>
                <w:rFonts w:ascii="Times New Roman" w:eastAsia="Times New Roman" w:hAnsi="Times New Roman" w:cs="Times New Roman"/>
                <w:color w:val="000000"/>
                <w:lang w:eastAsia="ru-RU"/>
              </w:rPr>
              <w:t>я</w:t>
            </w:r>
            <w:r w:rsidRPr="00735180">
              <w:rPr>
                <w:rFonts w:ascii="Times New Roman" w:eastAsia="Times New Roman" w:hAnsi="Times New Roman" w:cs="Times New Roman"/>
                <w:color w:val="000000"/>
                <w:lang w:eastAsia="ru-RU"/>
              </w:rPr>
              <w:t xml:space="preserve">тельности, стимул развития компании </w:t>
            </w:r>
          </w:p>
        </w:tc>
      </w:tr>
      <w:tr w:rsidR="00A53CC0" w:rsidRPr="00735180" w:rsidTr="00DD365B">
        <w:trPr>
          <w:trHeight w:val="85"/>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bCs/>
                <w:color w:val="000000"/>
                <w:lang w:eastAsia="ru-RU"/>
              </w:rPr>
            </w:pPr>
            <w:r w:rsidRPr="00735180">
              <w:rPr>
                <w:rFonts w:ascii="Times New Roman" w:eastAsia="Times New Roman" w:hAnsi="Times New Roman" w:cs="Times New Roman"/>
                <w:bCs/>
                <w:color w:val="000000"/>
                <w:lang w:eastAsia="ru-RU"/>
              </w:rPr>
              <w:t>G4 - Доля нарушений, выявле</w:t>
            </w:r>
            <w:r w:rsidRPr="00735180">
              <w:rPr>
                <w:rFonts w:ascii="Times New Roman" w:eastAsia="Times New Roman" w:hAnsi="Times New Roman" w:cs="Times New Roman"/>
                <w:bCs/>
                <w:color w:val="000000"/>
                <w:lang w:eastAsia="ru-RU"/>
              </w:rPr>
              <w:t>н</w:t>
            </w:r>
            <w:r w:rsidRPr="00735180">
              <w:rPr>
                <w:rFonts w:ascii="Times New Roman" w:eastAsia="Times New Roman" w:hAnsi="Times New Roman" w:cs="Times New Roman"/>
                <w:bCs/>
                <w:color w:val="000000"/>
                <w:lang w:eastAsia="ru-RU"/>
              </w:rPr>
              <w:t>ных</w:t>
            </w:r>
            <w:r w:rsidR="004B4F41" w:rsidRPr="00735180">
              <w:rPr>
                <w:rFonts w:ascii="Times New Roman" w:eastAsia="Times New Roman" w:hAnsi="Times New Roman" w:cs="Times New Roman"/>
                <w:bCs/>
                <w:color w:val="000000"/>
                <w:lang w:eastAsia="ru-RU"/>
              </w:rPr>
              <w:t xml:space="preserve"> </w:t>
            </w:r>
            <w:proofErr w:type="gramStart"/>
            <w:r w:rsidR="004B4F41" w:rsidRPr="00735180">
              <w:rPr>
                <w:rFonts w:ascii="Times New Roman" w:eastAsia="Times New Roman" w:hAnsi="Times New Roman" w:cs="Times New Roman"/>
                <w:bCs/>
                <w:color w:val="000000"/>
                <w:lang w:eastAsia="ru-RU"/>
              </w:rPr>
              <w:t>гос. органами</w:t>
            </w:r>
            <w:proofErr w:type="gramEnd"/>
            <w:r w:rsidRPr="00735180">
              <w:rPr>
                <w:rFonts w:ascii="Times New Roman" w:eastAsia="Times New Roman" w:hAnsi="Times New Roman" w:cs="Times New Roman"/>
                <w:bCs/>
                <w:color w:val="000000"/>
                <w:lang w:eastAsia="ru-RU"/>
              </w:rPr>
              <w:t>, в операц</w:t>
            </w:r>
            <w:r w:rsidRPr="00735180">
              <w:rPr>
                <w:rFonts w:ascii="Times New Roman" w:eastAsia="Times New Roman" w:hAnsi="Times New Roman" w:cs="Times New Roman"/>
                <w:bCs/>
                <w:color w:val="000000"/>
                <w:lang w:eastAsia="ru-RU"/>
              </w:rPr>
              <w:t>и</w:t>
            </w:r>
            <w:r w:rsidRPr="00735180">
              <w:rPr>
                <w:rFonts w:ascii="Times New Roman" w:eastAsia="Times New Roman" w:hAnsi="Times New Roman" w:cs="Times New Roman"/>
                <w:bCs/>
                <w:color w:val="000000"/>
                <w:lang w:eastAsia="ru-RU"/>
              </w:rPr>
              <w:t>онных расходах</w:t>
            </w:r>
          </w:p>
        </w:tc>
        <w:tc>
          <w:tcPr>
            <w:tcW w:w="0" w:type="auto"/>
            <w:vMerge/>
            <w:shd w:val="clear" w:color="auto" w:fill="auto"/>
            <w:vAlign w:val="center"/>
          </w:tcPr>
          <w:p w:rsidR="00A53CC0" w:rsidRPr="00735180" w:rsidRDefault="00A53CC0" w:rsidP="00735180">
            <w:pPr>
              <w:spacing w:line="360" w:lineRule="auto"/>
              <w:jc w:val="both"/>
              <w:rPr>
                <w:rFonts w:ascii="Times New Roman" w:eastAsia="Times New Roman" w:hAnsi="Times New Roman" w:cs="Times New Roman"/>
                <w:bCs/>
                <w:color w:val="000000"/>
                <w:lang w:eastAsia="ru-RU"/>
              </w:rPr>
            </w:pPr>
          </w:p>
        </w:tc>
      </w:tr>
      <w:tr w:rsidR="00A53CC0" w:rsidRPr="00735180" w:rsidTr="00DD365B">
        <w:trPr>
          <w:trHeight w:val="610"/>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G5 - Соответствие критериям налогового мониторинга</w:t>
            </w:r>
          </w:p>
        </w:tc>
        <w:tc>
          <w:tcPr>
            <w:tcW w:w="0" w:type="auto"/>
            <w:vMerge w:val="restart"/>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Активное взаимодействие с налоговыми органами, возможность получения ко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сультаций и решения спорных вопросов в упрощённом режиме</w:t>
            </w:r>
          </w:p>
        </w:tc>
      </w:tr>
      <w:tr w:rsidR="00A53CC0" w:rsidRPr="00735180" w:rsidTr="00DD365B">
        <w:trPr>
          <w:trHeight w:val="276"/>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G6 - Участие в налоговом мон</w:t>
            </w:r>
            <w:r w:rsidRPr="00735180">
              <w:rPr>
                <w:rFonts w:ascii="Times New Roman" w:eastAsia="Times New Roman" w:hAnsi="Times New Roman" w:cs="Times New Roman"/>
                <w:color w:val="000000"/>
                <w:lang w:eastAsia="ru-RU"/>
              </w:rPr>
              <w:t>и</w:t>
            </w:r>
            <w:r w:rsidRPr="00735180">
              <w:rPr>
                <w:rFonts w:ascii="Times New Roman" w:eastAsia="Times New Roman" w:hAnsi="Times New Roman" w:cs="Times New Roman"/>
                <w:color w:val="000000"/>
                <w:lang w:eastAsia="ru-RU"/>
              </w:rPr>
              <w:t>торинге</w:t>
            </w:r>
          </w:p>
        </w:tc>
        <w:tc>
          <w:tcPr>
            <w:tcW w:w="0" w:type="auto"/>
            <w:vMerge/>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p>
        </w:tc>
      </w:tr>
      <w:tr w:rsidR="00A53CC0" w:rsidRPr="00735180" w:rsidTr="00DD365B">
        <w:trPr>
          <w:trHeight w:val="759"/>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G7 - Использование обособле</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 xml:space="preserve">ных банковских счетов </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Предоставление дополнительного ко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 xml:space="preserve">троля со стороны </w:t>
            </w:r>
            <w:r w:rsidR="004B4F41" w:rsidRPr="00735180">
              <w:rPr>
                <w:rFonts w:ascii="Times New Roman" w:eastAsia="Times New Roman" w:hAnsi="Times New Roman" w:cs="Times New Roman"/>
                <w:color w:val="000000"/>
                <w:lang w:eastAsia="ru-RU"/>
              </w:rPr>
              <w:t xml:space="preserve">банковской системы, обеспечение </w:t>
            </w:r>
            <w:r w:rsidRPr="00735180">
              <w:rPr>
                <w:rFonts w:ascii="Times New Roman" w:eastAsia="Times New Roman" w:hAnsi="Times New Roman" w:cs="Times New Roman"/>
                <w:color w:val="000000"/>
                <w:lang w:eastAsia="ru-RU"/>
              </w:rPr>
              <w:t>законности платежей, ко</w:t>
            </w:r>
            <w:r w:rsidRPr="00735180">
              <w:rPr>
                <w:rFonts w:ascii="Times New Roman" w:eastAsia="Times New Roman" w:hAnsi="Times New Roman" w:cs="Times New Roman"/>
                <w:color w:val="000000"/>
                <w:lang w:eastAsia="ru-RU"/>
              </w:rPr>
              <w:t>н</w:t>
            </w:r>
            <w:r w:rsidRPr="00735180">
              <w:rPr>
                <w:rFonts w:ascii="Times New Roman" w:eastAsia="Times New Roman" w:hAnsi="Times New Roman" w:cs="Times New Roman"/>
                <w:color w:val="000000"/>
                <w:lang w:eastAsia="ru-RU"/>
              </w:rPr>
              <w:t>троль расходования денежных средств</w:t>
            </w:r>
          </w:p>
        </w:tc>
      </w:tr>
      <w:tr w:rsidR="00A53CC0" w:rsidRPr="00735180" w:rsidTr="00DD365B">
        <w:trPr>
          <w:trHeight w:val="339"/>
        </w:trPr>
        <w:tc>
          <w:tcPr>
            <w:tcW w:w="0" w:type="auto"/>
            <w:vMerge/>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p>
        </w:tc>
        <w:tc>
          <w:tcPr>
            <w:tcW w:w="0" w:type="auto"/>
            <w:shd w:val="clear" w:color="auto" w:fill="auto"/>
            <w:vAlign w:val="center"/>
            <w:hideMark/>
          </w:tcPr>
          <w:p w:rsidR="00A53CC0" w:rsidRPr="00735180" w:rsidRDefault="00A53CC0" w:rsidP="00735180">
            <w:pPr>
              <w:spacing w:line="360" w:lineRule="auto"/>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G8 - Доля гос. субсидирования в выручке за год</w:t>
            </w:r>
          </w:p>
        </w:tc>
        <w:tc>
          <w:tcPr>
            <w:tcW w:w="0" w:type="auto"/>
            <w:vAlign w:val="center"/>
          </w:tcPr>
          <w:p w:rsidR="00A53CC0" w:rsidRPr="00735180" w:rsidRDefault="00A53CC0" w:rsidP="00735180">
            <w:pPr>
              <w:spacing w:line="360" w:lineRule="auto"/>
              <w:jc w:val="both"/>
              <w:rPr>
                <w:rFonts w:ascii="Times New Roman" w:eastAsia="Times New Roman" w:hAnsi="Times New Roman" w:cs="Times New Roman"/>
                <w:color w:val="000000"/>
                <w:lang w:eastAsia="ru-RU"/>
              </w:rPr>
            </w:pPr>
            <w:r w:rsidRPr="00735180">
              <w:rPr>
                <w:rFonts w:ascii="Times New Roman" w:eastAsia="Times New Roman" w:hAnsi="Times New Roman" w:cs="Times New Roman"/>
                <w:color w:val="000000"/>
                <w:lang w:eastAsia="ru-RU"/>
              </w:rPr>
              <w:t xml:space="preserve">Возможность дополнительного контроля со стороны </w:t>
            </w:r>
            <w:proofErr w:type="gramStart"/>
            <w:r w:rsidRPr="00735180">
              <w:rPr>
                <w:rFonts w:ascii="Times New Roman" w:eastAsia="Times New Roman" w:hAnsi="Times New Roman" w:cs="Times New Roman"/>
                <w:color w:val="000000"/>
                <w:lang w:eastAsia="ru-RU"/>
              </w:rPr>
              <w:t>гос. органов</w:t>
            </w:r>
            <w:proofErr w:type="gramEnd"/>
            <w:r w:rsidRPr="00735180">
              <w:rPr>
                <w:rFonts w:ascii="Times New Roman" w:eastAsia="Times New Roman" w:hAnsi="Times New Roman" w:cs="Times New Roman"/>
                <w:color w:val="000000"/>
                <w:lang w:eastAsia="ru-RU"/>
              </w:rPr>
              <w:t>, рост деловой р</w:t>
            </w:r>
            <w:r w:rsidRPr="00735180">
              <w:rPr>
                <w:rFonts w:ascii="Times New Roman" w:eastAsia="Times New Roman" w:hAnsi="Times New Roman" w:cs="Times New Roman"/>
                <w:color w:val="000000"/>
                <w:lang w:eastAsia="ru-RU"/>
              </w:rPr>
              <w:t>е</w:t>
            </w:r>
            <w:r w:rsidRPr="00735180">
              <w:rPr>
                <w:rFonts w:ascii="Times New Roman" w:eastAsia="Times New Roman" w:hAnsi="Times New Roman" w:cs="Times New Roman"/>
                <w:color w:val="000000"/>
                <w:lang w:eastAsia="ru-RU"/>
              </w:rPr>
              <w:t>путации</w:t>
            </w:r>
          </w:p>
        </w:tc>
      </w:tr>
    </w:tbl>
    <w:p w:rsidR="00EE4F01" w:rsidRPr="00735180" w:rsidRDefault="00EE4F01" w:rsidP="00735180">
      <w:pPr>
        <w:tabs>
          <w:tab w:val="left" w:pos="851"/>
        </w:tabs>
        <w:spacing w:line="360" w:lineRule="auto"/>
        <w:ind w:firstLine="709"/>
        <w:jc w:val="both"/>
        <w:rPr>
          <w:rFonts w:ascii="Times New Roman" w:hAnsi="Times New Roman" w:cs="Times New Roman"/>
          <w:sz w:val="24"/>
          <w:szCs w:val="24"/>
        </w:rPr>
      </w:pPr>
    </w:p>
    <w:p w:rsidR="00A53CC0" w:rsidRPr="00D21805" w:rsidRDefault="00A53CC0"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Для комплексной оценки и определения уровня системы финансов</w:t>
      </w:r>
      <w:r w:rsidRPr="00D21805">
        <w:rPr>
          <w:rFonts w:ascii="Times New Roman" w:hAnsi="Times New Roman" w:cs="Times New Roman"/>
          <w:sz w:val="28"/>
          <w:szCs w:val="24"/>
        </w:rPr>
        <w:t>о</w:t>
      </w:r>
      <w:r w:rsidRPr="00D21805">
        <w:rPr>
          <w:rFonts w:ascii="Times New Roman" w:hAnsi="Times New Roman" w:cs="Times New Roman"/>
          <w:sz w:val="28"/>
          <w:szCs w:val="24"/>
        </w:rPr>
        <w:t>го контроля в компаниях для каждой контрольной процедуры на основе экспертных суждений был выявлен ряд возможных диапазонов значений, и каждому возможному значению было присвоено определённое количество баллов. В совокупности максимально возможное количество баллов сост</w:t>
      </w:r>
      <w:r w:rsidRPr="00D21805">
        <w:rPr>
          <w:rFonts w:ascii="Times New Roman" w:hAnsi="Times New Roman" w:cs="Times New Roman"/>
          <w:sz w:val="28"/>
          <w:szCs w:val="24"/>
        </w:rPr>
        <w:t>а</w:t>
      </w:r>
      <w:r w:rsidRPr="00D21805">
        <w:rPr>
          <w:rFonts w:ascii="Times New Roman" w:hAnsi="Times New Roman" w:cs="Times New Roman"/>
          <w:sz w:val="28"/>
          <w:szCs w:val="24"/>
        </w:rPr>
        <w:t>вило 100, а минимальное -23</w:t>
      </w:r>
      <w:r w:rsidR="002C0D4C" w:rsidRPr="00D21805">
        <w:rPr>
          <w:rFonts w:ascii="Times New Roman" w:hAnsi="Times New Roman" w:cs="Times New Roman"/>
          <w:sz w:val="28"/>
          <w:szCs w:val="24"/>
        </w:rPr>
        <w:t>.</w:t>
      </w:r>
      <w:r w:rsidR="00137795" w:rsidRPr="00D21805">
        <w:rPr>
          <w:rFonts w:ascii="Times New Roman" w:hAnsi="Times New Roman" w:cs="Times New Roman"/>
          <w:sz w:val="28"/>
          <w:szCs w:val="24"/>
        </w:rPr>
        <w:t xml:space="preserve"> </w:t>
      </w:r>
      <w:r w:rsidR="002C0D4C" w:rsidRPr="00D21805">
        <w:rPr>
          <w:rFonts w:ascii="Times New Roman" w:hAnsi="Times New Roman" w:cs="Times New Roman"/>
          <w:sz w:val="28"/>
          <w:szCs w:val="24"/>
        </w:rPr>
        <w:t>Методика</w:t>
      </w:r>
      <w:r w:rsidR="00137795" w:rsidRPr="00D21805">
        <w:rPr>
          <w:rFonts w:ascii="Times New Roman" w:hAnsi="Times New Roman" w:cs="Times New Roman"/>
          <w:sz w:val="28"/>
          <w:szCs w:val="24"/>
        </w:rPr>
        <w:t xml:space="preserve"> </w:t>
      </w:r>
      <w:r w:rsidRPr="00D21805">
        <w:rPr>
          <w:rFonts w:ascii="Times New Roman" w:hAnsi="Times New Roman" w:cs="Times New Roman"/>
          <w:sz w:val="28"/>
          <w:szCs w:val="24"/>
        </w:rPr>
        <w:t>ранжировани</w:t>
      </w:r>
      <w:r w:rsidR="002C0D4C" w:rsidRPr="00D21805">
        <w:rPr>
          <w:rFonts w:ascii="Times New Roman" w:hAnsi="Times New Roman" w:cs="Times New Roman"/>
          <w:sz w:val="28"/>
          <w:szCs w:val="24"/>
        </w:rPr>
        <w:t>я компаний в завис</w:t>
      </w:r>
      <w:r w:rsidR="002C0D4C" w:rsidRPr="00D21805">
        <w:rPr>
          <w:rFonts w:ascii="Times New Roman" w:hAnsi="Times New Roman" w:cs="Times New Roman"/>
          <w:sz w:val="28"/>
          <w:szCs w:val="24"/>
        </w:rPr>
        <w:t>и</w:t>
      </w:r>
      <w:r w:rsidR="002C0D4C" w:rsidRPr="00D21805">
        <w:rPr>
          <w:rFonts w:ascii="Times New Roman" w:hAnsi="Times New Roman" w:cs="Times New Roman"/>
          <w:sz w:val="28"/>
          <w:szCs w:val="24"/>
        </w:rPr>
        <w:t xml:space="preserve">мости от </w:t>
      </w:r>
      <w:r w:rsidRPr="00D21805">
        <w:rPr>
          <w:rFonts w:ascii="Times New Roman" w:hAnsi="Times New Roman" w:cs="Times New Roman"/>
          <w:sz w:val="28"/>
          <w:szCs w:val="24"/>
        </w:rPr>
        <w:t>уровня</w:t>
      </w:r>
      <w:r w:rsidR="002C0D4C" w:rsidRPr="00D21805">
        <w:rPr>
          <w:rFonts w:ascii="Times New Roman" w:hAnsi="Times New Roman" w:cs="Times New Roman"/>
          <w:sz w:val="28"/>
          <w:szCs w:val="24"/>
        </w:rPr>
        <w:t xml:space="preserve"> эффективности</w:t>
      </w:r>
      <w:r w:rsidR="00137795" w:rsidRPr="00D21805">
        <w:rPr>
          <w:rFonts w:ascii="Times New Roman" w:hAnsi="Times New Roman" w:cs="Times New Roman"/>
          <w:sz w:val="28"/>
          <w:szCs w:val="24"/>
        </w:rPr>
        <w:t xml:space="preserve"> </w:t>
      </w:r>
      <w:r w:rsidRPr="00D21805">
        <w:rPr>
          <w:rFonts w:ascii="Times New Roman" w:hAnsi="Times New Roman" w:cs="Times New Roman"/>
          <w:sz w:val="28"/>
          <w:szCs w:val="24"/>
        </w:rPr>
        <w:t xml:space="preserve">финансового контроля </w:t>
      </w:r>
      <w:r w:rsidR="002C0D4C" w:rsidRPr="00D21805">
        <w:rPr>
          <w:rFonts w:ascii="Times New Roman" w:hAnsi="Times New Roman" w:cs="Times New Roman"/>
          <w:sz w:val="28"/>
          <w:szCs w:val="24"/>
        </w:rPr>
        <w:t>на основе</w:t>
      </w:r>
      <w:r w:rsidRPr="00D21805">
        <w:rPr>
          <w:rFonts w:ascii="Times New Roman" w:hAnsi="Times New Roman" w:cs="Times New Roman"/>
          <w:sz w:val="28"/>
          <w:szCs w:val="24"/>
        </w:rPr>
        <w:t xml:space="preserve"> получе</w:t>
      </w:r>
      <w:r w:rsidRPr="00D21805">
        <w:rPr>
          <w:rFonts w:ascii="Times New Roman" w:hAnsi="Times New Roman" w:cs="Times New Roman"/>
          <w:sz w:val="28"/>
          <w:szCs w:val="24"/>
        </w:rPr>
        <w:t>н</w:t>
      </w:r>
      <w:r w:rsidRPr="00D21805">
        <w:rPr>
          <w:rFonts w:ascii="Times New Roman" w:hAnsi="Times New Roman" w:cs="Times New Roman"/>
          <w:sz w:val="28"/>
          <w:szCs w:val="24"/>
        </w:rPr>
        <w:t xml:space="preserve">ных </w:t>
      </w:r>
      <w:r w:rsidR="002C0D4C" w:rsidRPr="00D21805">
        <w:rPr>
          <w:rFonts w:ascii="Times New Roman" w:hAnsi="Times New Roman" w:cs="Times New Roman"/>
          <w:sz w:val="28"/>
          <w:szCs w:val="24"/>
        </w:rPr>
        <w:t>баллов, представлена</w:t>
      </w:r>
      <w:r w:rsidRPr="00D21805">
        <w:rPr>
          <w:rFonts w:ascii="Times New Roman" w:hAnsi="Times New Roman" w:cs="Times New Roman"/>
          <w:sz w:val="28"/>
          <w:szCs w:val="24"/>
        </w:rPr>
        <w:t xml:space="preserve"> в таблице </w:t>
      </w:r>
      <w:r w:rsidR="00DB003C" w:rsidRPr="00D21805">
        <w:rPr>
          <w:rFonts w:ascii="Times New Roman" w:hAnsi="Times New Roman" w:cs="Times New Roman"/>
          <w:sz w:val="28"/>
          <w:szCs w:val="24"/>
        </w:rPr>
        <w:t>2</w:t>
      </w:r>
      <w:r w:rsidR="00624E64" w:rsidRPr="00D21805">
        <w:rPr>
          <w:rFonts w:ascii="Times New Roman" w:hAnsi="Times New Roman" w:cs="Times New Roman"/>
          <w:sz w:val="28"/>
          <w:szCs w:val="24"/>
        </w:rPr>
        <w:t>.</w:t>
      </w:r>
      <w:r w:rsidRPr="00D21805">
        <w:rPr>
          <w:rFonts w:ascii="Times New Roman" w:hAnsi="Times New Roman" w:cs="Times New Roman"/>
          <w:sz w:val="28"/>
          <w:szCs w:val="24"/>
        </w:rPr>
        <w:t xml:space="preserve"> </w:t>
      </w:r>
    </w:p>
    <w:p w:rsidR="002C0D4C" w:rsidRPr="00D21805" w:rsidRDefault="00A53CC0" w:rsidP="00735180">
      <w:pPr>
        <w:tabs>
          <w:tab w:val="left" w:pos="851"/>
        </w:tabs>
        <w:spacing w:line="360" w:lineRule="auto"/>
        <w:jc w:val="right"/>
        <w:rPr>
          <w:rFonts w:ascii="Times New Roman" w:hAnsi="Times New Roman" w:cs="Times New Roman"/>
          <w:sz w:val="28"/>
          <w:szCs w:val="24"/>
        </w:rPr>
      </w:pPr>
      <w:r w:rsidRPr="00D21805">
        <w:rPr>
          <w:rFonts w:ascii="Times New Roman" w:hAnsi="Times New Roman" w:cs="Times New Roman"/>
          <w:sz w:val="28"/>
          <w:szCs w:val="24"/>
        </w:rPr>
        <w:t xml:space="preserve">Таблица </w:t>
      </w:r>
      <w:r w:rsidR="00DB003C" w:rsidRPr="00D21805">
        <w:rPr>
          <w:rFonts w:ascii="Times New Roman" w:hAnsi="Times New Roman" w:cs="Times New Roman"/>
          <w:sz w:val="28"/>
          <w:szCs w:val="24"/>
        </w:rPr>
        <w:t>2</w:t>
      </w:r>
      <w:r w:rsidR="00624E64" w:rsidRPr="00D21805">
        <w:rPr>
          <w:rFonts w:ascii="Times New Roman" w:hAnsi="Times New Roman" w:cs="Times New Roman"/>
          <w:sz w:val="28"/>
          <w:szCs w:val="24"/>
        </w:rPr>
        <w:t xml:space="preserve"> </w:t>
      </w:r>
    </w:p>
    <w:p w:rsidR="00A53CC0" w:rsidRPr="00D21805" w:rsidRDefault="00624E64" w:rsidP="00735180">
      <w:pPr>
        <w:tabs>
          <w:tab w:val="left" w:pos="851"/>
        </w:tabs>
        <w:spacing w:line="360" w:lineRule="auto"/>
        <w:jc w:val="both"/>
        <w:rPr>
          <w:rFonts w:ascii="Times New Roman" w:hAnsi="Times New Roman" w:cs="Times New Roman"/>
          <w:sz w:val="28"/>
          <w:szCs w:val="24"/>
        </w:rPr>
      </w:pPr>
      <w:r w:rsidRPr="00D21805">
        <w:rPr>
          <w:rFonts w:ascii="Times New Roman" w:hAnsi="Times New Roman" w:cs="Times New Roman"/>
          <w:sz w:val="28"/>
          <w:szCs w:val="24"/>
        </w:rPr>
        <w:t xml:space="preserve"> </w:t>
      </w:r>
      <w:r w:rsidR="00A53CC0" w:rsidRPr="00D21805">
        <w:rPr>
          <w:rFonts w:ascii="Times New Roman" w:hAnsi="Times New Roman" w:cs="Times New Roman"/>
          <w:sz w:val="28"/>
          <w:szCs w:val="24"/>
        </w:rPr>
        <w:t>Рейтинговая оценка уровня системы ф</w:t>
      </w:r>
      <w:r w:rsidRPr="00D21805">
        <w:rPr>
          <w:rFonts w:ascii="Times New Roman" w:hAnsi="Times New Roman" w:cs="Times New Roman"/>
          <w:sz w:val="28"/>
          <w:szCs w:val="24"/>
        </w:rPr>
        <w:t>инансового контроля в компаниях</w:t>
      </w:r>
    </w:p>
    <w:tbl>
      <w:tblPr>
        <w:tblStyle w:val="a6"/>
        <w:tblW w:w="0" w:type="auto"/>
        <w:tblLook w:val="04A0" w:firstRow="1" w:lastRow="0" w:firstColumn="1" w:lastColumn="0" w:noHBand="0" w:noVBand="1"/>
      </w:tblPr>
      <w:tblGrid>
        <w:gridCol w:w="1454"/>
        <w:gridCol w:w="7834"/>
      </w:tblGrid>
      <w:tr w:rsidR="00A53CC0" w:rsidRPr="00DD365B" w:rsidTr="00DD365B">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Количество баллов</w:t>
            </w:r>
          </w:p>
        </w:tc>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Оценка уровня системы финансового контроля</w:t>
            </w:r>
          </w:p>
        </w:tc>
      </w:tr>
      <w:tr w:rsidR="00A53CC0" w:rsidRPr="00DD365B" w:rsidTr="00DD365B">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80</w:t>
            </w:r>
            <w:r w:rsidR="00DB4F47" w:rsidRPr="00DD365B">
              <w:rPr>
                <w:rFonts w:ascii="Times New Roman" w:hAnsi="Times New Roman" w:cs="Times New Roman"/>
              </w:rPr>
              <w:t xml:space="preserve"> </w:t>
            </w:r>
            <w:r w:rsidRPr="00DD365B">
              <w:rPr>
                <w:rFonts w:ascii="Times New Roman" w:hAnsi="Times New Roman" w:cs="Times New Roman"/>
              </w:rPr>
              <w:t>- 100</w:t>
            </w:r>
          </w:p>
        </w:tc>
        <w:tc>
          <w:tcPr>
            <w:tcW w:w="0" w:type="auto"/>
          </w:tcPr>
          <w:p w:rsidR="00A53CC0" w:rsidRPr="00DD365B" w:rsidRDefault="00A53CC0" w:rsidP="00735180">
            <w:pPr>
              <w:tabs>
                <w:tab w:val="left" w:pos="851"/>
              </w:tabs>
              <w:spacing w:line="360" w:lineRule="auto"/>
              <w:ind w:firstLine="33"/>
              <w:jc w:val="both"/>
              <w:rPr>
                <w:rFonts w:ascii="Times New Roman" w:hAnsi="Times New Roman" w:cs="Times New Roman"/>
              </w:rPr>
            </w:pPr>
            <w:r w:rsidRPr="00DD365B">
              <w:rPr>
                <w:rFonts w:ascii="Times New Roman" w:hAnsi="Times New Roman" w:cs="Times New Roman"/>
              </w:rPr>
              <w:t>Система финансового контроля находится на самом высоком уровне, контрол</w:t>
            </w:r>
            <w:r w:rsidRPr="00DD365B">
              <w:rPr>
                <w:rFonts w:ascii="Times New Roman" w:hAnsi="Times New Roman" w:cs="Times New Roman"/>
              </w:rPr>
              <w:t>ь</w:t>
            </w:r>
            <w:r w:rsidRPr="00DD365B">
              <w:rPr>
                <w:rFonts w:ascii="Times New Roman" w:hAnsi="Times New Roman" w:cs="Times New Roman"/>
              </w:rPr>
              <w:t>ная деятельность базируется на нормативных документах, компания комплек</w:t>
            </w:r>
            <w:r w:rsidRPr="00DD365B">
              <w:rPr>
                <w:rFonts w:ascii="Times New Roman" w:hAnsi="Times New Roman" w:cs="Times New Roman"/>
              </w:rPr>
              <w:t>с</w:t>
            </w:r>
            <w:r w:rsidRPr="00DD365B">
              <w:rPr>
                <w:rFonts w:ascii="Times New Roman" w:hAnsi="Times New Roman" w:cs="Times New Roman"/>
              </w:rPr>
              <w:t>но подходит развитию финансово – хозяйственной деятельности, соблюдает договорные отношения, практически не имеет задолженностей в бюджет и вн</w:t>
            </w:r>
            <w:r w:rsidRPr="00DD365B">
              <w:rPr>
                <w:rFonts w:ascii="Times New Roman" w:hAnsi="Times New Roman" w:cs="Times New Roman"/>
              </w:rPr>
              <w:t>е</w:t>
            </w:r>
            <w:r w:rsidRPr="00DD365B">
              <w:rPr>
                <w:rFonts w:ascii="Times New Roman" w:hAnsi="Times New Roman" w:cs="Times New Roman"/>
              </w:rPr>
              <w:t>бюджетные фонды</w:t>
            </w:r>
          </w:p>
        </w:tc>
      </w:tr>
      <w:tr w:rsidR="00A53CC0" w:rsidRPr="00DD365B" w:rsidTr="00DD365B">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60 – 79</w:t>
            </w:r>
          </w:p>
        </w:tc>
        <w:tc>
          <w:tcPr>
            <w:tcW w:w="0" w:type="auto"/>
          </w:tcPr>
          <w:p w:rsidR="00A53CC0" w:rsidRPr="00DD365B" w:rsidRDefault="00A53CC0" w:rsidP="00735180">
            <w:pPr>
              <w:tabs>
                <w:tab w:val="left" w:pos="851"/>
              </w:tabs>
              <w:spacing w:line="360" w:lineRule="auto"/>
              <w:ind w:firstLine="33"/>
              <w:jc w:val="both"/>
              <w:rPr>
                <w:rFonts w:ascii="Times New Roman" w:hAnsi="Times New Roman" w:cs="Times New Roman"/>
              </w:rPr>
            </w:pPr>
            <w:r w:rsidRPr="00DD365B">
              <w:rPr>
                <w:rFonts w:ascii="Times New Roman" w:hAnsi="Times New Roman" w:cs="Times New Roman"/>
              </w:rPr>
              <w:t>Система финансового контроля организована на высоком уровне, но имеются некоторые проблемы по ряду контрольных процедур</w:t>
            </w:r>
          </w:p>
        </w:tc>
      </w:tr>
      <w:tr w:rsidR="00A53CC0" w:rsidRPr="00DD365B" w:rsidTr="00DD365B">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40 – 59</w:t>
            </w:r>
          </w:p>
        </w:tc>
        <w:tc>
          <w:tcPr>
            <w:tcW w:w="0" w:type="auto"/>
          </w:tcPr>
          <w:p w:rsidR="00A53CC0" w:rsidRPr="00DD365B" w:rsidRDefault="00A53CC0" w:rsidP="00735180">
            <w:pPr>
              <w:tabs>
                <w:tab w:val="left" w:pos="851"/>
              </w:tabs>
              <w:spacing w:line="360" w:lineRule="auto"/>
              <w:ind w:firstLine="33"/>
              <w:jc w:val="both"/>
              <w:rPr>
                <w:rFonts w:ascii="Times New Roman" w:hAnsi="Times New Roman" w:cs="Times New Roman"/>
              </w:rPr>
            </w:pPr>
            <w:r w:rsidRPr="00DD365B">
              <w:rPr>
                <w:rFonts w:ascii="Times New Roman" w:hAnsi="Times New Roman" w:cs="Times New Roman"/>
              </w:rPr>
              <w:t>Финансовый контроль в компании находится на среднем уровне, имеются з</w:t>
            </w:r>
            <w:r w:rsidRPr="00DD365B">
              <w:rPr>
                <w:rFonts w:ascii="Times New Roman" w:hAnsi="Times New Roman" w:cs="Times New Roman"/>
              </w:rPr>
              <w:t>а</w:t>
            </w:r>
            <w:r w:rsidRPr="00DD365B">
              <w:rPr>
                <w:rFonts w:ascii="Times New Roman" w:hAnsi="Times New Roman" w:cs="Times New Roman"/>
              </w:rPr>
              <w:t>метные проблемы в ряду областей, вероятно отсутствие некоторых органов внутреннего контроля, локальных нормативных документов; отсутствие ко</w:t>
            </w:r>
            <w:r w:rsidRPr="00DD365B">
              <w:rPr>
                <w:rFonts w:ascii="Times New Roman" w:hAnsi="Times New Roman" w:cs="Times New Roman"/>
              </w:rPr>
              <w:t>н</w:t>
            </w:r>
            <w:r w:rsidRPr="00DD365B">
              <w:rPr>
                <w:rFonts w:ascii="Times New Roman" w:hAnsi="Times New Roman" w:cs="Times New Roman"/>
              </w:rPr>
              <w:t>троля дебиторской задолженности, финансовых показателей эффективности деятельности</w:t>
            </w:r>
          </w:p>
        </w:tc>
      </w:tr>
      <w:tr w:rsidR="00A53CC0" w:rsidRPr="00DD365B" w:rsidTr="00DD365B">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20 -</w:t>
            </w:r>
            <w:r w:rsidR="00FD7B63" w:rsidRPr="00DD365B">
              <w:rPr>
                <w:rFonts w:ascii="Times New Roman" w:hAnsi="Times New Roman" w:cs="Times New Roman"/>
              </w:rPr>
              <w:t xml:space="preserve"> </w:t>
            </w:r>
            <w:r w:rsidRPr="00DD365B">
              <w:rPr>
                <w:rFonts w:ascii="Times New Roman" w:hAnsi="Times New Roman" w:cs="Times New Roman"/>
              </w:rPr>
              <w:t>39</w:t>
            </w:r>
          </w:p>
        </w:tc>
        <w:tc>
          <w:tcPr>
            <w:tcW w:w="0" w:type="auto"/>
          </w:tcPr>
          <w:p w:rsidR="00A53CC0" w:rsidRPr="00DD365B" w:rsidRDefault="00A53CC0" w:rsidP="00735180">
            <w:pPr>
              <w:tabs>
                <w:tab w:val="left" w:pos="851"/>
              </w:tabs>
              <w:spacing w:line="360" w:lineRule="auto"/>
              <w:ind w:firstLine="33"/>
              <w:jc w:val="both"/>
              <w:rPr>
                <w:rFonts w:ascii="Times New Roman" w:hAnsi="Times New Roman" w:cs="Times New Roman"/>
              </w:rPr>
            </w:pPr>
            <w:r w:rsidRPr="00DD365B">
              <w:rPr>
                <w:rFonts w:ascii="Times New Roman" w:hAnsi="Times New Roman" w:cs="Times New Roman"/>
              </w:rPr>
              <w:t>Финансовый контроль не организован как система, находится на низком уровне, контрольные органы компании не исполняют свои обязанности дол</w:t>
            </w:r>
            <w:r w:rsidRPr="00DD365B">
              <w:rPr>
                <w:rFonts w:ascii="Times New Roman" w:hAnsi="Times New Roman" w:cs="Times New Roman"/>
              </w:rPr>
              <w:t>ж</w:t>
            </w:r>
            <w:r w:rsidRPr="00DD365B">
              <w:rPr>
                <w:rFonts w:ascii="Times New Roman" w:hAnsi="Times New Roman" w:cs="Times New Roman"/>
              </w:rPr>
              <w:t>ным образом, имеются проблемы с финансовыми показателями эффективности деятельности, компания не стремится к передовым практикам предприятий-конкурентов, имеются крупные нарушения, выявленные контрольными орган</w:t>
            </w:r>
            <w:r w:rsidRPr="00DD365B">
              <w:rPr>
                <w:rFonts w:ascii="Times New Roman" w:hAnsi="Times New Roman" w:cs="Times New Roman"/>
              </w:rPr>
              <w:t>а</w:t>
            </w:r>
            <w:r w:rsidRPr="00DD365B">
              <w:rPr>
                <w:rFonts w:ascii="Times New Roman" w:hAnsi="Times New Roman" w:cs="Times New Roman"/>
              </w:rPr>
              <w:t>ми государства</w:t>
            </w:r>
          </w:p>
        </w:tc>
      </w:tr>
      <w:tr w:rsidR="00A53CC0" w:rsidRPr="00DD365B" w:rsidTr="00DD365B">
        <w:tc>
          <w:tcPr>
            <w:tcW w:w="0" w:type="auto"/>
          </w:tcPr>
          <w:p w:rsidR="00A53CC0" w:rsidRPr="00DD365B" w:rsidRDefault="00FD7B63"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t xml:space="preserve">1 </w:t>
            </w:r>
            <w:r w:rsidR="00A53CC0" w:rsidRPr="00DD365B">
              <w:rPr>
                <w:rFonts w:ascii="Times New Roman" w:hAnsi="Times New Roman" w:cs="Times New Roman"/>
              </w:rPr>
              <w:t>-</w:t>
            </w:r>
            <w:r w:rsidRPr="00DD365B">
              <w:rPr>
                <w:rFonts w:ascii="Times New Roman" w:hAnsi="Times New Roman" w:cs="Times New Roman"/>
              </w:rPr>
              <w:t xml:space="preserve"> </w:t>
            </w:r>
            <w:r w:rsidR="00A53CC0" w:rsidRPr="00DD365B">
              <w:rPr>
                <w:rFonts w:ascii="Times New Roman" w:hAnsi="Times New Roman" w:cs="Times New Roman"/>
              </w:rPr>
              <w:t>19</w:t>
            </w:r>
          </w:p>
        </w:tc>
        <w:tc>
          <w:tcPr>
            <w:tcW w:w="0" w:type="auto"/>
          </w:tcPr>
          <w:p w:rsidR="00A53CC0" w:rsidRPr="00DD365B" w:rsidRDefault="00A53CC0" w:rsidP="00735180">
            <w:pPr>
              <w:tabs>
                <w:tab w:val="left" w:pos="851"/>
              </w:tabs>
              <w:spacing w:line="360" w:lineRule="auto"/>
              <w:ind w:firstLine="33"/>
              <w:jc w:val="both"/>
              <w:rPr>
                <w:rFonts w:ascii="Times New Roman" w:hAnsi="Times New Roman" w:cs="Times New Roman"/>
              </w:rPr>
            </w:pPr>
            <w:r w:rsidRPr="00DD365B">
              <w:rPr>
                <w:rFonts w:ascii="Times New Roman" w:hAnsi="Times New Roman" w:cs="Times New Roman"/>
              </w:rPr>
              <w:t>Система финансового контроля организована на крайне низком уровне, пре</w:t>
            </w:r>
            <w:r w:rsidRPr="00DD365B">
              <w:rPr>
                <w:rFonts w:ascii="Times New Roman" w:hAnsi="Times New Roman" w:cs="Times New Roman"/>
              </w:rPr>
              <w:t>д</w:t>
            </w:r>
            <w:r w:rsidRPr="00DD365B">
              <w:rPr>
                <w:rFonts w:ascii="Times New Roman" w:hAnsi="Times New Roman" w:cs="Times New Roman"/>
              </w:rPr>
              <w:lastRenderedPageBreak/>
              <w:t>приятие крайне неустойчиво в финансовом плане, имеются проблемы в отн</w:t>
            </w:r>
            <w:r w:rsidRPr="00DD365B">
              <w:rPr>
                <w:rFonts w:ascii="Times New Roman" w:hAnsi="Times New Roman" w:cs="Times New Roman"/>
              </w:rPr>
              <w:t>о</w:t>
            </w:r>
            <w:r w:rsidRPr="00DD365B">
              <w:rPr>
                <w:rFonts w:ascii="Times New Roman" w:hAnsi="Times New Roman" w:cs="Times New Roman"/>
              </w:rPr>
              <w:t>шениях с контрагентами и государственными контролирующими органами</w:t>
            </w:r>
          </w:p>
        </w:tc>
      </w:tr>
      <w:tr w:rsidR="00A53CC0" w:rsidRPr="00DD365B" w:rsidTr="00DD365B">
        <w:tc>
          <w:tcPr>
            <w:tcW w:w="0" w:type="auto"/>
          </w:tcPr>
          <w:p w:rsidR="00A53CC0" w:rsidRPr="00DD365B" w:rsidRDefault="00A53CC0" w:rsidP="00735180">
            <w:pPr>
              <w:tabs>
                <w:tab w:val="left" w:pos="851"/>
              </w:tabs>
              <w:spacing w:line="360" w:lineRule="auto"/>
              <w:jc w:val="center"/>
              <w:rPr>
                <w:rFonts w:ascii="Times New Roman" w:hAnsi="Times New Roman" w:cs="Times New Roman"/>
              </w:rPr>
            </w:pPr>
            <w:r w:rsidRPr="00DD365B">
              <w:rPr>
                <w:rFonts w:ascii="Times New Roman" w:hAnsi="Times New Roman" w:cs="Times New Roman"/>
              </w:rPr>
              <w:lastRenderedPageBreak/>
              <w:t>-23 - 0</w:t>
            </w:r>
          </w:p>
        </w:tc>
        <w:tc>
          <w:tcPr>
            <w:tcW w:w="0" w:type="auto"/>
          </w:tcPr>
          <w:p w:rsidR="00A53CC0" w:rsidRPr="00DD365B" w:rsidRDefault="00A53CC0" w:rsidP="00735180">
            <w:pPr>
              <w:tabs>
                <w:tab w:val="left" w:pos="851"/>
              </w:tabs>
              <w:spacing w:line="360" w:lineRule="auto"/>
              <w:ind w:firstLine="33"/>
              <w:jc w:val="both"/>
              <w:rPr>
                <w:rFonts w:ascii="Times New Roman" w:hAnsi="Times New Roman" w:cs="Times New Roman"/>
              </w:rPr>
            </w:pPr>
            <w:r w:rsidRPr="00DD365B">
              <w:rPr>
                <w:rFonts w:ascii="Times New Roman" w:hAnsi="Times New Roman" w:cs="Times New Roman"/>
              </w:rPr>
              <w:t>Финансовый контроль в компании отсутствует полностью, происходит сист</w:t>
            </w:r>
            <w:r w:rsidRPr="00DD365B">
              <w:rPr>
                <w:rFonts w:ascii="Times New Roman" w:hAnsi="Times New Roman" w:cs="Times New Roman"/>
              </w:rPr>
              <w:t>е</w:t>
            </w:r>
            <w:r w:rsidRPr="00DD365B">
              <w:rPr>
                <w:rFonts w:ascii="Times New Roman" w:hAnsi="Times New Roman" w:cs="Times New Roman"/>
              </w:rPr>
              <w:t xml:space="preserve">матическое нарушение норм законодательства, деловая репутация компании находится на низком уровне; компания финансово неустойчива и зависима от внешних источников финансирования </w:t>
            </w:r>
          </w:p>
        </w:tc>
      </w:tr>
    </w:tbl>
    <w:p w:rsidR="00DB003C" w:rsidRPr="00735180" w:rsidRDefault="00DB003C" w:rsidP="00735180">
      <w:pPr>
        <w:tabs>
          <w:tab w:val="left" w:pos="851"/>
        </w:tabs>
        <w:spacing w:line="360" w:lineRule="auto"/>
        <w:ind w:firstLine="709"/>
        <w:jc w:val="both"/>
        <w:rPr>
          <w:rFonts w:ascii="Times New Roman" w:hAnsi="Times New Roman" w:cs="Times New Roman"/>
          <w:sz w:val="24"/>
          <w:szCs w:val="24"/>
        </w:rPr>
      </w:pPr>
    </w:p>
    <w:p w:rsidR="00AA5BB2" w:rsidRPr="00D21805" w:rsidRDefault="00DB003C"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Далее</w:t>
      </w:r>
      <w:r w:rsidR="00271FA5" w:rsidRPr="00D21805">
        <w:rPr>
          <w:rFonts w:ascii="Times New Roman" w:hAnsi="Times New Roman" w:cs="Times New Roman"/>
          <w:sz w:val="28"/>
          <w:szCs w:val="24"/>
        </w:rPr>
        <w:t xml:space="preserve"> продемонстрируем методику начисления баллов по</w:t>
      </w:r>
      <w:r w:rsidR="00137795" w:rsidRPr="00D21805">
        <w:rPr>
          <w:rFonts w:ascii="Times New Roman" w:hAnsi="Times New Roman" w:cs="Times New Roman"/>
          <w:sz w:val="28"/>
          <w:szCs w:val="24"/>
        </w:rPr>
        <w:t xml:space="preserve"> </w:t>
      </w:r>
      <w:r w:rsidR="00271FA5" w:rsidRPr="00D21805">
        <w:rPr>
          <w:rFonts w:ascii="Times New Roman" w:hAnsi="Times New Roman" w:cs="Times New Roman"/>
          <w:sz w:val="28"/>
          <w:szCs w:val="24"/>
        </w:rPr>
        <w:t>группа</w:t>
      </w:r>
      <w:r w:rsidR="00137795" w:rsidRPr="00D21805">
        <w:rPr>
          <w:rFonts w:ascii="Times New Roman" w:hAnsi="Times New Roman" w:cs="Times New Roman"/>
          <w:sz w:val="28"/>
          <w:szCs w:val="24"/>
        </w:rPr>
        <w:t>м</w:t>
      </w:r>
      <w:r w:rsidR="00271FA5" w:rsidRPr="00D21805">
        <w:rPr>
          <w:rFonts w:ascii="Times New Roman" w:hAnsi="Times New Roman" w:cs="Times New Roman"/>
          <w:sz w:val="28"/>
          <w:szCs w:val="24"/>
        </w:rPr>
        <w:t xml:space="preserve"> показателя контроля</w:t>
      </w:r>
      <w:r w:rsidRPr="00D21805">
        <w:rPr>
          <w:rFonts w:ascii="Times New Roman" w:hAnsi="Times New Roman" w:cs="Times New Roman"/>
          <w:sz w:val="28"/>
          <w:szCs w:val="24"/>
        </w:rPr>
        <w:t xml:space="preserve"> (таблица 3) </w:t>
      </w:r>
      <w:r w:rsidR="00AA5BB2" w:rsidRPr="00D21805">
        <w:rPr>
          <w:rFonts w:ascii="Times New Roman" w:hAnsi="Times New Roman" w:cs="Times New Roman"/>
          <w:sz w:val="28"/>
          <w:szCs w:val="24"/>
        </w:rPr>
        <w:t>.</w:t>
      </w:r>
    </w:p>
    <w:p w:rsidR="006B5F32" w:rsidRPr="00D21805" w:rsidRDefault="00AA5BB2"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Баллы присвоены эмпирическим путем,  исходя из предположения, что верхний порог значений (от 80 до 100) соответствует высокой эффе</w:t>
      </w:r>
      <w:r w:rsidRPr="00D21805">
        <w:rPr>
          <w:rFonts w:ascii="Times New Roman" w:hAnsi="Times New Roman" w:cs="Times New Roman"/>
          <w:sz w:val="28"/>
          <w:szCs w:val="24"/>
        </w:rPr>
        <w:t>к</w:t>
      </w:r>
      <w:r w:rsidRPr="00D21805">
        <w:rPr>
          <w:rFonts w:ascii="Times New Roman" w:hAnsi="Times New Roman" w:cs="Times New Roman"/>
          <w:sz w:val="28"/>
          <w:szCs w:val="24"/>
        </w:rPr>
        <w:t>тивности системы внутрифирменного финансового контроля. Пороговые значения большинства количественных показателей выбраны статистич</w:t>
      </w:r>
      <w:r w:rsidRPr="00D21805">
        <w:rPr>
          <w:rFonts w:ascii="Times New Roman" w:hAnsi="Times New Roman" w:cs="Times New Roman"/>
          <w:sz w:val="28"/>
          <w:szCs w:val="24"/>
        </w:rPr>
        <w:t>е</w:t>
      </w:r>
      <w:r w:rsidRPr="00D21805">
        <w:rPr>
          <w:rFonts w:ascii="Times New Roman" w:hAnsi="Times New Roman" w:cs="Times New Roman"/>
          <w:sz w:val="28"/>
          <w:szCs w:val="24"/>
        </w:rPr>
        <w:t xml:space="preserve">ским методом по результатам тестирования </w:t>
      </w:r>
      <w:r w:rsidR="00FF480C" w:rsidRPr="00D21805">
        <w:rPr>
          <w:rFonts w:ascii="Times New Roman" w:hAnsi="Times New Roman" w:cs="Times New Roman"/>
          <w:sz w:val="28"/>
          <w:szCs w:val="24"/>
        </w:rPr>
        <w:t>150 компаний энергетического сектора РФ, отчетность которых и существенные факты так или иначе представлены в  средствах массовой информации</w:t>
      </w:r>
    </w:p>
    <w:p w:rsidR="00137795" w:rsidRPr="00D21805" w:rsidRDefault="00137795" w:rsidP="00735180">
      <w:pPr>
        <w:keepNext/>
        <w:keepLines/>
        <w:spacing w:line="360" w:lineRule="auto"/>
        <w:jc w:val="right"/>
        <w:outlineLvl w:val="0"/>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 xml:space="preserve">Таблица </w:t>
      </w:r>
      <w:r w:rsidR="00DB003C" w:rsidRPr="00D21805">
        <w:rPr>
          <w:rFonts w:ascii="Times New Roman" w:eastAsia="Times New Roman" w:hAnsi="Times New Roman" w:cs="Times New Roman"/>
          <w:sz w:val="28"/>
          <w:szCs w:val="24"/>
        </w:rPr>
        <w:t>3</w:t>
      </w:r>
      <w:r w:rsidRPr="00D21805">
        <w:rPr>
          <w:rFonts w:ascii="Times New Roman" w:eastAsia="Times New Roman" w:hAnsi="Times New Roman" w:cs="Times New Roman"/>
          <w:sz w:val="28"/>
          <w:szCs w:val="24"/>
        </w:rPr>
        <w:t xml:space="preserve"> </w:t>
      </w:r>
      <w:bookmarkStart w:id="6" w:name="_Toc495004042"/>
    </w:p>
    <w:p w:rsidR="00137795" w:rsidRPr="00D21805" w:rsidRDefault="00137795" w:rsidP="00735180">
      <w:pPr>
        <w:keepNext/>
        <w:keepLines/>
        <w:spacing w:line="360" w:lineRule="auto"/>
        <w:jc w:val="center"/>
        <w:outlineLvl w:val="0"/>
        <w:rPr>
          <w:rFonts w:ascii="Times New Roman" w:eastAsia="Times New Roman" w:hAnsi="Times New Roman" w:cs="Times New Roman"/>
          <w:b/>
          <w:sz w:val="28"/>
          <w:szCs w:val="24"/>
        </w:rPr>
      </w:pPr>
      <w:proofErr w:type="spellStart"/>
      <w:r w:rsidRPr="00D21805">
        <w:rPr>
          <w:rFonts w:ascii="Times New Roman" w:eastAsia="Times New Roman" w:hAnsi="Times New Roman" w:cs="Times New Roman"/>
          <w:sz w:val="28"/>
          <w:szCs w:val="24"/>
        </w:rPr>
        <w:t>Критериальная</w:t>
      </w:r>
      <w:proofErr w:type="spellEnd"/>
      <w:r w:rsidRPr="00D21805">
        <w:rPr>
          <w:rFonts w:ascii="Times New Roman" w:eastAsia="Times New Roman" w:hAnsi="Times New Roman" w:cs="Times New Roman"/>
          <w:sz w:val="28"/>
          <w:szCs w:val="24"/>
        </w:rPr>
        <w:t xml:space="preserve"> система оценки уровня финансового контроля в компаниях</w:t>
      </w:r>
      <w:bookmarkEnd w:id="6"/>
    </w:p>
    <w:p w:rsidR="00137795" w:rsidRPr="00D21805" w:rsidRDefault="00137795" w:rsidP="00735180">
      <w:pPr>
        <w:tabs>
          <w:tab w:val="left" w:pos="851"/>
        </w:tabs>
        <w:spacing w:line="360" w:lineRule="auto"/>
        <w:ind w:firstLine="709"/>
        <w:jc w:val="both"/>
        <w:rPr>
          <w:rFonts w:ascii="Times New Roman" w:hAnsi="Times New Roman" w:cs="Times New Roman"/>
          <w:sz w:val="28"/>
          <w:szCs w:val="24"/>
        </w:rPr>
      </w:pPr>
    </w:p>
    <w:tbl>
      <w:tblPr>
        <w:tblW w:w="0" w:type="auto"/>
        <w:tblInd w:w="103" w:type="dxa"/>
        <w:tblLook w:val="04A0" w:firstRow="1" w:lastRow="0" w:firstColumn="1" w:lastColumn="0" w:noHBand="0" w:noVBand="1"/>
      </w:tblPr>
      <w:tblGrid>
        <w:gridCol w:w="828"/>
        <w:gridCol w:w="2145"/>
        <w:gridCol w:w="1724"/>
        <w:gridCol w:w="2441"/>
        <w:gridCol w:w="1156"/>
        <w:gridCol w:w="891"/>
      </w:tblGrid>
      <w:tr w:rsidR="00137795" w:rsidRPr="00DD365B" w:rsidTr="00EB3362">
        <w:trPr>
          <w:trHeight w:val="7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b/>
                <w:bCs/>
                <w:color w:val="000000"/>
                <w:lang w:eastAsia="ru-RU"/>
              </w:rPr>
            </w:pPr>
            <w:r w:rsidRPr="00DD365B">
              <w:rPr>
                <w:rFonts w:ascii="Times New Roman" w:eastAsia="Times New Roman" w:hAnsi="Times New Roman" w:cs="Times New Roman"/>
                <w:b/>
                <w:bCs/>
                <w:color w:val="000000"/>
                <w:lang w:eastAsia="ru-RU"/>
              </w:rPr>
              <w:t xml:space="preserve">Вид </w:t>
            </w:r>
            <w:proofErr w:type="spellStart"/>
            <w:proofErr w:type="gramStart"/>
            <w:r w:rsidRPr="00DD365B">
              <w:rPr>
                <w:rFonts w:ascii="Times New Roman" w:eastAsia="Times New Roman" w:hAnsi="Times New Roman" w:cs="Times New Roman"/>
                <w:b/>
                <w:bCs/>
                <w:color w:val="000000"/>
                <w:lang w:eastAsia="ru-RU"/>
              </w:rPr>
              <w:t>конт</w:t>
            </w:r>
            <w:proofErr w:type="spellEnd"/>
            <w:r w:rsidRPr="00DD365B">
              <w:rPr>
                <w:rFonts w:ascii="Times New Roman" w:eastAsia="Times New Roman" w:hAnsi="Times New Roman" w:cs="Times New Roman"/>
                <w:b/>
                <w:bCs/>
                <w:color w:val="000000"/>
                <w:lang w:eastAsia="ru-RU"/>
              </w:rPr>
              <w:t>-роля</w:t>
            </w:r>
            <w:proofErr w:type="gram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37795" w:rsidRPr="00DD365B" w:rsidRDefault="00137795" w:rsidP="00735180">
            <w:pPr>
              <w:spacing w:line="360" w:lineRule="auto"/>
              <w:jc w:val="center"/>
              <w:rPr>
                <w:rFonts w:ascii="Times New Roman" w:eastAsia="Times New Roman" w:hAnsi="Times New Roman" w:cs="Times New Roman"/>
                <w:b/>
                <w:bCs/>
                <w:color w:val="000000"/>
                <w:lang w:eastAsia="ru-RU"/>
              </w:rPr>
            </w:pPr>
            <w:r w:rsidRPr="00DD365B">
              <w:rPr>
                <w:rFonts w:ascii="Times New Roman" w:eastAsia="Times New Roman" w:hAnsi="Times New Roman" w:cs="Times New Roman"/>
                <w:b/>
                <w:bCs/>
                <w:color w:val="000000"/>
                <w:lang w:eastAsia="ru-RU"/>
              </w:rPr>
              <w:t>Группа показат</w:t>
            </w:r>
            <w:r w:rsidRPr="00DD365B">
              <w:rPr>
                <w:rFonts w:ascii="Times New Roman" w:eastAsia="Times New Roman" w:hAnsi="Times New Roman" w:cs="Times New Roman"/>
                <w:b/>
                <w:bCs/>
                <w:color w:val="000000"/>
                <w:lang w:eastAsia="ru-RU"/>
              </w:rPr>
              <w:t>е</w:t>
            </w:r>
            <w:r w:rsidRPr="00DD365B">
              <w:rPr>
                <w:rFonts w:ascii="Times New Roman" w:eastAsia="Times New Roman" w:hAnsi="Times New Roman" w:cs="Times New Roman"/>
                <w:b/>
                <w:bCs/>
                <w:color w:val="000000"/>
                <w:lang w:eastAsia="ru-RU"/>
              </w:rPr>
              <w:t>лей контроля</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b/>
                <w:bCs/>
                <w:color w:val="000000"/>
                <w:lang w:eastAsia="ru-RU"/>
              </w:rPr>
            </w:pPr>
            <w:r w:rsidRPr="00DD365B">
              <w:rPr>
                <w:rFonts w:ascii="Times New Roman" w:eastAsia="Times New Roman" w:hAnsi="Times New Roman" w:cs="Times New Roman"/>
                <w:b/>
                <w:bCs/>
                <w:color w:val="000000"/>
                <w:lang w:eastAsia="ru-RU"/>
              </w:rPr>
              <w:t>Контрольные процедуры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b/>
                <w:bCs/>
                <w:color w:val="000000"/>
                <w:lang w:eastAsia="ru-RU"/>
              </w:rPr>
            </w:pPr>
            <w:r w:rsidRPr="00DD365B">
              <w:rPr>
                <w:rFonts w:ascii="Times New Roman" w:eastAsia="Times New Roman" w:hAnsi="Times New Roman" w:cs="Times New Roman"/>
                <w:b/>
                <w:bCs/>
                <w:color w:val="000000"/>
                <w:lang w:eastAsia="ru-RU"/>
              </w:rPr>
              <w:t>Значение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b/>
                <w:bCs/>
                <w:color w:val="000000"/>
                <w:lang w:eastAsia="ru-RU"/>
              </w:rPr>
            </w:pPr>
            <w:r w:rsidRPr="00DD365B">
              <w:rPr>
                <w:rFonts w:ascii="Times New Roman" w:eastAsia="Times New Roman" w:hAnsi="Times New Roman" w:cs="Times New Roman"/>
                <w:b/>
                <w:bCs/>
                <w:color w:val="000000"/>
                <w:lang w:eastAsia="ru-RU"/>
              </w:rPr>
              <w:t>Баллы</w:t>
            </w:r>
          </w:p>
        </w:tc>
      </w:tr>
      <w:tr w:rsidR="00137795" w:rsidRPr="00DD365B" w:rsidTr="00EB3362">
        <w:trPr>
          <w:trHeight w:val="300"/>
        </w:trPr>
        <w:tc>
          <w:tcPr>
            <w:tcW w:w="0" w:type="auto"/>
            <w:vMerge w:val="restart"/>
            <w:tcBorders>
              <w:top w:val="nil"/>
              <w:left w:val="single" w:sz="4" w:space="0" w:color="auto"/>
              <w:right w:val="single" w:sz="4" w:space="0" w:color="auto"/>
            </w:tcBorders>
            <w:shd w:val="clear" w:color="auto" w:fill="auto"/>
            <w:noWrap/>
            <w:textDirection w:val="btLr"/>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внутренний </w:t>
            </w:r>
          </w:p>
        </w:tc>
        <w:tc>
          <w:tcPr>
            <w:tcW w:w="0" w:type="auto"/>
            <w:vMerge w:val="restart"/>
            <w:tcBorders>
              <w:top w:val="nil"/>
              <w:left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А - Организация системы внутренн</w:t>
            </w:r>
            <w:r w:rsidRPr="00DD365B">
              <w:rPr>
                <w:rFonts w:ascii="Times New Roman" w:eastAsia="Times New Roman" w:hAnsi="Times New Roman" w:cs="Times New Roman"/>
                <w:color w:val="000000"/>
                <w:lang w:eastAsia="ru-RU"/>
              </w:rPr>
              <w:t>е</w:t>
            </w:r>
            <w:r w:rsidRPr="00DD365B">
              <w:rPr>
                <w:rFonts w:ascii="Times New Roman" w:eastAsia="Times New Roman" w:hAnsi="Times New Roman" w:cs="Times New Roman"/>
                <w:color w:val="000000"/>
                <w:lang w:eastAsia="ru-RU"/>
              </w:rPr>
              <w:t>го финансового контроля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A1 - наличие контрольных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Ревизионная комиссия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0,4</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Комитет по аудиту</w:t>
            </w: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p>
        </w:tc>
      </w:tr>
      <w:tr w:rsidR="00137795" w:rsidRPr="00DD365B" w:rsidTr="00EB3362">
        <w:trPr>
          <w:trHeight w:val="705"/>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Служба внутреннего аудита</w:t>
            </w: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p>
        </w:tc>
      </w:tr>
      <w:tr w:rsidR="00137795" w:rsidRPr="00DD365B" w:rsidTr="00EB3362">
        <w:trPr>
          <w:trHeight w:val="884"/>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Департамент контроля и управления рисками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12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Подразделение по пр</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тиводействию моше</w:t>
            </w:r>
            <w:r w:rsidRPr="00DD365B">
              <w:rPr>
                <w:rFonts w:ascii="Times New Roman" w:eastAsia="Times New Roman" w:hAnsi="Times New Roman" w:cs="Times New Roman"/>
                <w:color w:val="000000"/>
                <w:lang w:eastAsia="ru-RU"/>
              </w:rPr>
              <w:t>н</w:t>
            </w:r>
            <w:r w:rsidRPr="00DD365B">
              <w:rPr>
                <w:rFonts w:ascii="Times New Roman" w:eastAsia="Times New Roman" w:hAnsi="Times New Roman" w:cs="Times New Roman"/>
                <w:color w:val="000000"/>
                <w:lang w:eastAsia="ru-RU"/>
              </w:rPr>
              <w:t>ничеству и коррупции</w:t>
            </w: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p>
        </w:tc>
      </w:tr>
      <w:tr w:rsidR="00137795" w:rsidRPr="00DD365B" w:rsidTr="00EB3362">
        <w:trPr>
          <w:trHeight w:val="699"/>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A2 - наличие внутренних нормативных </w:t>
            </w:r>
            <w:r w:rsidRPr="00DD365B">
              <w:rPr>
                <w:rFonts w:ascii="Times New Roman" w:eastAsia="Times New Roman" w:hAnsi="Times New Roman" w:cs="Times New Roman"/>
                <w:color w:val="000000"/>
                <w:lang w:eastAsia="ru-RU"/>
              </w:rPr>
              <w:lastRenderedPageBreak/>
              <w:t xml:space="preserve">документов по финансовому контролю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lastRenderedPageBreak/>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958"/>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675"/>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ind w:left="113" w:right="113"/>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lastRenderedPageBreak/>
              <w:t>внутренний</w:t>
            </w:r>
          </w:p>
        </w:tc>
        <w:tc>
          <w:tcPr>
            <w:tcW w:w="0" w:type="auto"/>
            <w:vMerge w:val="restart"/>
            <w:tcBorders>
              <w:top w:val="nil"/>
              <w:left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А - Организация системы внутренн</w:t>
            </w:r>
            <w:r w:rsidRPr="00DD365B">
              <w:rPr>
                <w:rFonts w:ascii="Times New Roman" w:eastAsia="Times New Roman" w:hAnsi="Times New Roman" w:cs="Times New Roman"/>
                <w:color w:val="000000"/>
                <w:lang w:eastAsia="ru-RU"/>
              </w:rPr>
              <w:t>е</w:t>
            </w:r>
            <w:r w:rsidRPr="00DD365B">
              <w:rPr>
                <w:rFonts w:ascii="Times New Roman" w:eastAsia="Times New Roman" w:hAnsi="Times New Roman" w:cs="Times New Roman"/>
                <w:color w:val="000000"/>
                <w:lang w:eastAsia="ru-RU"/>
              </w:rPr>
              <w:t>го финансового контроля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A3 - соответствие системы внутреннего контроля рекомендациям междунаро</w:t>
            </w:r>
            <w:r w:rsidRPr="00DD365B">
              <w:rPr>
                <w:rFonts w:ascii="Times New Roman" w:eastAsia="Times New Roman" w:hAnsi="Times New Roman" w:cs="Times New Roman"/>
                <w:color w:val="000000"/>
                <w:lang w:eastAsia="ru-RU"/>
              </w:rPr>
              <w:t>д</w:t>
            </w:r>
            <w:r w:rsidRPr="00DD365B">
              <w:rPr>
                <w:rFonts w:ascii="Times New Roman" w:eastAsia="Times New Roman" w:hAnsi="Times New Roman" w:cs="Times New Roman"/>
                <w:color w:val="000000"/>
                <w:lang w:eastAsia="ru-RU"/>
              </w:rPr>
              <w:t>ных организаций в области управления и внутреннего контроля (COSO)</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да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645"/>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A4 - количество мероприятий внутренн</w:t>
            </w:r>
            <w:r w:rsidRPr="00DD365B">
              <w:rPr>
                <w:rFonts w:ascii="Times New Roman" w:eastAsia="Times New Roman" w:hAnsi="Times New Roman" w:cs="Times New Roman"/>
                <w:color w:val="000000"/>
                <w:lang w:eastAsia="ru-RU"/>
              </w:rPr>
              <w:t>е</w:t>
            </w:r>
            <w:r w:rsidRPr="00DD365B">
              <w:rPr>
                <w:rFonts w:ascii="Times New Roman" w:eastAsia="Times New Roman" w:hAnsi="Times New Roman" w:cs="Times New Roman"/>
                <w:color w:val="000000"/>
                <w:lang w:eastAsia="ru-RU"/>
              </w:rPr>
              <w:t>го финансового контроля, проведённых за год</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10 - 30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&gt;30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A5 - наличие </w:t>
            </w:r>
            <w:proofErr w:type="spellStart"/>
            <w:r w:rsidRPr="00DD365B">
              <w:rPr>
                <w:rFonts w:ascii="Times New Roman" w:eastAsia="Times New Roman" w:hAnsi="Times New Roman" w:cs="Times New Roman"/>
                <w:color w:val="000000"/>
                <w:lang w:eastAsia="ru-RU"/>
              </w:rPr>
              <w:t>комплаенс</w:t>
            </w:r>
            <w:proofErr w:type="spellEnd"/>
            <w:r w:rsidRPr="00DD365B">
              <w:rPr>
                <w:rFonts w:ascii="Times New Roman" w:eastAsia="Times New Roman" w:hAnsi="Times New Roman" w:cs="Times New Roman"/>
                <w:color w:val="000000"/>
                <w:lang w:eastAsia="ru-RU"/>
              </w:rPr>
              <w:t>-контроля в ко</w:t>
            </w:r>
            <w:r w:rsidRPr="00DD365B">
              <w:rPr>
                <w:rFonts w:ascii="Times New Roman" w:eastAsia="Times New Roman" w:hAnsi="Times New Roman" w:cs="Times New Roman"/>
                <w:color w:val="000000"/>
                <w:lang w:eastAsia="ru-RU"/>
              </w:rPr>
              <w:t>м</w:t>
            </w:r>
            <w:r w:rsidRPr="00DD365B">
              <w:rPr>
                <w:rFonts w:ascii="Times New Roman" w:eastAsia="Times New Roman" w:hAnsi="Times New Roman" w:cs="Times New Roman"/>
                <w:color w:val="000000"/>
                <w:lang w:eastAsia="ru-RU"/>
              </w:rPr>
              <w:t>пании</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val="restart"/>
            <w:tcBorders>
              <w:top w:val="nil"/>
              <w:left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 - Контрольные процедуры</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B1 - наличие регламента проведения з</w:t>
            </w:r>
            <w:r w:rsidRPr="00DD365B">
              <w:rPr>
                <w:rFonts w:ascii="Times New Roman" w:eastAsia="Times New Roman" w:hAnsi="Times New Roman" w:cs="Times New Roman"/>
                <w:color w:val="000000"/>
                <w:lang w:eastAsia="ru-RU"/>
              </w:rPr>
              <w:t>а</w:t>
            </w:r>
            <w:r w:rsidRPr="00DD365B">
              <w:rPr>
                <w:rFonts w:ascii="Times New Roman" w:eastAsia="Times New Roman" w:hAnsi="Times New Roman" w:cs="Times New Roman"/>
                <w:color w:val="000000"/>
                <w:lang w:eastAsia="ru-RU"/>
              </w:rPr>
              <w:t>купочных процедур</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B2 - доля закупок на электронных торг</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вых площадках</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30% -60%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&gt; 60%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B3 - доля экономии на закупках в сра</w:t>
            </w:r>
            <w:r w:rsidRPr="00DD365B">
              <w:rPr>
                <w:rFonts w:ascii="Times New Roman" w:eastAsia="Times New Roman" w:hAnsi="Times New Roman" w:cs="Times New Roman"/>
                <w:color w:val="000000"/>
                <w:lang w:eastAsia="ru-RU"/>
              </w:rPr>
              <w:t>в</w:t>
            </w:r>
            <w:r w:rsidRPr="00DD365B">
              <w:rPr>
                <w:rFonts w:ascii="Times New Roman" w:eastAsia="Times New Roman" w:hAnsi="Times New Roman" w:cs="Times New Roman"/>
                <w:color w:val="000000"/>
                <w:lang w:eastAsia="ru-RU"/>
              </w:rPr>
              <w:t xml:space="preserve">нении с плановыми показателями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5 %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ind w:left="113" w:right="113"/>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внутренний</w:t>
            </w:r>
          </w:p>
        </w:tc>
        <w:tc>
          <w:tcPr>
            <w:tcW w:w="0" w:type="auto"/>
            <w:vMerge w:val="restart"/>
            <w:tcBorders>
              <w:top w:val="nil"/>
              <w:left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 - Контрольные процедуры</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B4 - доля непрофильных активов в о</w:t>
            </w:r>
            <w:r w:rsidRPr="00DD365B">
              <w:rPr>
                <w:rFonts w:ascii="Times New Roman" w:eastAsia="Times New Roman" w:hAnsi="Times New Roman" w:cs="Times New Roman"/>
                <w:color w:val="000000"/>
                <w:lang w:eastAsia="ru-RU"/>
              </w:rPr>
              <w:t>б</w:t>
            </w:r>
            <w:r w:rsidRPr="00DD365B">
              <w:rPr>
                <w:rFonts w:ascii="Times New Roman" w:eastAsia="Times New Roman" w:hAnsi="Times New Roman" w:cs="Times New Roman"/>
                <w:color w:val="000000"/>
                <w:lang w:eastAsia="ru-RU"/>
              </w:rPr>
              <w:t xml:space="preserve">щем объёме </w:t>
            </w:r>
            <w:proofErr w:type="spellStart"/>
            <w:r w:rsidRPr="00DD365B">
              <w:rPr>
                <w:rFonts w:ascii="Times New Roman" w:eastAsia="Times New Roman" w:hAnsi="Times New Roman" w:cs="Times New Roman"/>
                <w:color w:val="000000"/>
                <w:lang w:eastAsia="ru-RU"/>
              </w:rPr>
              <w:t>внеоборотных</w:t>
            </w:r>
            <w:proofErr w:type="spellEnd"/>
            <w:r w:rsidRPr="00DD365B">
              <w:rPr>
                <w:rFonts w:ascii="Times New Roman" w:eastAsia="Times New Roman" w:hAnsi="Times New Roman" w:cs="Times New Roman"/>
                <w:color w:val="000000"/>
                <w:lang w:eastAsia="ru-RU"/>
              </w:rPr>
              <w:t xml:space="preserve"> активов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118"/>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B5 - доля реализации непрофильных а</w:t>
            </w:r>
            <w:r w:rsidRPr="00DD365B">
              <w:rPr>
                <w:rFonts w:ascii="Times New Roman" w:eastAsia="Times New Roman" w:hAnsi="Times New Roman" w:cs="Times New Roman"/>
                <w:color w:val="000000"/>
                <w:lang w:eastAsia="ru-RU"/>
              </w:rPr>
              <w:t>к</w:t>
            </w:r>
            <w:r w:rsidRPr="00DD365B">
              <w:rPr>
                <w:rFonts w:ascii="Times New Roman" w:eastAsia="Times New Roman" w:hAnsi="Times New Roman" w:cs="Times New Roman"/>
                <w:color w:val="000000"/>
                <w:lang w:eastAsia="ru-RU"/>
              </w:rPr>
              <w:t>тивов в выручке</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B6 - наличие неоконченных судебных разбирательств в качестве истца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10 дел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10 -30 дел</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30 дел</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B7 - наличие судебных разбирательств в качестве ответчика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4</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30 дел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30 - 60 дел</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60 дел</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B8 - доля сумм исков по судебным ра</w:t>
            </w:r>
            <w:r w:rsidRPr="00DD365B">
              <w:rPr>
                <w:rFonts w:ascii="Times New Roman" w:eastAsia="Times New Roman" w:hAnsi="Times New Roman" w:cs="Times New Roman"/>
                <w:color w:val="000000"/>
                <w:lang w:eastAsia="ru-RU"/>
              </w:rPr>
              <w:t>з</w:t>
            </w:r>
            <w:r w:rsidRPr="00DD365B">
              <w:rPr>
                <w:rFonts w:ascii="Times New Roman" w:eastAsia="Times New Roman" w:hAnsi="Times New Roman" w:cs="Times New Roman"/>
                <w:color w:val="000000"/>
                <w:lang w:eastAsia="ru-RU"/>
              </w:rPr>
              <w:t>бирательствам в качестве истца в выру</w:t>
            </w:r>
            <w:r w:rsidRPr="00DD365B">
              <w:rPr>
                <w:rFonts w:ascii="Times New Roman" w:eastAsia="Times New Roman" w:hAnsi="Times New Roman" w:cs="Times New Roman"/>
                <w:color w:val="000000"/>
                <w:lang w:eastAsia="ru-RU"/>
              </w:rPr>
              <w:t>ч</w:t>
            </w:r>
            <w:r w:rsidRPr="00DD365B">
              <w:rPr>
                <w:rFonts w:ascii="Times New Roman" w:eastAsia="Times New Roman" w:hAnsi="Times New Roman" w:cs="Times New Roman"/>
                <w:color w:val="000000"/>
                <w:lang w:eastAsia="ru-RU"/>
              </w:rPr>
              <w:t>ке</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 - 3%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B9 - доля исковых обязательств по с</w:t>
            </w:r>
            <w:r w:rsidRPr="00DD365B">
              <w:rPr>
                <w:rFonts w:ascii="Times New Roman" w:eastAsia="Times New Roman" w:hAnsi="Times New Roman" w:cs="Times New Roman"/>
                <w:color w:val="000000"/>
                <w:lang w:eastAsia="ru-RU"/>
              </w:rPr>
              <w:t>у</w:t>
            </w:r>
            <w:r w:rsidRPr="00DD365B">
              <w:rPr>
                <w:rFonts w:ascii="Times New Roman" w:eastAsia="Times New Roman" w:hAnsi="Times New Roman" w:cs="Times New Roman"/>
                <w:color w:val="000000"/>
                <w:lang w:eastAsia="ru-RU"/>
              </w:rPr>
              <w:t>дебным разбирательствам в качестве о</w:t>
            </w:r>
            <w:r w:rsidRPr="00DD365B">
              <w:rPr>
                <w:rFonts w:ascii="Times New Roman" w:eastAsia="Times New Roman" w:hAnsi="Times New Roman" w:cs="Times New Roman"/>
                <w:color w:val="000000"/>
                <w:lang w:eastAsia="ru-RU"/>
              </w:rPr>
              <w:t>т</w:t>
            </w:r>
            <w:r w:rsidRPr="00DD365B">
              <w:rPr>
                <w:rFonts w:ascii="Times New Roman" w:eastAsia="Times New Roman" w:hAnsi="Times New Roman" w:cs="Times New Roman"/>
                <w:color w:val="000000"/>
                <w:lang w:eastAsia="ru-RU"/>
              </w:rPr>
              <w:t>ветчика в операционных расходах</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 - 3%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ind w:left="113" w:right="113"/>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Внутренний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 - Финансовые п</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казатели</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C1 - прирост выручки за год</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val="en-US" w:eastAsia="ru-RU"/>
              </w:rPr>
            </w:pPr>
            <w:r w:rsidRPr="00DD365B">
              <w:rPr>
                <w:rFonts w:ascii="Times New Roman" w:eastAsia="Times New Roman" w:hAnsi="Times New Roman" w:cs="Times New Roman"/>
                <w:color w:val="000000"/>
                <w:lang w:val="en-US" w:eastAsia="ru-RU"/>
              </w:rPr>
              <w:t>&lt;0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w:t>
            </w:r>
            <w:proofErr w:type="gramStart"/>
            <w:r w:rsidRPr="00DD365B">
              <w:rPr>
                <w:rFonts w:ascii="Times New Roman" w:eastAsia="Times New Roman" w:hAnsi="Times New Roman" w:cs="Times New Roman"/>
                <w:color w:val="000000"/>
                <w:lang w:eastAsia="ru-RU"/>
              </w:rPr>
              <w:t>2</w:t>
            </w:r>
            <w:proofErr w:type="gramEnd"/>
            <w:r w:rsidRPr="00DD365B">
              <w:rPr>
                <w:rFonts w:ascii="Times New Roman" w:eastAsia="Times New Roman" w:hAnsi="Times New Roman" w:cs="Times New Roman"/>
                <w:color w:val="000000"/>
                <w:lang w:eastAsia="ru-RU"/>
              </w:rPr>
              <w:t xml:space="preserve"> - доля полученных процентов за ра</w:t>
            </w:r>
            <w:r w:rsidRPr="00DD365B">
              <w:rPr>
                <w:rFonts w:ascii="Times New Roman" w:eastAsia="Times New Roman" w:hAnsi="Times New Roman" w:cs="Times New Roman"/>
                <w:color w:val="000000"/>
                <w:lang w:eastAsia="ru-RU"/>
              </w:rPr>
              <w:t>з</w:t>
            </w:r>
            <w:r w:rsidRPr="00DD365B">
              <w:rPr>
                <w:rFonts w:ascii="Times New Roman" w:eastAsia="Times New Roman" w:hAnsi="Times New Roman" w:cs="Times New Roman"/>
                <w:color w:val="000000"/>
                <w:lang w:eastAsia="ru-RU"/>
              </w:rPr>
              <w:t>мещение временно свободных денежных средств на депозитах в финансовых д</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ходах</w:t>
            </w: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10% -30%</w:t>
            </w: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30%</w:t>
            </w: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C3 - доля финансовых доходов в выручке</w:t>
            </w: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 - 5%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4</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C4 - доля просроченной дебиторской з</w:t>
            </w:r>
            <w:r w:rsidRPr="00DD365B">
              <w:rPr>
                <w:rFonts w:ascii="Times New Roman" w:eastAsia="Times New Roman" w:hAnsi="Times New Roman" w:cs="Times New Roman"/>
                <w:color w:val="000000"/>
                <w:lang w:eastAsia="ru-RU"/>
              </w:rPr>
              <w:t>а</w:t>
            </w:r>
            <w:r w:rsidRPr="00DD365B">
              <w:rPr>
                <w:rFonts w:ascii="Times New Roman" w:eastAsia="Times New Roman" w:hAnsi="Times New Roman" w:cs="Times New Roman"/>
                <w:color w:val="000000"/>
                <w:lang w:eastAsia="ru-RU"/>
              </w:rPr>
              <w:t>долженности в общем объёме дебито</w:t>
            </w:r>
            <w:r w:rsidRPr="00DD365B">
              <w:rPr>
                <w:rFonts w:ascii="Times New Roman" w:eastAsia="Times New Roman" w:hAnsi="Times New Roman" w:cs="Times New Roman"/>
                <w:color w:val="000000"/>
                <w:lang w:eastAsia="ru-RU"/>
              </w:rPr>
              <w:t>р</w:t>
            </w:r>
            <w:r w:rsidRPr="00DD365B">
              <w:rPr>
                <w:rFonts w:ascii="Times New Roman" w:eastAsia="Times New Roman" w:hAnsi="Times New Roman" w:cs="Times New Roman"/>
                <w:color w:val="000000"/>
                <w:lang w:eastAsia="ru-RU"/>
              </w:rPr>
              <w:t>ской задолженности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4</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30%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30% -50%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50%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C5 - доля кредиторской задолженности в бюджет и внебюджетные фонды в общем объёме обязательств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2%</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 - 7%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C6 - доля обесценения ОС, ДЗ, фин. а</w:t>
            </w:r>
            <w:r w:rsidRPr="00DD365B">
              <w:rPr>
                <w:rFonts w:ascii="Times New Roman" w:eastAsia="Times New Roman" w:hAnsi="Times New Roman" w:cs="Times New Roman"/>
                <w:color w:val="000000"/>
                <w:lang w:eastAsia="ru-RU"/>
              </w:rPr>
              <w:t>к</w:t>
            </w:r>
            <w:r w:rsidRPr="00DD365B">
              <w:rPr>
                <w:rFonts w:ascii="Times New Roman" w:eastAsia="Times New Roman" w:hAnsi="Times New Roman" w:cs="Times New Roman"/>
                <w:color w:val="000000"/>
                <w:lang w:eastAsia="ru-RU"/>
              </w:rPr>
              <w:t xml:space="preserve">тивов, НМА, </w:t>
            </w:r>
            <w:proofErr w:type="spellStart"/>
            <w:r w:rsidRPr="00DD365B">
              <w:rPr>
                <w:rFonts w:ascii="Times New Roman" w:eastAsia="Times New Roman" w:hAnsi="Times New Roman" w:cs="Times New Roman"/>
                <w:color w:val="000000"/>
                <w:lang w:eastAsia="ru-RU"/>
              </w:rPr>
              <w:t>гудвила</w:t>
            </w:r>
            <w:proofErr w:type="spellEnd"/>
            <w:r w:rsidRPr="00DD365B">
              <w:rPr>
                <w:rFonts w:ascii="Times New Roman" w:eastAsia="Times New Roman" w:hAnsi="Times New Roman" w:cs="Times New Roman"/>
                <w:color w:val="000000"/>
                <w:lang w:eastAsia="ru-RU"/>
              </w:rPr>
              <w:t xml:space="preserve"> от общей стоим</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 xml:space="preserve">сти ОС, ДЗ, фин. активов, НМА, </w:t>
            </w:r>
            <w:proofErr w:type="spellStart"/>
            <w:r w:rsidRPr="00DD365B">
              <w:rPr>
                <w:rFonts w:ascii="Times New Roman" w:eastAsia="Times New Roman" w:hAnsi="Times New Roman" w:cs="Times New Roman"/>
                <w:color w:val="000000"/>
                <w:lang w:eastAsia="ru-RU"/>
              </w:rPr>
              <w:t>гудвила</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15% -30%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30%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C7 - коэффициент текущей ликвидности</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1 - 1,5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1,5 - 2</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2</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ind w:left="113" w:right="113"/>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внутре</w:t>
            </w:r>
            <w:r w:rsidRPr="00DD365B">
              <w:rPr>
                <w:rFonts w:ascii="Times New Roman" w:eastAsia="Times New Roman" w:hAnsi="Times New Roman" w:cs="Times New Roman"/>
                <w:color w:val="000000"/>
                <w:lang w:eastAsia="ru-RU"/>
              </w:rPr>
              <w:t>н</w:t>
            </w:r>
            <w:r w:rsidRPr="00DD365B">
              <w:rPr>
                <w:rFonts w:ascii="Times New Roman" w:eastAsia="Times New Roman" w:hAnsi="Times New Roman" w:cs="Times New Roman"/>
                <w:color w:val="000000"/>
                <w:lang w:eastAsia="ru-RU"/>
              </w:rPr>
              <w:t>ний</w:t>
            </w:r>
          </w:p>
        </w:tc>
        <w:tc>
          <w:tcPr>
            <w:tcW w:w="0" w:type="auto"/>
            <w:vMerge w:val="restart"/>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 - Финансовые п</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казатели</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C8 - коэффициент рентабельности инв</w:t>
            </w:r>
            <w:r w:rsidRPr="00DD365B">
              <w:rPr>
                <w:rFonts w:ascii="Times New Roman" w:eastAsia="Times New Roman" w:hAnsi="Times New Roman" w:cs="Times New Roman"/>
                <w:color w:val="000000"/>
                <w:lang w:eastAsia="ru-RU"/>
              </w:rPr>
              <w:t>е</w:t>
            </w:r>
            <w:r w:rsidRPr="00DD365B">
              <w:rPr>
                <w:rFonts w:ascii="Times New Roman" w:eastAsia="Times New Roman" w:hAnsi="Times New Roman" w:cs="Times New Roman"/>
                <w:color w:val="000000"/>
                <w:lang w:eastAsia="ru-RU"/>
              </w:rPr>
              <w:t>стиций</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val="en-US" w:eastAsia="ru-RU"/>
              </w:rPr>
            </w:pPr>
            <w:r w:rsidRPr="00DD365B">
              <w:rPr>
                <w:rFonts w:ascii="Times New Roman" w:eastAsia="Times New Roman" w:hAnsi="Times New Roman" w:cs="Times New Roman"/>
                <w:color w:val="000000"/>
                <w:lang w:val="en-US" w:eastAsia="ru-RU"/>
              </w:rPr>
              <w:t>&lt;0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 - 7%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7%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C9 - продолжительность оборачиваем</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сти дебиторской задолженности в днях</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30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4</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30 - 60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60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C10 - продолжительность оборачиваем</w:t>
            </w:r>
            <w:r w:rsidRPr="00DD365B">
              <w:rPr>
                <w:rFonts w:ascii="Times New Roman" w:eastAsia="Times New Roman" w:hAnsi="Times New Roman" w:cs="Times New Roman"/>
                <w:color w:val="000000"/>
                <w:lang w:eastAsia="ru-RU"/>
              </w:rPr>
              <w:t>о</w:t>
            </w:r>
            <w:r w:rsidRPr="00DD365B">
              <w:rPr>
                <w:rFonts w:ascii="Times New Roman" w:eastAsia="Times New Roman" w:hAnsi="Times New Roman" w:cs="Times New Roman"/>
                <w:color w:val="000000"/>
                <w:lang w:eastAsia="ru-RU"/>
              </w:rPr>
              <w:t>сти запасов в днях</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120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3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120 - 240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240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C11 - коэффициент автономии</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&lt;0,5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0,5 – 0,7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&gt;0,7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C12 - коэффициент соотношения со</w:t>
            </w:r>
            <w:r w:rsidRPr="00DD365B">
              <w:rPr>
                <w:rFonts w:ascii="Times New Roman" w:eastAsia="Times New Roman" w:hAnsi="Times New Roman" w:cs="Times New Roman"/>
                <w:color w:val="000000"/>
                <w:lang w:eastAsia="ru-RU"/>
              </w:rPr>
              <w:t>б</w:t>
            </w:r>
            <w:r w:rsidRPr="00DD365B">
              <w:rPr>
                <w:rFonts w:ascii="Times New Roman" w:eastAsia="Times New Roman" w:hAnsi="Times New Roman" w:cs="Times New Roman"/>
                <w:color w:val="000000"/>
                <w:lang w:eastAsia="ru-RU"/>
              </w:rPr>
              <w:t>ственных и заёмных средств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&gt;1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0,5 - 1</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&lt;0,5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C13 - коэффициент финансовой устойч</w:t>
            </w:r>
            <w:r w:rsidRPr="00DD365B">
              <w:rPr>
                <w:rFonts w:ascii="Times New Roman" w:eastAsia="Times New Roman" w:hAnsi="Times New Roman" w:cs="Times New Roman"/>
                <w:color w:val="000000"/>
                <w:lang w:eastAsia="ru-RU"/>
              </w:rPr>
              <w:t>и</w:t>
            </w:r>
            <w:r w:rsidRPr="00DD365B">
              <w:rPr>
                <w:rFonts w:ascii="Times New Roman" w:eastAsia="Times New Roman" w:hAnsi="Times New Roman" w:cs="Times New Roman"/>
                <w:color w:val="000000"/>
                <w:lang w:eastAsia="ru-RU"/>
              </w:rPr>
              <w:t>вости</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&lt;0,8</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&gt;0,9</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0,8 – 0,9</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C14 - чистый денежный поток, </w:t>
            </w:r>
            <w:proofErr w:type="gramStart"/>
            <w:r w:rsidRPr="00DD365B">
              <w:rPr>
                <w:rFonts w:ascii="Times New Roman" w:eastAsia="Times New Roman" w:hAnsi="Times New Roman" w:cs="Times New Roman"/>
                <w:color w:val="000000"/>
                <w:lang w:eastAsia="ru-RU"/>
              </w:rPr>
              <w:t>млрд</w:t>
            </w:r>
            <w:proofErr w:type="gramEnd"/>
            <w:r w:rsidRPr="00DD365B">
              <w:rPr>
                <w:rFonts w:ascii="Times New Roman" w:eastAsia="Times New Roman" w:hAnsi="Times New Roman" w:cs="Times New Roman"/>
                <w:color w:val="000000"/>
                <w:lang w:eastAsia="ru-RU"/>
              </w:rPr>
              <w:t xml:space="preserve"> руб.</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 - Договорные о</w:t>
            </w:r>
            <w:r w:rsidRPr="00DD365B">
              <w:rPr>
                <w:rFonts w:ascii="Times New Roman" w:eastAsia="Times New Roman" w:hAnsi="Times New Roman" w:cs="Times New Roman"/>
                <w:color w:val="000000"/>
                <w:lang w:eastAsia="ru-RU"/>
              </w:rPr>
              <w:t>т</w:t>
            </w:r>
            <w:r w:rsidRPr="00DD365B">
              <w:rPr>
                <w:rFonts w:ascii="Times New Roman" w:eastAsia="Times New Roman" w:hAnsi="Times New Roman" w:cs="Times New Roman"/>
                <w:color w:val="000000"/>
                <w:lang w:eastAsia="ru-RU"/>
              </w:rPr>
              <w:t>ношения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D1 - доля фактов нарушения договорных обязательств с контрагентами от общего количества договорных обязательств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ind w:left="113" w:right="113"/>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внутренний</w:t>
            </w:r>
          </w:p>
        </w:tc>
        <w:tc>
          <w:tcPr>
            <w:tcW w:w="0" w:type="auto"/>
            <w:vMerge w:val="restart"/>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 - Договорные о</w:t>
            </w:r>
            <w:r w:rsidRPr="00DD365B">
              <w:rPr>
                <w:rFonts w:ascii="Times New Roman" w:eastAsia="Times New Roman" w:hAnsi="Times New Roman" w:cs="Times New Roman"/>
                <w:color w:val="000000"/>
                <w:lang w:eastAsia="ru-RU"/>
              </w:rPr>
              <w:t>т</w:t>
            </w:r>
            <w:r w:rsidRPr="00DD365B">
              <w:rPr>
                <w:rFonts w:ascii="Times New Roman" w:eastAsia="Times New Roman" w:hAnsi="Times New Roman" w:cs="Times New Roman"/>
                <w:color w:val="000000"/>
                <w:lang w:eastAsia="ru-RU"/>
              </w:rPr>
              <w:t>ношения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D2 - доля нарушения договорных обяз</w:t>
            </w:r>
            <w:r w:rsidRPr="00DD365B">
              <w:rPr>
                <w:rFonts w:ascii="Times New Roman" w:eastAsia="Times New Roman" w:hAnsi="Times New Roman" w:cs="Times New Roman"/>
                <w:color w:val="000000"/>
                <w:lang w:eastAsia="ru-RU"/>
              </w:rPr>
              <w:t>а</w:t>
            </w:r>
            <w:r w:rsidRPr="00DD365B">
              <w:rPr>
                <w:rFonts w:ascii="Times New Roman" w:eastAsia="Times New Roman" w:hAnsi="Times New Roman" w:cs="Times New Roman"/>
                <w:color w:val="000000"/>
                <w:lang w:eastAsia="ru-RU"/>
              </w:rPr>
              <w:t>тельств по суммам сделок в выручке</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D3 - доля штрафов, пеней, неустоек на нарушение договорных обязательств в операционных расходах</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D4 - средняя процентная ставка по ру</w:t>
            </w:r>
            <w:r w:rsidRPr="00DD365B">
              <w:rPr>
                <w:rFonts w:ascii="Times New Roman" w:eastAsia="Times New Roman" w:hAnsi="Times New Roman" w:cs="Times New Roman"/>
                <w:color w:val="000000"/>
                <w:lang w:eastAsia="ru-RU"/>
              </w:rPr>
              <w:t>б</w:t>
            </w:r>
            <w:r w:rsidRPr="00DD365B">
              <w:rPr>
                <w:rFonts w:ascii="Times New Roman" w:eastAsia="Times New Roman" w:hAnsi="Times New Roman" w:cs="Times New Roman"/>
                <w:color w:val="000000"/>
                <w:lang w:eastAsia="ru-RU"/>
              </w:rPr>
              <w:t>лёвым кредитным договорам в качестве заёмщика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12%</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12% - 15%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внешний</w:t>
            </w:r>
          </w:p>
        </w:tc>
        <w:tc>
          <w:tcPr>
            <w:tcW w:w="0" w:type="auto"/>
            <w:vMerge w:val="restart"/>
            <w:tcBorders>
              <w:top w:val="nil"/>
              <w:left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F - Показатели ре</w:t>
            </w:r>
            <w:r w:rsidRPr="00DD365B">
              <w:rPr>
                <w:rFonts w:ascii="Times New Roman" w:eastAsia="Times New Roman" w:hAnsi="Times New Roman" w:cs="Times New Roman"/>
                <w:color w:val="000000"/>
                <w:lang w:eastAsia="ru-RU"/>
              </w:rPr>
              <w:t>й</w:t>
            </w:r>
            <w:r w:rsidRPr="00DD365B">
              <w:rPr>
                <w:rFonts w:ascii="Times New Roman" w:eastAsia="Times New Roman" w:hAnsi="Times New Roman" w:cs="Times New Roman"/>
                <w:color w:val="000000"/>
                <w:lang w:eastAsia="ru-RU"/>
              </w:rPr>
              <w:t>тинга компании на рынке</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F1 - котировальные списки, в которые входят акции</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1 </w:t>
            </w:r>
            <w:proofErr w:type="spellStart"/>
            <w:r w:rsidRPr="00DD365B">
              <w:rPr>
                <w:rFonts w:ascii="Times New Roman" w:eastAsia="Times New Roman" w:hAnsi="Times New Roman" w:cs="Times New Roman"/>
                <w:color w:val="000000"/>
                <w:lang w:eastAsia="ru-RU"/>
              </w:rPr>
              <w:t>ур-нь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2 </w:t>
            </w:r>
            <w:proofErr w:type="spellStart"/>
            <w:r w:rsidRPr="00DD365B">
              <w:rPr>
                <w:rFonts w:ascii="Times New Roman" w:eastAsia="Times New Roman" w:hAnsi="Times New Roman" w:cs="Times New Roman"/>
                <w:color w:val="000000"/>
                <w:lang w:eastAsia="ru-RU"/>
              </w:rPr>
              <w:t>ур-нь</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F2 - долгосрочный кредитный рейтинг </w:t>
            </w:r>
            <w:r w:rsidRPr="00DD365B">
              <w:rPr>
                <w:rFonts w:ascii="Times New Roman" w:eastAsia="Times New Roman" w:hAnsi="Times New Roman" w:cs="Times New Roman"/>
                <w:color w:val="000000"/>
                <w:lang w:eastAsia="ru-RU"/>
              </w:rPr>
              <w:lastRenderedPageBreak/>
              <w:t>международных рейтинговых агентств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lastRenderedPageBreak/>
              <w:t>ААА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4</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АА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ВВВ</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roofErr w:type="gramStart"/>
            <w:r w:rsidRPr="00DD365B">
              <w:rPr>
                <w:rFonts w:ascii="Times New Roman" w:eastAsia="Times New Roman" w:hAnsi="Times New Roman" w:cs="Times New Roman"/>
                <w:color w:val="000000"/>
                <w:lang w:eastAsia="ru-RU"/>
              </w:rPr>
              <w:t>ВВ</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ССС</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СС</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С</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SD</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D</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NR</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217"/>
        </w:trPr>
        <w:tc>
          <w:tcPr>
            <w:tcW w:w="0" w:type="auto"/>
            <w:vMerge w:val="restart"/>
            <w:tcBorders>
              <w:top w:val="nil"/>
              <w:left w:val="single" w:sz="4" w:space="0" w:color="auto"/>
              <w:right w:val="single" w:sz="4" w:space="0" w:color="auto"/>
            </w:tcBorders>
            <w:shd w:val="clear" w:color="auto" w:fill="auto"/>
            <w:textDirection w:val="btLr"/>
            <w:vAlign w:val="center"/>
            <w:hideMark/>
          </w:tcPr>
          <w:p w:rsidR="00137795" w:rsidRPr="00DD365B" w:rsidRDefault="00137795" w:rsidP="00735180">
            <w:pPr>
              <w:spacing w:line="360" w:lineRule="auto"/>
              <w:ind w:left="113" w:right="113"/>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внешний</w:t>
            </w:r>
          </w:p>
        </w:tc>
        <w:tc>
          <w:tcPr>
            <w:tcW w:w="0" w:type="auto"/>
            <w:vMerge w:val="restart"/>
            <w:tcBorders>
              <w:top w:val="nil"/>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F3 - выход на международные рынки к</w:t>
            </w:r>
            <w:r w:rsidRPr="00DD365B">
              <w:rPr>
                <w:rFonts w:ascii="Times New Roman" w:eastAsia="Times New Roman" w:hAnsi="Times New Roman" w:cs="Times New Roman"/>
                <w:color w:val="000000"/>
                <w:lang w:eastAsia="ru-RU"/>
              </w:rPr>
              <w:t>а</w:t>
            </w:r>
            <w:r w:rsidRPr="00DD365B">
              <w:rPr>
                <w:rFonts w:ascii="Times New Roman" w:eastAsia="Times New Roman" w:hAnsi="Times New Roman" w:cs="Times New Roman"/>
                <w:color w:val="000000"/>
                <w:lang w:eastAsia="ru-RU"/>
              </w:rPr>
              <w:t>питала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center"/>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 - Контроль со стороны госуда</w:t>
            </w:r>
            <w:r w:rsidRPr="00DD365B">
              <w:rPr>
                <w:rFonts w:ascii="Times New Roman" w:eastAsia="Times New Roman" w:hAnsi="Times New Roman" w:cs="Times New Roman"/>
                <w:color w:val="000000"/>
                <w:lang w:eastAsia="ru-RU"/>
              </w:rPr>
              <w:t>р</w:t>
            </w:r>
            <w:r w:rsidRPr="00DD365B">
              <w:rPr>
                <w:rFonts w:ascii="Times New Roman" w:eastAsia="Times New Roman" w:hAnsi="Times New Roman" w:cs="Times New Roman"/>
                <w:color w:val="000000"/>
                <w:lang w:eastAsia="ru-RU"/>
              </w:rPr>
              <w:t>ственных органов</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G1 - членство в Антикоррупционной ха</w:t>
            </w:r>
            <w:r w:rsidRPr="00DD365B">
              <w:rPr>
                <w:rFonts w:ascii="Times New Roman" w:eastAsia="Times New Roman" w:hAnsi="Times New Roman" w:cs="Times New Roman"/>
                <w:color w:val="000000"/>
                <w:lang w:eastAsia="ru-RU"/>
              </w:rPr>
              <w:t>р</w:t>
            </w:r>
            <w:r w:rsidRPr="00DD365B">
              <w:rPr>
                <w:rFonts w:ascii="Times New Roman" w:eastAsia="Times New Roman" w:hAnsi="Times New Roman" w:cs="Times New Roman"/>
                <w:color w:val="000000"/>
                <w:lang w:eastAsia="ru-RU"/>
              </w:rPr>
              <w:t>тии российского бизнеса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да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G2 - число нарушений антикоррупцио</w:t>
            </w:r>
            <w:r w:rsidRPr="00DD365B">
              <w:rPr>
                <w:rFonts w:ascii="Times New Roman" w:eastAsia="Times New Roman" w:hAnsi="Times New Roman" w:cs="Times New Roman"/>
                <w:color w:val="000000"/>
                <w:lang w:eastAsia="ru-RU"/>
              </w:rPr>
              <w:t>н</w:t>
            </w:r>
            <w:r w:rsidRPr="00DD365B">
              <w:rPr>
                <w:rFonts w:ascii="Times New Roman" w:eastAsia="Times New Roman" w:hAnsi="Times New Roman" w:cs="Times New Roman"/>
                <w:color w:val="000000"/>
                <w:lang w:eastAsia="ru-RU"/>
              </w:rPr>
              <w:t>ного законодательства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 xml:space="preserve">нет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1 - 5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75"/>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G3 - число проверок со стороны органов государственного контроля (Счётная п</w:t>
            </w:r>
            <w:r w:rsidRPr="00DD365B">
              <w:rPr>
                <w:rFonts w:ascii="Times New Roman" w:eastAsia="Times New Roman" w:hAnsi="Times New Roman" w:cs="Times New Roman"/>
                <w:color w:val="000000"/>
                <w:lang w:eastAsia="ru-RU"/>
              </w:rPr>
              <w:t>а</w:t>
            </w:r>
            <w:r w:rsidRPr="00DD365B">
              <w:rPr>
                <w:rFonts w:ascii="Times New Roman" w:eastAsia="Times New Roman" w:hAnsi="Times New Roman" w:cs="Times New Roman"/>
                <w:color w:val="000000"/>
                <w:lang w:eastAsia="ru-RU"/>
              </w:rPr>
              <w:t xml:space="preserve">лата, </w:t>
            </w:r>
            <w:proofErr w:type="spellStart"/>
            <w:r w:rsidRPr="00DD365B">
              <w:rPr>
                <w:rFonts w:ascii="Times New Roman" w:eastAsia="Times New Roman" w:hAnsi="Times New Roman" w:cs="Times New Roman"/>
                <w:color w:val="000000"/>
                <w:lang w:eastAsia="ru-RU"/>
              </w:rPr>
              <w:t>Росфинмониторинг</w:t>
            </w:r>
            <w:proofErr w:type="spellEnd"/>
            <w:r w:rsidRPr="00DD365B">
              <w:rPr>
                <w:rFonts w:ascii="Times New Roman" w:eastAsia="Times New Roman" w:hAnsi="Times New Roman" w:cs="Times New Roman"/>
                <w:color w:val="000000"/>
                <w:lang w:eastAsia="ru-RU"/>
              </w:rPr>
              <w:t>, министерства и ведомства)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75"/>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13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G4 - доля нарушений, выявленных орг</w:t>
            </w:r>
            <w:r w:rsidRPr="00DD365B">
              <w:rPr>
                <w:rFonts w:ascii="Times New Roman" w:eastAsia="Times New Roman" w:hAnsi="Times New Roman" w:cs="Times New Roman"/>
                <w:color w:val="000000"/>
                <w:lang w:eastAsia="ru-RU"/>
              </w:rPr>
              <w:t>а</w:t>
            </w:r>
            <w:r w:rsidRPr="00DD365B">
              <w:rPr>
                <w:rFonts w:ascii="Times New Roman" w:eastAsia="Times New Roman" w:hAnsi="Times New Roman" w:cs="Times New Roman"/>
                <w:color w:val="000000"/>
                <w:lang w:eastAsia="ru-RU"/>
              </w:rPr>
              <w:t xml:space="preserve">нами </w:t>
            </w:r>
            <w:proofErr w:type="gramStart"/>
            <w:r w:rsidRPr="00DD365B">
              <w:rPr>
                <w:rFonts w:ascii="Times New Roman" w:eastAsia="Times New Roman" w:hAnsi="Times New Roman" w:cs="Times New Roman"/>
                <w:color w:val="000000"/>
                <w:lang w:eastAsia="ru-RU"/>
              </w:rPr>
              <w:t>гос. контроля</w:t>
            </w:r>
            <w:proofErr w:type="gramEnd"/>
            <w:r w:rsidRPr="00DD365B">
              <w:rPr>
                <w:rFonts w:ascii="Times New Roman" w:eastAsia="Times New Roman" w:hAnsi="Times New Roman" w:cs="Times New Roman"/>
                <w:color w:val="000000"/>
                <w:lang w:eastAsia="ru-RU"/>
              </w:rPr>
              <w:t>, в операционных ра</w:t>
            </w:r>
            <w:r w:rsidRPr="00DD365B">
              <w:rPr>
                <w:rFonts w:ascii="Times New Roman" w:eastAsia="Times New Roman" w:hAnsi="Times New Roman" w:cs="Times New Roman"/>
                <w:color w:val="000000"/>
                <w:lang w:eastAsia="ru-RU"/>
              </w:rPr>
              <w:t>с</w:t>
            </w:r>
            <w:r w:rsidRPr="00DD365B">
              <w:rPr>
                <w:rFonts w:ascii="Times New Roman" w:eastAsia="Times New Roman" w:hAnsi="Times New Roman" w:cs="Times New Roman"/>
                <w:color w:val="000000"/>
                <w:lang w:eastAsia="ru-RU"/>
              </w:rPr>
              <w:t>ходах</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3%</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 - 7%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7%</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G5 - соответствие критериям налогового мониторинга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G6 - участие в налоговом мониторинге</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G7 - использование обособленных ба</w:t>
            </w:r>
            <w:r w:rsidRPr="00DD365B">
              <w:rPr>
                <w:rFonts w:ascii="Times New Roman" w:eastAsia="Times New Roman" w:hAnsi="Times New Roman" w:cs="Times New Roman"/>
                <w:color w:val="000000"/>
                <w:lang w:eastAsia="ru-RU"/>
              </w:rPr>
              <w:t>н</w:t>
            </w:r>
            <w:r w:rsidRPr="00DD365B">
              <w:rPr>
                <w:rFonts w:ascii="Times New Roman" w:eastAsia="Times New Roman" w:hAnsi="Times New Roman" w:cs="Times New Roman"/>
                <w:color w:val="000000"/>
                <w:lang w:eastAsia="ru-RU"/>
              </w:rPr>
              <w:t xml:space="preserve">ковских счетов </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да</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G8 - доля гос. субсидирования в выручке за год</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нет</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0</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&lt;</w:t>
            </w:r>
            <w:r w:rsidRPr="00DD365B">
              <w:rPr>
                <w:rFonts w:ascii="Times New Roman" w:eastAsia="Times New Roman" w:hAnsi="Times New Roman" w:cs="Times New Roman"/>
                <w:color w:val="000000"/>
                <w:lang w:eastAsia="ru-RU"/>
              </w:rPr>
              <w:t xml:space="preserve"> 5%</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1</w:t>
            </w:r>
          </w:p>
        </w:tc>
      </w:tr>
      <w:tr w:rsidR="00137795" w:rsidRPr="00DD365B" w:rsidTr="00EB3362">
        <w:trPr>
          <w:trHeight w:val="300"/>
        </w:trPr>
        <w:tc>
          <w:tcPr>
            <w:tcW w:w="0" w:type="auto"/>
            <w:vMerge/>
            <w:tcBorders>
              <w:left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5% - 10%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2</w:t>
            </w:r>
          </w:p>
        </w:tc>
      </w:tr>
      <w:tr w:rsidR="00137795" w:rsidRPr="00DD365B" w:rsidTr="00EB3362">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val="en-US" w:eastAsia="ru-RU"/>
              </w:rPr>
              <w:t>&gt;</w:t>
            </w:r>
            <w:r w:rsidRPr="00DD365B">
              <w:rPr>
                <w:rFonts w:ascii="Times New Roman" w:eastAsia="Times New Roman" w:hAnsi="Times New Roman" w:cs="Times New Roman"/>
                <w:color w:val="000000"/>
                <w:lang w:eastAsia="ru-RU"/>
              </w:rPr>
              <w:t xml:space="preserve"> 10%</w:t>
            </w:r>
          </w:p>
        </w:tc>
        <w:tc>
          <w:tcPr>
            <w:tcW w:w="0" w:type="auto"/>
            <w:tcBorders>
              <w:top w:val="nil"/>
              <w:left w:val="nil"/>
              <w:bottom w:val="single" w:sz="4" w:space="0" w:color="auto"/>
              <w:right w:val="single" w:sz="4" w:space="0" w:color="auto"/>
            </w:tcBorders>
            <w:shd w:val="clear" w:color="auto" w:fill="auto"/>
            <w:vAlign w:val="center"/>
            <w:hideMark/>
          </w:tcPr>
          <w:p w:rsidR="00137795" w:rsidRPr="00DD365B" w:rsidRDefault="00137795" w:rsidP="00735180">
            <w:pPr>
              <w:spacing w:line="360" w:lineRule="auto"/>
              <w:jc w:val="right"/>
              <w:rPr>
                <w:rFonts w:ascii="Times New Roman" w:eastAsia="Times New Roman" w:hAnsi="Times New Roman" w:cs="Times New Roman"/>
                <w:color w:val="000000"/>
                <w:lang w:eastAsia="ru-RU"/>
              </w:rPr>
            </w:pPr>
            <w:r w:rsidRPr="00DD365B">
              <w:rPr>
                <w:rFonts w:ascii="Times New Roman" w:eastAsia="Times New Roman" w:hAnsi="Times New Roman" w:cs="Times New Roman"/>
                <w:color w:val="000000"/>
                <w:lang w:eastAsia="ru-RU"/>
              </w:rPr>
              <w:t>3</w:t>
            </w:r>
          </w:p>
        </w:tc>
      </w:tr>
    </w:tbl>
    <w:p w:rsidR="00137795" w:rsidRPr="00735180" w:rsidRDefault="00137795" w:rsidP="00735180">
      <w:pPr>
        <w:tabs>
          <w:tab w:val="left" w:pos="851"/>
        </w:tabs>
        <w:spacing w:line="360" w:lineRule="auto"/>
        <w:ind w:firstLine="709"/>
        <w:jc w:val="both"/>
        <w:rPr>
          <w:rFonts w:ascii="Times New Roman" w:hAnsi="Times New Roman" w:cs="Times New Roman"/>
          <w:sz w:val="24"/>
          <w:szCs w:val="24"/>
        </w:rPr>
      </w:pPr>
    </w:p>
    <w:p w:rsidR="009C7531" w:rsidRPr="00D21805" w:rsidRDefault="00A53CC0"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lastRenderedPageBreak/>
        <w:t>Для проверки</w:t>
      </w:r>
      <w:r w:rsidR="00EE4F01" w:rsidRPr="00D21805">
        <w:rPr>
          <w:rFonts w:ascii="Times New Roman" w:hAnsi="Times New Roman" w:cs="Times New Roman"/>
          <w:sz w:val="28"/>
          <w:szCs w:val="24"/>
        </w:rPr>
        <w:t xml:space="preserve"> влияния систем внутрифирменного финансового ко</w:t>
      </w:r>
      <w:r w:rsidR="00EE4F01" w:rsidRPr="00D21805">
        <w:rPr>
          <w:rFonts w:ascii="Times New Roman" w:hAnsi="Times New Roman" w:cs="Times New Roman"/>
          <w:sz w:val="28"/>
          <w:szCs w:val="24"/>
        </w:rPr>
        <w:t>н</w:t>
      </w:r>
      <w:r w:rsidR="00EE4F01" w:rsidRPr="00D21805">
        <w:rPr>
          <w:rFonts w:ascii="Times New Roman" w:hAnsi="Times New Roman" w:cs="Times New Roman"/>
          <w:sz w:val="28"/>
          <w:szCs w:val="24"/>
        </w:rPr>
        <w:t>троля</w:t>
      </w:r>
      <w:r w:rsidR="00DB4F47" w:rsidRPr="00D21805">
        <w:rPr>
          <w:rFonts w:ascii="Times New Roman" w:hAnsi="Times New Roman" w:cs="Times New Roman"/>
          <w:sz w:val="28"/>
          <w:szCs w:val="24"/>
        </w:rPr>
        <w:t xml:space="preserve"> на</w:t>
      </w:r>
      <w:r w:rsidRPr="00D21805">
        <w:rPr>
          <w:rFonts w:ascii="Times New Roman" w:hAnsi="Times New Roman" w:cs="Times New Roman"/>
          <w:sz w:val="28"/>
          <w:szCs w:val="24"/>
        </w:rPr>
        <w:t xml:space="preserve"> рыночн</w:t>
      </w:r>
      <w:r w:rsidR="00DB4F47" w:rsidRPr="00D21805">
        <w:rPr>
          <w:rFonts w:ascii="Times New Roman" w:hAnsi="Times New Roman" w:cs="Times New Roman"/>
          <w:sz w:val="28"/>
          <w:szCs w:val="24"/>
        </w:rPr>
        <w:t>ую</w:t>
      </w:r>
      <w:r w:rsidRPr="00D21805">
        <w:rPr>
          <w:rFonts w:ascii="Times New Roman" w:hAnsi="Times New Roman" w:cs="Times New Roman"/>
          <w:sz w:val="28"/>
          <w:szCs w:val="24"/>
        </w:rPr>
        <w:t xml:space="preserve"> капитализаци</w:t>
      </w:r>
      <w:r w:rsidR="00DB4F47" w:rsidRPr="00D21805">
        <w:rPr>
          <w:rFonts w:ascii="Times New Roman" w:hAnsi="Times New Roman" w:cs="Times New Roman"/>
          <w:sz w:val="28"/>
          <w:szCs w:val="24"/>
        </w:rPr>
        <w:t>ю</w:t>
      </w:r>
      <w:r w:rsidRPr="00D21805">
        <w:rPr>
          <w:rFonts w:ascii="Times New Roman" w:hAnsi="Times New Roman" w:cs="Times New Roman"/>
          <w:sz w:val="28"/>
          <w:szCs w:val="24"/>
        </w:rPr>
        <w:t xml:space="preserve"> компании было проведено тестиров</w:t>
      </w:r>
      <w:r w:rsidRPr="00D21805">
        <w:rPr>
          <w:rFonts w:ascii="Times New Roman" w:hAnsi="Times New Roman" w:cs="Times New Roman"/>
          <w:sz w:val="28"/>
          <w:szCs w:val="24"/>
        </w:rPr>
        <w:t>а</w:t>
      </w:r>
      <w:r w:rsidRPr="00D21805">
        <w:rPr>
          <w:rFonts w:ascii="Times New Roman" w:hAnsi="Times New Roman" w:cs="Times New Roman"/>
          <w:sz w:val="28"/>
          <w:szCs w:val="24"/>
        </w:rPr>
        <w:t>ние трёх российских корпораций – представителей энергетической отрасли – по разработанной системе показателей</w:t>
      </w:r>
      <w:r w:rsidR="00DB4F47" w:rsidRPr="00D21805">
        <w:rPr>
          <w:rFonts w:ascii="Times New Roman" w:hAnsi="Times New Roman" w:cs="Times New Roman"/>
          <w:sz w:val="28"/>
          <w:szCs w:val="24"/>
        </w:rPr>
        <w:t>.</w:t>
      </w:r>
    </w:p>
    <w:p w:rsidR="00A53CC0" w:rsidRPr="00D21805" w:rsidRDefault="00A53CC0"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Для обеспечения сопоставимости информация по компаниям </w:t>
      </w:r>
      <w:r w:rsidR="00DB003C" w:rsidRPr="00D21805">
        <w:rPr>
          <w:rFonts w:ascii="Times New Roman" w:hAnsi="Times New Roman" w:cs="Times New Roman"/>
          <w:sz w:val="28"/>
          <w:szCs w:val="24"/>
        </w:rPr>
        <w:t xml:space="preserve">была использована информация </w:t>
      </w:r>
      <w:r w:rsidRPr="00D21805">
        <w:rPr>
          <w:rFonts w:ascii="Times New Roman" w:hAnsi="Times New Roman" w:cs="Times New Roman"/>
          <w:sz w:val="28"/>
          <w:szCs w:val="24"/>
        </w:rPr>
        <w:t xml:space="preserve"> годовых отчётов, приложений к ним, ежеква</w:t>
      </w:r>
      <w:r w:rsidRPr="00D21805">
        <w:rPr>
          <w:rFonts w:ascii="Times New Roman" w:hAnsi="Times New Roman" w:cs="Times New Roman"/>
          <w:sz w:val="28"/>
          <w:szCs w:val="24"/>
        </w:rPr>
        <w:t>р</w:t>
      </w:r>
      <w:r w:rsidRPr="00D21805">
        <w:rPr>
          <w:rFonts w:ascii="Times New Roman" w:hAnsi="Times New Roman" w:cs="Times New Roman"/>
          <w:sz w:val="28"/>
          <w:szCs w:val="24"/>
        </w:rPr>
        <w:t>тальных отчётов эмитентов, консолидированной отчётности по МСФО, внутренних нормативных документов, сообщений пресс-службы компаний на их официальных интернет-сайтах, отчётов Счётной палаты, Министе</w:t>
      </w:r>
      <w:r w:rsidRPr="00D21805">
        <w:rPr>
          <w:rFonts w:ascii="Times New Roman" w:hAnsi="Times New Roman" w:cs="Times New Roman"/>
          <w:sz w:val="28"/>
          <w:szCs w:val="24"/>
        </w:rPr>
        <w:t>р</w:t>
      </w:r>
      <w:r w:rsidRPr="00D21805">
        <w:rPr>
          <w:rFonts w:ascii="Times New Roman" w:hAnsi="Times New Roman" w:cs="Times New Roman"/>
          <w:sz w:val="28"/>
          <w:szCs w:val="24"/>
        </w:rPr>
        <w:t>ства энергетики РФ, Федеральной службы по финансовому мониторингу, Московской биржи</w:t>
      </w:r>
      <w:r w:rsidR="00DB003C" w:rsidRPr="00D21805">
        <w:rPr>
          <w:rFonts w:ascii="Times New Roman" w:hAnsi="Times New Roman" w:cs="Times New Roman"/>
          <w:sz w:val="28"/>
          <w:szCs w:val="24"/>
        </w:rPr>
        <w:t xml:space="preserve"> за 2015 год</w:t>
      </w:r>
      <w:r w:rsidRPr="00D21805">
        <w:rPr>
          <w:rFonts w:ascii="Times New Roman" w:hAnsi="Times New Roman" w:cs="Times New Roman"/>
          <w:sz w:val="28"/>
          <w:szCs w:val="24"/>
        </w:rPr>
        <w:t>.</w:t>
      </w:r>
    </w:p>
    <w:p w:rsidR="00A53CC0" w:rsidRPr="00D21805" w:rsidRDefault="00001C86"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Тестирование по представленной методике дало следующие резул</w:t>
      </w:r>
      <w:r w:rsidRPr="00D21805">
        <w:rPr>
          <w:rFonts w:ascii="Times New Roman" w:hAnsi="Times New Roman" w:cs="Times New Roman"/>
          <w:sz w:val="28"/>
          <w:szCs w:val="24"/>
        </w:rPr>
        <w:t>ь</w:t>
      </w:r>
      <w:r w:rsidRPr="00D21805">
        <w:rPr>
          <w:rFonts w:ascii="Times New Roman" w:hAnsi="Times New Roman" w:cs="Times New Roman"/>
          <w:sz w:val="28"/>
          <w:szCs w:val="24"/>
        </w:rPr>
        <w:t>таты:</w:t>
      </w:r>
    </w:p>
    <w:p w:rsidR="00A53CC0" w:rsidRPr="00D21805" w:rsidRDefault="00A53CC0" w:rsidP="00735180">
      <w:pPr>
        <w:tabs>
          <w:tab w:val="left" w:pos="851"/>
        </w:tabs>
        <w:spacing w:line="360" w:lineRule="auto"/>
        <w:ind w:firstLine="709"/>
        <w:jc w:val="both"/>
        <w:rPr>
          <w:rFonts w:ascii="Times New Roman" w:hAnsi="Times New Roman" w:cs="Times New Roman"/>
          <w:sz w:val="28"/>
          <w:szCs w:val="24"/>
        </w:rPr>
      </w:pPr>
      <w:r w:rsidRPr="00D21805">
        <w:rPr>
          <w:rFonts w:ascii="Times New Roman" w:hAnsi="Times New Roman" w:cs="Times New Roman"/>
          <w:sz w:val="28"/>
          <w:szCs w:val="24"/>
        </w:rPr>
        <w:t xml:space="preserve">Так, </w:t>
      </w:r>
      <w:r w:rsidR="00DB003C" w:rsidRPr="00D21805">
        <w:rPr>
          <w:rFonts w:ascii="Times New Roman" w:hAnsi="Times New Roman" w:cs="Times New Roman"/>
          <w:sz w:val="28"/>
          <w:szCs w:val="24"/>
        </w:rPr>
        <w:t>первая компания</w:t>
      </w:r>
      <w:r w:rsidRPr="00D21805">
        <w:rPr>
          <w:rFonts w:ascii="Times New Roman" w:hAnsi="Times New Roman" w:cs="Times New Roman"/>
          <w:sz w:val="28"/>
          <w:szCs w:val="24"/>
        </w:rPr>
        <w:t xml:space="preserve"> набрал</w:t>
      </w:r>
      <w:r w:rsidR="00DB003C" w:rsidRPr="00D21805">
        <w:rPr>
          <w:rFonts w:ascii="Times New Roman" w:hAnsi="Times New Roman" w:cs="Times New Roman"/>
          <w:sz w:val="28"/>
          <w:szCs w:val="24"/>
        </w:rPr>
        <w:t>а</w:t>
      </w:r>
      <w:r w:rsidRPr="00D21805">
        <w:rPr>
          <w:rFonts w:ascii="Times New Roman" w:hAnsi="Times New Roman" w:cs="Times New Roman"/>
          <w:sz w:val="28"/>
          <w:szCs w:val="24"/>
        </w:rPr>
        <w:t xml:space="preserve"> 60 баллов, что соответствует высок</w:t>
      </w:r>
      <w:r w:rsidRPr="00D21805">
        <w:rPr>
          <w:rFonts w:ascii="Times New Roman" w:hAnsi="Times New Roman" w:cs="Times New Roman"/>
          <w:sz w:val="28"/>
          <w:szCs w:val="24"/>
        </w:rPr>
        <w:t>о</w:t>
      </w:r>
      <w:r w:rsidRPr="00D21805">
        <w:rPr>
          <w:rFonts w:ascii="Times New Roman" w:hAnsi="Times New Roman" w:cs="Times New Roman"/>
          <w:sz w:val="28"/>
          <w:szCs w:val="24"/>
        </w:rPr>
        <w:t>му уровню организации системы финансового контроля при наличии ряда следующих проблем:</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количество проведённых мероприятий внутреннего контроля</w:t>
      </w:r>
      <w:r w:rsidR="00DB4F47" w:rsidRPr="00D21805">
        <w:rPr>
          <w:rFonts w:ascii="Times New Roman" w:eastAsia="PFDinTextCompPro-Light" w:hAnsi="Times New Roman" w:cs="Times New Roman"/>
          <w:color w:val="000000"/>
          <w:sz w:val="28"/>
          <w:szCs w:val="24"/>
        </w:rPr>
        <w:t xml:space="preserve"> </w:t>
      </w:r>
      <w:r w:rsidRPr="00D21805">
        <w:rPr>
          <w:rFonts w:ascii="Times New Roman" w:eastAsia="PFDinTextCompPro-Light" w:hAnsi="Times New Roman" w:cs="Times New Roman"/>
          <w:color w:val="000000"/>
          <w:sz w:val="28"/>
          <w:szCs w:val="24"/>
        </w:rPr>
        <w:t>за 2015 год (26 проверок) не является достаточно высоким, учитывая число филиалов и дочерних обществ холдинга;</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объём реализации непрофильных активов в выручке 2015 году находился на довольно низком уровне</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более 50% дебиторской задолженности относилось к разряду пр</w:t>
      </w:r>
      <w:r w:rsidRPr="00D21805">
        <w:rPr>
          <w:rFonts w:ascii="Times New Roman" w:eastAsia="PFDinTextCompPro-Light" w:hAnsi="Times New Roman" w:cs="Times New Roman"/>
          <w:color w:val="000000"/>
          <w:sz w:val="28"/>
          <w:szCs w:val="24"/>
        </w:rPr>
        <w:t>о</w:t>
      </w:r>
      <w:r w:rsidRPr="00D21805">
        <w:rPr>
          <w:rFonts w:ascii="Times New Roman" w:eastAsia="PFDinTextCompPro-Light" w:hAnsi="Times New Roman" w:cs="Times New Roman"/>
          <w:color w:val="000000"/>
          <w:sz w:val="28"/>
          <w:szCs w:val="24"/>
        </w:rPr>
        <w:t>сроченной;</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коэффициент текущей ликвидности приближен к нижней границе нормативных значений – существовал риск снижения финансового поте</w:t>
      </w:r>
      <w:r w:rsidRPr="00D21805">
        <w:rPr>
          <w:rFonts w:ascii="Times New Roman" w:eastAsia="PFDinTextCompPro-Light" w:hAnsi="Times New Roman" w:cs="Times New Roman"/>
          <w:color w:val="000000"/>
          <w:sz w:val="28"/>
          <w:szCs w:val="24"/>
        </w:rPr>
        <w:t>н</w:t>
      </w:r>
      <w:r w:rsidRPr="00D21805">
        <w:rPr>
          <w:rFonts w:ascii="Times New Roman" w:eastAsia="PFDinTextCompPro-Light" w:hAnsi="Times New Roman" w:cs="Times New Roman"/>
          <w:color w:val="000000"/>
          <w:sz w:val="28"/>
          <w:szCs w:val="24"/>
        </w:rPr>
        <w:t>циала;</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 ряду контрольных процедур (D1, D2, D3) в открытом доступе отсутствуют данные; оценка критериев невозможна;</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высоко число нарушений антикоррупционного законодательства, несмотря на членство в Антикоррупционной хартии российского бизнеса.</w:t>
      </w:r>
    </w:p>
    <w:p w:rsidR="00A53CC0" w:rsidRPr="00D21805" w:rsidRDefault="00A53CC0"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lastRenderedPageBreak/>
        <w:t xml:space="preserve">В свою очередь, </w:t>
      </w:r>
      <w:r w:rsidR="00DB003C" w:rsidRPr="00D21805">
        <w:rPr>
          <w:rFonts w:ascii="Times New Roman" w:eastAsia="Times New Roman" w:hAnsi="Times New Roman" w:cs="Times New Roman"/>
          <w:color w:val="000000"/>
          <w:sz w:val="28"/>
          <w:szCs w:val="24"/>
          <w:lang w:eastAsia="ru-RU"/>
        </w:rPr>
        <w:t>компания 2</w:t>
      </w:r>
      <w:r w:rsidRPr="00D21805">
        <w:rPr>
          <w:rFonts w:ascii="Times New Roman" w:eastAsia="Times New Roman" w:hAnsi="Times New Roman" w:cs="Times New Roman"/>
          <w:color w:val="000000"/>
          <w:sz w:val="28"/>
          <w:szCs w:val="24"/>
          <w:lang w:eastAsia="ru-RU"/>
        </w:rPr>
        <w:t xml:space="preserve"> набрал</w:t>
      </w:r>
      <w:r w:rsidR="00DB003C" w:rsidRPr="00D21805">
        <w:rPr>
          <w:rFonts w:ascii="Times New Roman" w:eastAsia="Times New Roman" w:hAnsi="Times New Roman" w:cs="Times New Roman"/>
          <w:color w:val="000000"/>
          <w:sz w:val="28"/>
          <w:szCs w:val="24"/>
          <w:lang w:eastAsia="ru-RU"/>
        </w:rPr>
        <w:t>а</w:t>
      </w:r>
      <w:r w:rsidRPr="00D21805">
        <w:rPr>
          <w:rFonts w:ascii="Times New Roman" w:eastAsia="Times New Roman" w:hAnsi="Times New Roman" w:cs="Times New Roman"/>
          <w:color w:val="000000"/>
          <w:sz w:val="28"/>
          <w:szCs w:val="24"/>
          <w:lang w:eastAsia="ru-RU"/>
        </w:rPr>
        <w:t xml:space="preserve"> 49,6 баллов, продемонстрировав средний уровень организации финансового контроля. Так, у данной ко</w:t>
      </w:r>
      <w:r w:rsidRPr="00D21805">
        <w:rPr>
          <w:rFonts w:ascii="Times New Roman" w:eastAsia="Times New Roman" w:hAnsi="Times New Roman" w:cs="Times New Roman"/>
          <w:color w:val="000000"/>
          <w:sz w:val="28"/>
          <w:szCs w:val="24"/>
          <w:lang w:eastAsia="ru-RU"/>
        </w:rPr>
        <w:t>м</w:t>
      </w:r>
      <w:r w:rsidRPr="00D21805">
        <w:rPr>
          <w:rFonts w:ascii="Times New Roman" w:eastAsia="Times New Roman" w:hAnsi="Times New Roman" w:cs="Times New Roman"/>
          <w:color w:val="000000"/>
          <w:sz w:val="28"/>
          <w:szCs w:val="24"/>
          <w:lang w:eastAsia="ru-RU"/>
        </w:rPr>
        <w:t>пании были обнаружены следующие проблемные области финансово-хозяйственной деятельности:</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отсутствие подразделения по противодействию мошенничеству и коррупции и, как следствие, высокое число нарушений антикоррупционн</w:t>
      </w:r>
      <w:r w:rsidRPr="00D21805">
        <w:rPr>
          <w:rFonts w:ascii="Times New Roman" w:eastAsia="PFDinTextCompPro-Light" w:hAnsi="Times New Roman" w:cs="Times New Roman"/>
          <w:color w:val="000000"/>
          <w:sz w:val="28"/>
          <w:szCs w:val="24"/>
        </w:rPr>
        <w:t>о</w:t>
      </w:r>
      <w:r w:rsidRPr="00D21805">
        <w:rPr>
          <w:rFonts w:ascii="Times New Roman" w:eastAsia="PFDinTextCompPro-Light" w:hAnsi="Times New Roman" w:cs="Times New Roman"/>
          <w:color w:val="000000"/>
          <w:sz w:val="28"/>
          <w:szCs w:val="24"/>
        </w:rPr>
        <w:t>го законодательства;</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недостаточно высокая доля (45%) проведения закупочных процедур на электронных торговых площадках;</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отсутствие проведения сделок по отчуждению непрофильных акт</w:t>
      </w:r>
      <w:r w:rsidRPr="00D21805">
        <w:rPr>
          <w:rFonts w:ascii="Times New Roman" w:eastAsia="PFDinTextCompPro-Light" w:hAnsi="Times New Roman" w:cs="Times New Roman"/>
          <w:color w:val="000000"/>
          <w:sz w:val="28"/>
          <w:szCs w:val="24"/>
        </w:rPr>
        <w:t>и</w:t>
      </w:r>
      <w:r w:rsidRPr="00D21805">
        <w:rPr>
          <w:rFonts w:ascii="Times New Roman" w:eastAsia="PFDinTextCompPro-Light" w:hAnsi="Times New Roman" w:cs="Times New Roman"/>
          <w:color w:val="000000"/>
          <w:sz w:val="28"/>
          <w:szCs w:val="24"/>
        </w:rPr>
        <w:t>вов при наличии таких активов на балансе компании;</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порядка 70% дебиторской задолженности относилось к разряду просроченной;</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коэффициент финансовой устойчивости был ниже нормативного значения;</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чистый денежный поток в 2015 году был отрицательным из-за п</w:t>
      </w:r>
      <w:r w:rsidRPr="00D21805">
        <w:rPr>
          <w:rFonts w:ascii="Times New Roman" w:eastAsia="PFDinTextCompPro-Light" w:hAnsi="Times New Roman" w:cs="Times New Roman"/>
          <w:color w:val="000000"/>
          <w:sz w:val="28"/>
          <w:szCs w:val="24"/>
        </w:rPr>
        <w:t>о</w:t>
      </w:r>
      <w:r w:rsidRPr="00D21805">
        <w:rPr>
          <w:rFonts w:ascii="Times New Roman" w:eastAsia="PFDinTextCompPro-Light" w:hAnsi="Times New Roman" w:cs="Times New Roman"/>
          <w:color w:val="000000"/>
          <w:sz w:val="28"/>
          <w:szCs w:val="24"/>
        </w:rPr>
        <w:t>гашения кредитов и займов;</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 ряду контрольных процедур (D1, D2) в открытом доступе отсу</w:t>
      </w:r>
      <w:r w:rsidRPr="00D21805">
        <w:rPr>
          <w:rFonts w:ascii="Times New Roman" w:eastAsia="PFDinTextCompPro-Light" w:hAnsi="Times New Roman" w:cs="Times New Roman"/>
          <w:color w:val="000000"/>
          <w:sz w:val="28"/>
          <w:szCs w:val="24"/>
        </w:rPr>
        <w:t>т</w:t>
      </w:r>
      <w:r w:rsidRPr="00D21805">
        <w:rPr>
          <w:rFonts w:ascii="Times New Roman" w:eastAsia="PFDinTextCompPro-Light" w:hAnsi="Times New Roman" w:cs="Times New Roman"/>
          <w:color w:val="000000"/>
          <w:sz w:val="28"/>
          <w:szCs w:val="24"/>
        </w:rPr>
        <w:t>ствуют данные; оценка критериев невозможна.</w:t>
      </w:r>
    </w:p>
    <w:p w:rsidR="00A53CC0" w:rsidRPr="00D21805" w:rsidRDefault="00A53CC0"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Рассматривая результаты тестирования по </w:t>
      </w:r>
      <w:r w:rsidR="00DB003C" w:rsidRPr="00D21805">
        <w:rPr>
          <w:rFonts w:ascii="Times New Roman" w:eastAsia="Times New Roman" w:hAnsi="Times New Roman" w:cs="Times New Roman"/>
          <w:color w:val="000000"/>
          <w:sz w:val="28"/>
          <w:szCs w:val="24"/>
          <w:lang w:eastAsia="ru-RU"/>
        </w:rPr>
        <w:t>третьей компании</w:t>
      </w:r>
      <w:r w:rsidRPr="00D21805">
        <w:rPr>
          <w:rFonts w:ascii="Times New Roman" w:eastAsia="Times New Roman" w:hAnsi="Times New Roman" w:cs="Times New Roman"/>
          <w:color w:val="000000"/>
          <w:sz w:val="28"/>
          <w:szCs w:val="24"/>
          <w:lang w:eastAsia="ru-RU"/>
        </w:rPr>
        <w:t>, набравшей 32,2 балла, необходимо отметить, что такой результат соотве</w:t>
      </w:r>
      <w:r w:rsidRPr="00D21805">
        <w:rPr>
          <w:rFonts w:ascii="Times New Roman" w:eastAsia="Times New Roman" w:hAnsi="Times New Roman" w:cs="Times New Roman"/>
          <w:color w:val="000000"/>
          <w:sz w:val="28"/>
          <w:szCs w:val="24"/>
          <w:lang w:eastAsia="ru-RU"/>
        </w:rPr>
        <w:t>т</w:t>
      </w:r>
      <w:r w:rsidRPr="00D21805">
        <w:rPr>
          <w:rFonts w:ascii="Times New Roman" w:eastAsia="Times New Roman" w:hAnsi="Times New Roman" w:cs="Times New Roman"/>
          <w:color w:val="000000"/>
          <w:sz w:val="28"/>
          <w:szCs w:val="24"/>
          <w:lang w:eastAsia="ru-RU"/>
        </w:rPr>
        <w:t xml:space="preserve">ствует относительно низкому уровню организации системы финансового контроля в компании. В ходе тестирования у </w:t>
      </w:r>
      <w:r w:rsidR="00DB003C" w:rsidRPr="00D21805">
        <w:rPr>
          <w:rFonts w:ascii="Times New Roman" w:eastAsia="Times New Roman" w:hAnsi="Times New Roman" w:cs="Times New Roman"/>
          <w:color w:val="000000"/>
          <w:sz w:val="28"/>
          <w:szCs w:val="24"/>
          <w:lang w:eastAsia="ru-RU"/>
        </w:rPr>
        <w:t>третьей компании</w:t>
      </w:r>
      <w:r w:rsidRPr="00D21805">
        <w:rPr>
          <w:rFonts w:ascii="Times New Roman" w:eastAsia="Times New Roman" w:hAnsi="Times New Roman" w:cs="Times New Roman"/>
          <w:color w:val="000000"/>
          <w:sz w:val="28"/>
          <w:szCs w:val="24"/>
          <w:lang w:eastAsia="ru-RU"/>
        </w:rPr>
        <w:t xml:space="preserve"> был выя</w:t>
      </w:r>
      <w:r w:rsidRPr="00D21805">
        <w:rPr>
          <w:rFonts w:ascii="Times New Roman" w:eastAsia="Times New Roman" w:hAnsi="Times New Roman" w:cs="Times New Roman"/>
          <w:color w:val="000000"/>
          <w:sz w:val="28"/>
          <w:szCs w:val="24"/>
          <w:lang w:eastAsia="ru-RU"/>
        </w:rPr>
        <w:t>в</w:t>
      </w:r>
      <w:r w:rsidRPr="00D21805">
        <w:rPr>
          <w:rFonts w:ascii="Times New Roman" w:eastAsia="Times New Roman" w:hAnsi="Times New Roman" w:cs="Times New Roman"/>
          <w:color w:val="000000"/>
          <w:sz w:val="28"/>
          <w:szCs w:val="24"/>
          <w:lang w:eastAsia="ru-RU"/>
        </w:rPr>
        <w:t xml:space="preserve">лен ряд следующих проблем: </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отсутствие открытых данных в годовом отчёте о проведённых м</w:t>
      </w:r>
      <w:r w:rsidRPr="00D21805">
        <w:rPr>
          <w:rFonts w:ascii="Times New Roman" w:eastAsia="PFDinTextCompPro-Light" w:hAnsi="Times New Roman" w:cs="Times New Roman"/>
          <w:color w:val="000000"/>
          <w:sz w:val="28"/>
          <w:szCs w:val="24"/>
        </w:rPr>
        <w:t>е</w:t>
      </w:r>
      <w:r w:rsidRPr="00D21805">
        <w:rPr>
          <w:rFonts w:ascii="Times New Roman" w:eastAsia="PFDinTextCompPro-Light" w:hAnsi="Times New Roman" w:cs="Times New Roman"/>
          <w:color w:val="000000"/>
          <w:sz w:val="28"/>
          <w:szCs w:val="24"/>
        </w:rPr>
        <w:t>роприятиях внутреннего контроля; невозможность оценить критерий А</w:t>
      </w:r>
      <w:proofErr w:type="gramStart"/>
      <w:r w:rsidRPr="00D21805">
        <w:rPr>
          <w:rFonts w:ascii="Times New Roman" w:eastAsia="PFDinTextCompPro-Light" w:hAnsi="Times New Roman" w:cs="Times New Roman"/>
          <w:color w:val="000000"/>
          <w:sz w:val="28"/>
          <w:szCs w:val="24"/>
        </w:rPr>
        <w:t>4</w:t>
      </w:r>
      <w:proofErr w:type="gramEnd"/>
      <w:r w:rsidRPr="00D21805">
        <w:rPr>
          <w:rFonts w:ascii="Times New Roman" w:eastAsia="PFDinTextCompPro-Light" w:hAnsi="Times New Roman" w:cs="Times New Roman"/>
          <w:color w:val="000000"/>
          <w:sz w:val="28"/>
          <w:szCs w:val="24"/>
        </w:rPr>
        <w:t>;</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отсутствие информации о доле проведения закупок на открытых электронных площадках и объёмах экономии на закупочных процедурах – невозможность оценки критериев В</w:t>
      </w:r>
      <w:proofErr w:type="gramStart"/>
      <w:r w:rsidRPr="00D21805">
        <w:rPr>
          <w:rFonts w:ascii="Times New Roman" w:eastAsia="PFDinTextCompPro-Light" w:hAnsi="Times New Roman" w:cs="Times New Roman"/>
          <w:color w:val="000000"/>
          <w:sz w:val="28"/>
          <w:szCs w:val="24"/>
        </w:rPr>
        <w:t>2</w:t>
      </w:r>
      <w:proofErr w:type="gramEnd"/>
      <w:r w:rsidRPr="00D21805">
        <w:rPr>
          <w:rFonts w:ascii="Times New Roman" w:eastAsia="PFDinTextCompPro-Light" w:hAnsi="Times New Roman" w:cs="Times New Roman"/>
          <w:color w:val="000000"/>
          <w:sz w:val="28"/>
          <w:szCs w:val="24"/>
        </w:rPr>
        <w:t xml:space="preserve"> и В3;</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lastRenderedPageBreak/>
        <w:t>отсутствие открытых данных о наличии непрофильных активов на балансе и объёмах их реализации – невозможность оценки критериев В</w:t>
      </w:r>
      <w:proofErr w:type="gramStart"/>
      <w:r w:rsidRPr="00D21805">
        <w:rPr>
          <w:rFonts w:ascii="Times New Roman" w:eastAsia="PFDinTextCompPro-Light" w:hAnsi="Times New Roman" w:cs="Times New Roman"/>
          <w:color w:val="000000"/>
          <w:sz w:val="28"/>
          <w:szCs w:val="24"/>
        </w:rPr>
        <w:t>4</w:t>
      </w:r>
      <w:proofErr w:type="gramEnd"/>
      <w:r w:rsidRPr="00D21805">
        <w:rPr>
          <w:rFonts w:ascii="Times New Roman" w:eastAsia="PFDinTextCompPro-Light" w:hAnsi="Times New Roman" w:cs="Times New Roman"/>
          <w:color w:val="000000"/>
          <w:sz w:val="28"/>
          <w:szCs w:val="24"/>
        </w:rPr>
        <w:t xml:space="preserve"> и В5;</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отрицательный прирост выручки, связанный со снижением отпуска тепловой энергии;</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высокая доля просроченной дебиторской задолженности (43,3%);</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 xml:space="preserve">обесценение части </w:t>
      </w:r>
      <w:proofErr w:type="spellStart"/>
      <w:r w:rsidRPr="00D21805">
        <w:rPr>
          <w:rFonts w:ascii="Times New Roman" w:eastAsia="PFDinTextCompPro-Light" w:hAnsi="Times New Roman" w:cs="Times New Roman"/>
          <w:color w:val="000000"/>
          <w:sz w:val="28"/>
          <w:szCs w:val="24"/>
        </w:rPr>
        <w:t>внеоборотных</w:t>
      </w:r>
      <w:proofErr w:type="spellEnd"/>
      <w:r w:rsidRPr="00D21805">
        <w:rPr>
          <w:rFonts w:ascii="Times New Roman" w:eastAsia="PFDinTextCompPro-Light" w:hAnsi="Times New Roman" w:cs="Times New Roman"/>
          <w:color w:val="000000"/>
          <w:sz w:val="28"/>
          <w:szCs w:val="24"/>
        </w:rPr>
        <w:t xml:space="preserve"> активов почти на половину их стоимости (на 48,73%);</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отрицательное значение коэффициента рентабельности инвестиций, вызванное превышением объёма операционных расходов над выручкой;</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коэффициент автономии находится за нижней границей нормати</w:t>
      </w:r>
      <w:r w:rsidRPr="00D21805">
        <w:rPr>
          <w:rFonts w:ascii="Times New Roman" w:eastAsia="PFDinTextCompPro-Light" w:hAnsi="Times New Roman" w:cs="Times New Roman"/>
          <w:color w:val="000000"/>
          <w:sz w:val="28"/>
          <w:szCs w:val="24"/>
        </w:rPr>
        <w:t>в</w:t>
      </w:r>
      <w:r w:rsidRPr="00D21805">
        <w:rPr>
          <w:rFonts w:ascii="Times New Roman" w:eastAsia="PFDinTextCompPro-Light" w:hAnsi="Times New Roman" w:cs="Times New Roman"/>
          <w:color w:val="000000"/>
          <w:sz w:val="28"/>
          <w:szCs w:val="24"/>
        </w:rPr>
        <w:t>ного значения;</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коэффициент соотношения заёмных и собственных средств сильно завышен – в структуре пассивов преобладают обязательства;</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коэффициент финансовой устойчивости не достигает нижней гр</w:t>
      </w:r>
      <w:r w:rsidRPr="00D21805">
        <w:rPr>
          <w:rFonts w:ascii="Times New Roman" w:eastAsia="PFDinTextCompPro-Light" w:hAnsi="Times New Roman" w:cs="Times New Roman"/>
          <w:color w:val="000000"/>
          <w:sz w:val="28"/>
          <w:szCs w:val="24"/>
        </w:rPr>
        <w:t>а</w:t>
      </w:r>
      <w:r w:rsidRPr="00D21805">
        <w:rPr>
          <w:rFonts w:ascii="Times New Roman" w:eastAsia="PFDinTextCompPro-Light" w:hAnsi="Times New Roman" w:cs="Times New Roman"/>
          <w:color w:val="000000"/>
          <w:sz w:val="28"/>
          <w:szCs w:val="24"/>
        </w:rPr>
        <w:t>ницы нормативного значения;</w:t>
      </w:r>
    </w:p>
    <w:p w:rsidR="00A53CC0" w:rsidRPr="00D21805" w:rsidRDefault="00A53CC0" w:rsidP="00735180">
      <w:pPr>
        <w:pStyle w:val="a5"/>
        <w:numPr>
          <w:ilvl w:val="0"/>
          <w:numId w:val="19"/>
        </w:numPr>
        <w:tabs>
          <w:tab w:val="left" w:pos="851"/>
        </w:tabs>
        <w:autoSpaceDE w:val="0"/>
        <w:autoSpaceDN w:val="0"/>
        <w:adjustRightInd w:val="0"/>
        <w:spacing w:line="360" w:lineRule="auto"/>
        <w:ind w:left="0" w:firstLine="567"/>
        <w:jc w:val="both"/>
        <w:rPr>
          <w:rFonts w:ascii="Times New Roman" w:eastAsia="PFDinTextCompPro-Light" w:hAnsi="Times New Roman" w:cs="Times New Roman"/>
          <w:color w:val="000000"/>
          <w:sz w:val="28"/>
          <w:szCs w:val="24"/>
        </w:rPr>
      </w:pPr>
      <w:r w:rsidRPr="00D21805">
        <w:rPr>
          <w:rFonts w:ascii="Times New Roman" w:eastAsia="PFDinTextCompPro-Light" w:hAnsi="Times New Roman" w:cs="Times New Roman"/>
          <w:color w:val="000000"/>
          <w:sz w:val="28"/>
          <w:szCs w:val="24"/>
        </w:rPr>
        <w:t>по ряду контрольных процедур (D1, D2) в открытом доступе отсу</w:t>
      </w:r>
      <w:r w:rsidRPr="00D21805">
        <w:rPr>
          <w:rFonts w:ascii="Times New Roman" w:eastAsia="PFDinTextCompPro-Light" w:hAnsi="Times New Roman" w:cs="Times New Roman"/>
          <w:color w:val="000000"/>
          <w:sz w:val="28"/>
          <w:szCs w:val="24"/>
        </w:rPr>
        <w:t>т</w:t>
      </w:r>
      <w:r w:rsidRPr="00D21805">
        <w:rPr>
          <w:rFonts w:ascii="Times New Roman" w:eastAsia="PFDinTextCompPro-Light" w:hAnsi="Times New Roman" w:cs="Times New Roman"/>
          <w:color w:val="000000"/>
          <w:sz w:val="28"/>
          <w:szCs w:val="24"/>
        </w:rPr>
        <w:t>ствуют данные; оценка критериев невозможна.</w:t>
      </w:r>
    </w:p>
    <w:p w:rsidR="006C0435" w:rsidRPr="00D21805" w:rsidRDefault="006C0435"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Сводные результаты зависимости размера капитализации компаний от уровня финансового контроля в них приведены на рисунке </w:t>
      </w:r>
      <w:r w:rsidR="00DB003C" w:rsidRPr="00D21805">
        <w:rPr>
          <w:rFonts w:ascii="Times New Roman" w:eastAsia="Times New Roman" w:hAnsi="Times New Roman" w:cs="Times New Roman"/>
          <w:color w:val="000000"/>
          <w:sz w:val="28"/>
          <w:szCs w:val="24"/>
          <w:lang w:eastAsia="ru-RU"/>
        </w:rPr>
        <w:t>1</w:t>
      </w:r>
      <w:r w:rsidR="00E01479" w:rsidRPr="00D21805">
        <w:rPr>
          <w:rFonts w:ascii="Times New Roman" w:eastAsia="Times New Roman" w:hAnsi="Times New Roman" w:cs="Times New Roman"/>
          <w:color w:val="000000"/>
          <w:sz w:val="28"/>
          <w:szCs w:val="24"/>
          <w:lang w:eastAsia="ru-RU"/>
        </w:rPr>
        <w:t>.</w:t>
      </w:r>
    </w:p>
    <w:p w:rsidR="00312860" w:rsidRPr="00735180" w:rsidRDefault="00312860" w:rsidP="00735180">
      <w:pPr>
        <w:keepNext/>
        <w:tabs>
          <w:tab w:val="left" w:pos="851"/>
        </w:tabs>
        <w:spacing w:line="360" w:lineRule="auto"/>
        <w:jc w:val="center"/>
        <w:rPr>
          <w:rFonts w:ascii="Times New Roman" w:hAnsi="Times New Roman" w:cs="Times New Roman"/>
          <w:sz w:val="24"/>
          <w:szCs w:val="24"/>
        </w:rPr>
      </w:pPr>
      <w:r w:rsidRPr="00735180">
        <w:rPr>
          <w:rFonts w:ascii="Times New Roman" w:hAnsi="Times New Roman" w:cs="Times New Roman"/>
          <w:noProof/>
          <w:sz w:val="24"/>
          <w:szCs w:val="24"/>
          <w:lang w:eastAsia="ru-RU"/>
        </w:rPr>
        <w:lastRenderedPageBreak/>
        <w:drawing>
          <wp:inline distT="0" distB="0" distL="0" distR="0" wp14:anchorId="0903244E" wp14:editId="589466F4">
            <wp:extent cx="5624513" cy="2743200"/>
            <wp:effectExtent l="0" t="0" r="1460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0435" w:rsidRPr="00D21805" w:rsidRDefault="00312860" w:rsidP="00735180">
      <w:pPr>
        <w:pStyle w:val="a7"/>
        <w:spacing w:line="360" w:lineRule="auto"/>
        <w:jc w:val="center"/>
        <w:rPr>
          <w:rFonts w:ascii="Times New Roman" w:eastAsia="Times New Roman" w:hAnsi="Times New Roman" w:cs="Times New Roman"/>
          <w:b w:val="0"/>
          <w:color w:val="auto"/>
          <w:sz w:val="28"/>
          <w:szCs w:val="24"/>
          <w:lang w:eastAsia="ru-RU"/>
        </w:rPr>
      </w:pPr>
      <w:r w:rsidRPr="00D21805">
        <w:rPr>
          <w:rFonts w:ascii="Times New Roman" w:hAnsi="Times New Roman" w:cs="Times New Roman"/>
          <w:b w:val="0"/>
          <w:color w:val="auto"/>
          <w:sz w:val="28"/>
          <w:szCs w:val="24"/>
        </w:rPr>
        <w:t xml:space="preserve">Рисунок </w:t>
      </w:r>
      <w:r w:rsidR="00DD365B" w:rsidRPr="00D21805">
        <w:rPr>
          <w:rFonts w:ascii="Times New Roman" w:hAnsi="Times New Roman" w:cs="Times New Roman"/>
          <w:b w:val="0"/>
          <w:color w:val="auto"/>
          <w:sz w:val="28"/>
          <w:szCs w:val="24"/>
        </w:rPr>
        <w:t>3</w:t>
      </w:r>
      <w:r w:rsidRPr="00D21805">
        <w:rPr>
          <w:rFonts w:ascii="Times New Roman" w:hAnsi="Times New Roman" w:cs="Times New Roman"/>
          <w:b w:val="0"/>
          <w:noProof/>
          <w:color w:val="auto"/>
          <w:sz w:val="28"/>
          <w:szCs w:val="24"/>
        </w:rPr>
        <w:t xml:space="preserve"> - Корреляционная зависимость рыночной капитализации компаний от их уровня финансового контроля</w:t>
      </w:r>
    </w:p>
    <w:p w:rsidR="00735180" w:rsidRPr="00D21805" w:rsidRDefault="00735180"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Таким образом, </w:t>
      </w:r>
      <w:r w:rsidR="00A53CC0" w:rsidRPr="00D21805">
        <w:rPr>
          <w:rFonts w:ascii="Times New Roman" w:eastAsia="Times New Roman" w:hAnsi="Times New Roman" w:cs="Times New Roman"/>
          <w:color w:val="000000"/>
          <w:sz w:val="28"/>
          <w:szCs w:val="24"/>
          <w:lang w:eastAsia="ru-RU"/>
        </w:rPr>
        <w:t xml:space="preserve"> </w:t>
      </w:r>
      <w:r w:rsidRPr="00D21805">
        <w:rPr>
          <w:rFonts w:ascii="Times New Roman" w:eastAsia="Times New Roman" w:hAnsi="Times New Roman" w:cs="Times New Roman"/>
          <w:color w:val="000000"/>
          <w:sz w:val="28"/>
          <w:szCs w:val="24"/>
          <w:lang w:eastAsia="ru-RU"/>
        </w:rPr>
        <w:t>ВФК</w:t>
      </w:r>
      <w:r w:rsidR="00E607A6" w:rsidRPr="00D21805">
        <w:rPr>
          <w:rFonts w:ascii="Times New Roman" w:eastAsia="Times New Roman" w:hAnsi="Times New Roman" w:cs="Times New Roman"/>
          <w:color w:val="000000"/>
          <w:sz w:val="28"/>
          <w:szCs w:val="24"/>
          <w:lang w:eastAsia="ru-RU"/>
        </w:rPr>
        <w:t xml:space="preserve"> </w:t>
      </w:r>
      <w:r w:rsidRPr="00D21805">
        <w:rPr>
          <w:rFonts w:ascii="Times New Roman" w:eastAsia="Times New Roman" w:hAnsi="Times New Roman" w:cs="Times New Roman"/>
          <w:color w:val="000000"/>
          <w:sz w:val="28"/>
          <w:szCs w:val="24"/>
          <w:lang w:eastAsia="ru-RU"/>
        </w:rPr>
        <w:t>является неотъемлемым элементом управл</w:t>
      </w:r>
      <w:r w:rsidRPr="00D21805">
        <w:rPr>
          <w:rFonts w:ascii="Times New Roman" w:eastAsia="Times New Roman" w:hAnsi="Times New Roman" w:cs="Times New Roman"/>
          <w:color w:val="000000"/>
          <w:sz w:val="28"/>
          <w:szCs w:val="24"/>
          <w:lang w:eastAsia="ru-RU"/>
        </w:rPr>
        <w:t>е</w:t>
      </w:r>
      <w:r w:rsidRPr="00D21805">
        <w:rPr>
          <w:rFonts w:ascii="Times New Roman" w:eastAsia="Times New Roman" w:hAnsi="Times New Roman" w:cs="Times New Roman"/>
          <w:color w:val="000000"/>
          <w:sz w:val="28"/>
          <w:szCs w:val="24"/>
          <w:lang w:eastAsia="ru-RU"/>
        </w:rPr>
        <w:t>ния, ориентированным на создание стоимости  компаний</w:t>
      </w:r>
    </w:p>
    <w:p w:rsidR="009C55AF" w:rsidRPr="00D21805" w:rsidRDefault="009C55AF" w:rsidP="00735180">
      <w:pPr>
        <w:tabs>
          <w:tab w:val="left" w:pos="851"/>
        </w:tabs>
        <w:spacing w:line="360" w:lineRule="auto"/>
        <w:ind w:firstLine="709"/>
        <w:jc w:val="both"/>
        <w:rPr>
          <w:rFonts w:ascii="Times New Roman" w:eastAsia="Times New Roman" w:hAnsi="Times New Roman" w:cs="Times New Roman"/>
          <w:b/>
          <w:color w:val="000000"/>
          <w:sz w:val="28"/>
          <w:szCs w:val="24"/>
          <w:lang w:eastAsia="ru-RU"/>
        </w:rPr>
      </w:pPr>
      <w:r w:rsidRPr="00D21805">
        <w:rPr>
          <w:rFonts w:ascii="Times New Roman" w:eastAsia="Times New Roman" w:hAnsi="Times New Roman" w:cs="Times New Roman"/>
          <w:b/>
          <w:color w:val="000000"/>
          <w:sz w:val="28"/>
          <w:szCs w:val="24"/>
          <w:lang w:eastAsia="ru-RU"/>
        </w:rPr>
        <w:t>Общеотраслевые характеристики внутреннего финансового ко</w:t>
      </w:r>
      <w:r w:rsidRPr="00D21805">
        <w:rPr>
          <w:rFonts w:ascii="Times New Roman" w:eastAsia="Times New Roman" w:hAnsi="Times New Roman" w:cs="Times New Roman"/>
          <w:b/>
          <w:color w:val="000000"/>
          <w:sz w:val="28"/>
          <w:szCs w:val="24"/>
          <w:lang w:eastAsia="ru-RU"/>
        </w:rPr>
        <w:t>н</w:t>
      </w:r>
      <w:r w:rsidRPr="00D21805">
        <w:rPr>
          <w:rFonts w:ascii="Times New Roman" w:eastAsia="Times New Roman" w:hAnsi="Times New Roman" w:cs="Times New Roman"/>
          <w:b/>
          <w:color w:val="000000"/>
          <w:sz w:val="28"/>
          <w:szCs w:val="24"/>
          <w:lang w:eastAsia="ru-RU"/>
        </w:rPr>
        <w:t xml:space="preserve">троля. </w:t>
      </w:r>
    </w:p>
    <w:p w:rsidR="009C55AF" w:rsidRPr="00D21805" w:rsidRDefault="009C55AF"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Применение статистических методов исследований на базе выборки компаний энергетического сектора позволил сделать следующие выводы:</w:t>
      </w:r>
    </w:p>
    <w:p w:rsidR="00B23F9C" w:rsidRPr="00D21805" w:rsidRDefault="009C55AF"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Отрасль характеризуется высокой волатильностью денежных пот</w:t>
      </w:r>
      <w:r w:rsidRPr="00D21805">
        <w:rPr>
          <w:rFonts w:ascii="Times New Roman" w:eastAsia="Times New Roman" w:hAnsi="Times New Roman" w:cs="Times New Roman"/>
          <w:color w:val="000000"/>
          <w:sz w:val="28"/>
          <w:szCs w:val="24"/>
          <w:lang w:eastAsia="ru-RU"/>
        </w:rPr>
        <w:t>о</w:t>
      </w:r>
      <w:r w:rsidRPr="00D21805">
        <w:rPr>
          <w:rFonts w:ascii="Times New Roman" w:eastAsia="Times New Roman" w:hAnsi="Times New Roman" w:cs="Times New Roman"/>
          <w:color w:val="000000"/>
          <w:sz w:val="28"/>
          <w:szCs w:val="24"/>
          <w:lang w:eastAsia="ru-RU"/>
        </w:rPr>
        <w:t xml:space="preserve">ков, </w:t>
      </w:r>
      <w:r w:rsidR="00B23F9C" w:rsidRPr="00D21805">
        <w:rPr>
          <w:rFonts w:ascii="Times New Roman" w:eastAsia="Times New Roman" w:hAnsi="Times New Roman" w:cs="Times New Roman"/>
          <w:color w:val="000000"/>
          <w:sz w:val="28"/>
          <w:szCs w:val="24"/>
          <w:lang w:eastAsia="ru-RU"/>
        </w:rPr>
        <w:t xml:space="preserve">низкой финансовой устойчивостью и </w:t>
      </w:r>
      <w:r w:rsidRPr="00D21805">
        <w:rPr>
          <w:rFonts w:ascii="Times New Roman" w:eastAsia="Times New Roman" w:hAnsi="Times New Roman" w:cs="Times New Roman"/>
          <w:color w:val="000000"/>
          <w:sz w:val="28"/>
          <w:szCs w:val="24"/>
          <w:lang w:eastAsia="ru-RU"/>
        </w:rPr>
        <w:t>достаточно слабо проработа</w:t>
      </w:r>
      <w:r w:rsidRPr="00D21805">
        <w:rPr>
          <w:rFonts w:ascii="Times New Roman" w:eastAsia="Times New Roman" w:hAnsi="Times New Roman" w:cs="Times New Roman"/>
          <w:color w:val="000000"/>
          <w:sz w:val="28"/>
          <w:szCs w:val="24"/>
          <w:lang w:eastAsia="ru-RU"/>
        </w:rPr>
        <w:t>н</w:t>
      </w:r>
      <w:r w:rsidRPr="00D21805">
        <w:rPr>
          <w:rFonts w:ascii="Times New Roman" w:eastAsia="Times New Roman" w:hAnsi="Times New Roman" w:cs="Times New Roman"/>
          <w:color w:val="000000"/>
          <w:sz w:val="28"/>
          <w:szCs w:val="24"/>
          <w:lang w:eastAsia="ru-RU"/>
        </w:rPr>
        <w:t xml:space="preserve">ными методами управления </w:t>
      </w:r>
      <w:r w:rsidR="00B23F9C" w:rsidRPr="00D21805">
        <w:rPr>
          <w:rFonts w:ascii="Times New Roman" w:eastAsia="Times New Roman" w:hAnsi="Times New Roman" w:cs="Times New Roman"/>
          <w:color w:val="000000"/>
          <w:sz w:val="28"/>
          <w:szCs w:val="24"/>
          <w:lang w:eastAsia="ru-RU"/>
        </w:rPr>
        <w:t>дебиторской</w:t>
      </w:r>
      <w:r w:rsidRPr="00D21805">
        <w:rPr>
          <w:rFonts w:ascii="Times New Roman" w:eastAsia="Times New Roman" w:hAnsi="Times New Roman" w:cs="Times New Roman"/>
          <w:color w:val="000000"/>
          <w:sz w:val="28"/>
          <w:szCs w:val="24"/>
          <w:lang w:eastAsia="ru-RU"/>
        </w:rPr>
        <w:t xml:space="preserve"> задолженностью и большой д</w:t>
      </w:r>
      <w:r w:rsidRPr="00D21805">
        <w:rPr>
          <w:rFonts w:ascii="Times New Roman" w:eastAsia="Times New Roman" w:hAnsi="Times New Roman" w:cs="Times New Roman"/>
          <w:color w:val="000000"/>
          <w:sz w:val="28"/>
          <w:szCs w:val="24"/>
          <w:lang w:eastAsia="ru-RU"/>
        </w:rPr>
        <w:t>о</w:t>
      </w:r>
      <w:r w:rsidRPr="00D21805">
        <w:rPr>
          <w:rFonts w:ascii="Times New Roman" w:eastAsia="Times New Roman" w:hAnsi="Times New Roman" w:cs="Times New Roman"/>
          <w:color w:val="000000"/>
          <w:sz w:val="28"/>
          <w:szCs w:val="24"/>
          <w:lang w:eastAsia="ru-RU"/>
        </w:rPr>
        <w:t xml:space="preserve">лей безнадежной дебиторской </w:t>
      </w:r>
      <w:r w:rsidR="00B23F9C" w:rsidRPr="00D21805">
        <w:rPr>
          <w:rFonts w:ascii="Times New Roman" w:eastAsia="Times New Roman" w:hAnsi="Times New Roman" w:cs="Times New Roman"/>
          <w:color w:val="000000"/>
          <w:sz w:val="28"/>
          <w:szCs w:val="24"/>
          <w:lang w:eastAsia="ru-RU"/>
        </w:rPr>
        <w:t>задолженности.</w:t>
      </w:r>
    </w:p>
    <w:p w:rsidR="00B23F9C" w:rsidRPr="00D21805" w:rsidRDefault="00B23F9C"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До 75 % компаний регулярно занимаются превентивными мерами  по управлению налоговыми, финансовыми, стратегическими рисками, что, однако не исключает  случаев проведения дополнительных  проверок го</w:t>
      </w:r>
      <w:r w:rsidRPr="00D21805">
        <w:rPr>
          <w:rFonts w:ascii="Times New Roman" w:eastAsia="Times New Roman" w:hAnsi="Times New Roman" w:cs="Times New Roman"/>
          <w:color w:val="000000"/>
          <w:sz w:val="28"/>
          <w:szCs w:val="24"/>
          <w:lang w:eastAsia="ru-RU"/>
        </w:rPr>
        <w:t>с</w:t>
      </w:r>
      <w:r w:rsidRPr="00D21805">
        <w:rPr>
          <w:rFonts w:ascii="Times New Roman" w:eastAsia="Times New Roman" w:hAnsi="Times New Roman" w:cs="Times New Roman"/>
          <w:color w:val="000000"/>
          <w:sz w:val="28"/>
          <w:szCs w:val="24"/>
          <w:lang w:eastAsia="ru-RU"/>
        </w:rPr>
        <w:t>ударственными службами.  Около 70% компаний регулярно подвергаются дополнительным проверкам и в 10% случаев  выявляются нарушения.</w:t>
      </w:r>
      <w:r w:rsidR="00A13F62" w:rsidRPr="00D21805">
        <w:rPr>
          <w:rFonts w:ascii="Times New Roman" w:eastAsia="Times New Roman" w:hAnsi="Times New Roman" w:cs="Times New Roman"/>
          <w:color w:val="000000"/>
          <w:sz w:val="28"/>
          <w:szCs w:val="24"/>
          <w:lang w:eastAsia="ru-RU"/>
        </w:rPr>
        <w:t xml:space="preserve"> О</w:t>
      </w:r>
      <w:r w:rsidR="00A13F62" w:rsidRPr="00D21805">
        <w:rPr>
          <w:rFonts w:ascii="Times New Roman" w:eastAsia="Times New Roman" w:hAnsi="Times New Roman" w:cs="Times New Roman"/>
          <w:color w:val="000000"/>
          <w:sz w:val="28"/>
          <w:szCs w:val="24"/>
          <w:lang w:eastAsia="ru-RU"/>
        </w:rPr>
        <w:t>д</w:t>
      </w:r>
      <w:r w:rsidR="00A13F62" w:rsidRPr="00D21805">
        <w:rPr>
          <w:rFonts w:ascii="Times New Roman" w:eastAsia="Times New Roman" w:hAnsi="Times New Roman" w:cs="Times New Roman"/>
          <w:color w:val="000000"/>
          <w:sz w:val="28"/>
          <w:szCs w:val="24"/>
          <w:lang w:eastAsia="ru-RU"/>
        </w:rPr>
        <w:t>нако в большинстве случаев (87%)  вопросы решаются в досудебном п</w:t>
      </w:r>
      <w:r w:rsidR="00A13F62" w:rsidRPr="00D21805">
        <w:rPr>
          <w:rFonts w:ascii="Times New Roman" w:eastAsia="Times New Roman" w:hAnsi="Times New Roman" w:cs="Times New Roman"/>
          <w:color w:val="000000"/>
          <w:sz w:val="28"/>
          <w:szCs w:val="24"/>
          <w:lang w:eastAsia="ru-RU"/>
        </w:rPr>
        <w:t>о</w:t>
      </w:r>
      <w:r w:rsidR="00A13F62" w:rsidRPr="00D21805">
        <w:rPr>
          <w:rFonts w:ascii="Times New Roman" w:eastAsia="Times New Roman" w:hAnsi="Times New Roman" w:cs="Times New Roman"/>
          <w:color w:val="000000"/>
          <w:sz w:val="28"/>
          <w:szCs w:val="24"/>
          <w:lang w:eastAsia="ru-RU"/>
        </w:rPr>
        <w:t>рядке.</w:t>
      </w:r>
    </w:p>
    <w:p w:rsidR="00A13F62" w:rsidRPr="00D21805" w:rsidRDefault="00A13F62"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lastRenderedPageBreak/>
        <w:t>В  40% компаний есть программы по управлению непрофильными активами и около 30% их успешно реализуют.</w:t>
      </w:r>
    </w:p>
    <w:p w:rsidR="00B23F9C" w:rsidRPr="00D21805" w:rsidRDefault="00B23F9C"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 В большинстве случаев (72%) контрольные органы  представлены ревизионной комиссией, комитетом по аудиту, службой  внутреннего аудита,  50% отсутствует департамент управления рисками и только у 9 % есть подразделения по противодействию мошенничеству и коррупции. И в 70% случаев у компаний </w:t>
      </w:r>
      <w:r w:rsidR="00A13F62" w:rsidRPr="00D21805">
        <w:rPr>
          <w:rFonts w:ascii="Times New Roman" w:eastAsia="Times New Roman" w:hAnsi="Times New Roman" w:cs="Times New Roman"/>
          <w:color w:val="000000"/>
          <w:sz w:val="28"/>
          <w:szCs w:val="24"/>
          <w:lang w:eastAsia="ru-RU"/>
        </w:rPr>
        <w:t>присутствуют</w:t>
      </w:r>
      <w:r w:rsidRPr="00D21805">
        <w:rPr>
          <w:rFonts w:ascii="Times New Roman" w:eastAsia="Times New Roman" w:hAnsi="Times New Roman" w:cs="Times New Roman"/>
          <w:color w:val="000000"/>
          <w:sz w:val="28"/>
          <w:szCs w:val="24"/>
          <w:lang w:eastAsia="ru-RU"/>
        </w:rPr>
        <w:t xml:space="preserve"> признаки  нарушения коррупцио</w:t>
      </w:r>
      <w:r w:rsidRPr="00D21805">
        <w:rPr>
          <w:rFonts w:ascii="Times New Roman" w:eastAsia="Times New Roman" w:hAnsi="Times New Roman" w:cs="Times New Roman"/>
          <w:color w:val="000000"/>
          <w:sz w:val="28"/>
          <w:szCs w:val="24"/>
          <w:lang w:eastAsia="ru-RU"/>
        </w:rPr>
        <w:t>н</w:t>
      </w:r>
      <w:r w:rsidRPr="00D21805">
        <w:rPr>
          <w:rFonts w:ascii="Times New Roman" w:eastAsia="Times New Roman" w:hAnsi="Times New Roman" w:cs="Times New Roman"/>
          <w:color w:val="000000"/>
          <w:sz w:val="28"/>
          <w:szCs w:val="24"/>
          <w:lang w:eastAsia="ru-RU"/>
        </w:rPr>
        <w:t>ного законодательства.</w:t>
      </w:r>
    </w:p>
    <w:p w:rsidR="00B23F9C" w:rsidRPr="00D21805" w:rsidRDefault="00A13F62"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 По результатам дополнительных исследований   в 30% организаций  выявлены  случаю манипулирования отчётностью с целью повысить  пр</w:t>
      </w:r>
      <w:r w:rsidRPr="00D21805">
        <w:rPr>
          <w:rFonts w:ascii="Times New Roman" w:eastAsia="Times New Roman" w:hAnsi="Times New Roman" w:cs="Times New Roman"/>
          <w:color w:val="000000"/>
          <w:sz w:val="28"/>
          <w:szCs w:val="24"/>
          <w:lang w:eastAsia="ru-RU"/>
        </w:rPr>
        <w:t>и</w:t>
      </w:r>
      <w:r w:rsidRPr="00D21805">
        <w:rPr>
          <w:rFonts w:ascii="Times New Roman" w:eastAsia="Times New Roman" w:hAnsi="Times New Roman" w:cs="Times New Roman"/>
          <w:color w:val="000000"/>
          <w:sz w:val="28"/>
          <w:szCs w:val="24"/>
          <w:lang w:eastAsia="ru-RU"/>
        </w:rPr>
        <w:t>влекательность отчетности и избежать  дополнительных проверок.</w:t>
      </w:r>
    </w:p>
    <w:p w:rsidR="00A13F62" w:rsidRPr="00D21805" w:rsidRDefault="00A13F62" w:rsidP="00735180">
      <w:pPr>
        <w:tabs>
          <w:tab w:val="left" w:pos="851"/>
        </w:tabs>
        <w:spacing w:line="360" w:lineRule="auto"/>
        <w:ind w:firstLine="709"/>
        <w:jc w:val="both"/>
        <w:rPr>
          <w:rFonts w:ascii="Times New Roman" w:eastAsia="Times New Roman" w:hAnsi="Times New Roman" w:cs="Times New Roman"/>
          <w:color w:val="000000"/>
          <w:sz w:val="28"/>
          <w:szCs w:val="24"/>
          <w:lang w:eastAsia="ru-RU"/>
        </w:rPr>
      </w:pPr>
      <w:r w:rsidRPr="00D21805">
        <w:rPr>
          <w:rFonts w:ascii="Times New Roman" w:eastAsia="Times New Roman" w:hAnsi="Times New Roman" w:cs="Times New Roman"/>
          <w:color w:val="000000"/>
          <w:sz w:val="28"/>
          <w:szCs w:val="24"/>
          <w:lang w:eastAsia="ru-RU"/>
        </w:rPr>
        <w:t xml:space="preserve"> Данные  результаты в целом говорят о достаточном потенциале служб внутреннего контроля  у компаний энергетической отрасли, однако есть недочеты, характер которых соответствует низкому уровню зрелости корпоративного управления в целом.</w:t>
      </w:r>
    </w:p>
    <w:p w:rsidR="00B23F9C" w:rsidRPr="00D21805" w:rsidRDefault="00B23F9C" w:rsidP="00735180">
      <w:pPr>
        <w:spacing w:line="360" w:lineRule="auto"/>
        <w:ind w:firstLine="708"/>
        <w:jc w:val="both"/>
        <w:rPr>
          <w:rFonts w:ascii="Times New Roman" w:eastAsia="Times New Roman" w:hAnsi="Times New Roman" w:cs="Times New Roman"/>
          <w:color w:val="000000"/>
          <w:sz w:val="28"/>
          <w:szCs w:val="24"/>
          <w:lang w:eastAsia="ru-RU"/>
        </w:rPr>
      </w:pPr>
    </w:p>
    <w:p w:rsidR="004713F5" w:rsidRPr="00D21805" w:rsidRDefault="00E31833" w:rsidP="00735180">
      <w:pPr>
        <w:spacing w:line="360" w:lineRule="auto"/>
        <w:ind w:firstLine="708"/>
        <w:jc w:val="both"/>
        <w:rPr>
          <w:rFonts w:ascii="Times New Roman" w:eastAsia="Times New Roman" w:hAnsi="Times New Roman" w:cs="Times New Roman"/>
          <w:sz w:val="28"/>
          <w:szCs w:val="24"/>
        </w:rPr>
      </w:pPr>
      <w:r w:rsidRPr="00D21805">
        <w:rPr>
          <w:rFonts w:ascii="Times New Roman" w:eastAsia="Times New Roman" w:hAnsi="Times New Roman" w:cs="Times New Roman"/>
          <w:i/>
          <w:sz w:val="28"/>
          <w:szCs w:val="24"/>
        </w:rPr>
        <w:t>В заключение</w:t>
      </w:r>
      <w:r w:rsidRPr="00D21805">
        <w:rPr>
          <w:rFonts w:ascii="Times New Roman" w:eastAsia="Times New Roman" w:hAnsi="Times New Roman" w:cs="Times New Roman"/>
          <w:sz w:val="28"/>
          <w:szCs w:val="24"/>
        </w:rPr>
        <w:t xml:space="preserve"> необходимо подчеркнуть</w:t>
      </w:r>
      <w:r w:rsidR="004713F5" w:rsidRPr="00D21805">
        <w:rPr>
          <w:rFonts w:ascii="Times New Roman" w:eastAsia="Times New Roman" w:hAnsi="Times New Roman" w:cs="Times New Roman"/>
          <w:sz w:val="28"/>
          <w:szCs w:val="24"/>
        </w:rPr>
        <w:t>, что именно</w:t>
      </w:r>
      <w:r w:rsidRPr="00D21805">
        <w:rPr>
          <w:rFonts w:ascii="Times New Roman" w:eastAsia="Times New Roman" w:hAnsi="Times New Roman" w:cs="Times New Roman"/>
          <w:sz w:val="28"/>
          <w:szCs w:val="24"/>
        </w:rPr>
        <w:t xml:space="preserve"> </w:t>
      </w:r>
      <w:r w:rsidR="004713F5" w:rsidRPr="00D21805">
        <w:rPr>
          <w:rFonts w:ascii="Times New Roman" w:eastAsia="Times New Roman" w:hAnsi="Times New Roman" w:cs="Times New Roman"/>
          <w:sz w:val="28"/>
          <w:szCs w:val="24"/>
        </w:rPr>
        <w:t xml:space="preserve">финансовый контроль призван стать одним из ведущих рычагов на пути к динамичному и успешному развитию российской экономики. </w:t>
      </w:r>
    </w:p>
    <w:p w:rsidR="00E31833" w:rsidRPr="00D21805" w:rsidRDefault="004713F5" w:rsidP="00735180">
      <w:pPr>
        <w:spacing w:line="360" w:lineRule="auto"/>
        <w:ind w:firstLine="708"/>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В</w:t>
      </w:r>
      <w:r w:rsidR="00E31833" w:rsidRPr="00D21805">
        <w:rPr>
          <w:rFonts w:ascii="Times New Roman" w:eastAsia="Times New Roman" w:hAnsi="Times New Roman" w:cs="Times New Roman"/>
          <w:sz w:val="28"/>
          <w:szCs w:val="24"/>
        </w:rPr>
        <w:t xml:space="preserve"> данном вопросе стоит равняться на положительный пример запа</w:t>
      </w:r>
      <w:r w:rsidR="00E31833" w:rsidRPr="00D21805">
        <w:rPr>
          <w:rFonts w:ascii="Times New Roman" w:eastAsia="Times New Roman" w:hAnsi="Times New Roman" w:cs="Times New Roman"/>
          <w:sz w:val="28"/>
          <w:szCs w:val="24"/>
        </w:rPr>
        <w:t>д</w:t>
      </w:r>
      <w:r w:rsidR="00E31833" w:rsidRPr="00D21805">
        <w:rPr>
          <w:rFonts w:ascii="Times New Roman" w:eastAsia="Times New Roman" w:hAnsi="Times New Roman" w:cs="Times New Roman"/>
          <w:sz w:val="28"/>
          <w:szCs w:val="24"/>
        </w:rPr>
        <w:t xml:space="preserve">ных компаний, а первым шагом на пути к </w:t>
      </w:r>
      <w:r w:rsidR="006F5B5E" w:rsidRPr="00D21805">
        <w:rPr>
          <w:rFonts w:ascii="Times New Roman" w:eastAsia="Times New Roman" w:hAnsi="Times New Roman" w:cs="Times New Roman"/>
          <w:sz w:val="28"/>
          <w:szCs w:val="24"/>
        </w:rPr>
        <w:t>указанному</w:t>
      </w:r>
      <w:r w:rsidR="00E31833" w:rsidRPr="00D21805">
        <w:rPr>
          <w:rFonts w:ascii="Times New Roman" w:eastAsia="Times New Roman" w:hAnsi="Times New Roman" w:cs="Times New Roman"/>
          <w:sz w:val="28"/>
          <w:szCs w:val="24"/>
        </w:rPr>
        <w:t xml:space="preserve"> ориентиру должны стать</w:t>
      </w:r>
      <w:r w:rsidR="00E31833" w:rsidRPr="00D21805">
        <w:rPr>
          <w:rFonts w:ascii="Times New Roman" w:hAnsi="Times New Roman" w:cs="Times New Roman"/>
          <w:sz w:val="28"/>
          <w:szCs w:val="24"/>
        </w:rPr>
        <w:t xml:space="preserve"> разработка и принятие нормативно-правового акта федерального уровня, регламентирующего финансовый контроль в организациях.</w:t>
      </w:r>
      <w:r w:rsidR="00E31833" w:rsidRPr="00D21805">
        <w:rPr>
          <w:rFonts w:ascii="Times New Roman" w:eastAsia="Times New Roman" w:hAnsi="Times New Roman" w:cs="Times New Roman"/>
          <w:sz w:val="28"/>
          <w:szCs w:val="24"/>
        </w:rPr>
        <w:t xml:space="preserve"> Нео</w:t>
      </w:r>
      <w:r w:rsidR="00E31833" w:rsidRPr="00D21805">
        <w:rPr>
          <w:rFonts w:ascii="Times New Roman" w:eastAsia="Times New Roman" w:hAnsi="Times New Roman" w:cs="Times New Roman"/>
          <w:sz w:val="28"/>
          <w:szCs w:val="24"/>
        </w:rPr>
        <w:t>б</w:t>
      </w:r>
      <w:r w:rsidR="00E31833" w:rsidRPr="00D21805">
        <w:rPr>
          <w:rFonts w:ascii="Times New Roman" w:eastAsia="Times New Roman" w:hAnsi="Times New Roman" w:cs="Times New Roman"/>
          <w:sz w:val="28"/>
          <w:szCs w:val="24"/>
        </w:rPr>
        <w:t>ходимо отметить, что в случае создания и принятия закона о финансовом контроле уменьшатся негативные моменты, связанные с функциониров</w:t>
      </w:r>
      <w:r w:rsidR="00E31833" w:rsidRPr="00D21805">
        <w:rPr>
          <w:rFonts w:ascii="Times New Roman" w:eastAsia="Times New Roman" w:hAnsi="Times New Roman" w:cs="Times New Roman"/>
          <w:sz w:val="28"/>
          <w:szCs w:val="24"/>
        </w:rPr>
        <w:t>а</w:t>
      </w:r>
      <w:r w:rsidR="00E31833" w:rsidRPr="00D21805">
        <w:rPr>
          <w:rFonts w:ascii="Times New Roman" w:eastAsia="Times New Roman" w:hAnsi="Times New Roman" w:cs="Times New Roman"/>
          <w:sz w:val="28"/>
          <w:szCs w:val="24"/>
        </w:rPr>
        <w:t xml:space="preserve">нием теневой экономики, нецелевым использованием бюджетных средств, сокращением сбора налогов, </w:t>
      </w:r>
      <w:r w:rsidR="00103FE6" w:rsidRPr="00D21805">
        <w:rPr>
          <w:rFonts w:ascii="Times New Roman" w:eastAsia="Times New Roman" w:hAnsi="Times New Roman" w:cs="Times New Roman"/>
          <w:sz w:val="28"/>
          <w:szCs w:val="24"/>
        </w:rPr>
        <w:t xml:space="preserve">ростом экономических преступлений и </w:t>
      </w:r>
      <w:r w:rsidR="00E31833" w:rsidRPr="00D21805">
        <w:rPr>
          <w:rFonts w:ascii="Times New Roman" w:eastAsia="Times New Roman" w:hAnsi="Times New Roman" w:cs="Times New Roman"/>
          <w:sz w:val="28"/>
          <w:szCs w:val="24"/>
        </w:rPr>
        <w:t>отт</w:t>
      </w:r>
      <w:r w:rsidR="00E31833" w:rsidRPr="00D21805">
        <w:rPr>
          <w:rFonts w:ascii="Times New Roman" w:eastAsia="Times New Roman" w:hAnsi="Times New Roman" w:cs="Times New Roman"/>
          <w:sz w:val="28"/>
          <w:szCs w:val="24"/>
        </w:rPr>
        <w:t>о</w:t>
      </w:r>
      <w:r w:rsidR="00E31833" w:rsidRPr="00D21805">
        <w:rPr>
          <w:rFonts w:ascii="Times New Roman" w:eastAsia="Times New Roman" w:hAnsi="Times New Roman" w:cs="Times New Roman"/>
          <w:sz w:val="28"/>
          <w:szCs w:val="24"/>
        </w:rPr>
        <w:t>ком капитала за границу.</w:t>
      </w:r>
    </w:p>
    <w:p w:rsidR="00E607A6" w:rsidRPr="00D21805" w:rsidRDefault="00E607A6" w:rsidP="00735180">
      <w:pPr>
        <w:pStyle w:val="a5"/>
        <w:spacing w:line="360" w:lineRule="auto"/>
        <w:ind w:firstLine="696"/>
        <w:outlineLvl w:val="0"/>
        <w:rPr>
          <w:rFonts w:ascii="Times New Roman" w:hAnsi="Times New Roman" w:cs="Times New Roman"/>
          <w:sz w:val="28"/>
          <w:szCs w:val="24"/>
        </w:rPr>
      </w:pPr>
    </w:p>
    <w:p w:rsidR="00C764D1" w:rsidRPr="00D21805" w:rsidRDefault="00507CE4" w:rsidP="00735180">
      <w:pPr>
        <w:pStyle w:val="a5"/>
        <w:spacing w:line="360" w:lineRule="auto"/>
        <w:ind w:firstLine="696"/>
        <w:outlineLvl w:val="0"/>
        <w:rPr>
          <w:rFonts w:ascii="Times New Roman" w:hAnsi="Times New Roman" w:cs="Times New Roman"/>
          <w:sz w:val="28"/>
          <w:szCs w:val="24"/>
        </w:rPr>
      </w:pPr>
      <w:r w:rsidRPr="00D21805">
        <w:rPr>
          <w:rFonts w:ascii="Times New Roman" w:hAnsi="Times New Roman" w:cs="Times New Roman"/>
          <w:sz w:val="28"/>
          <w:szCs w:val="24"/>
        </w:rPr>
        <w:t xml:space="preserve"> </w:t>
      </w:r>
      <w:bookmarkStart w:id="7" w:name="_Toc450909000"/>
      <w:bookmarkStart w:id="8" w:name="_Toc495004030"/>
      <w:r w:rsidR="00C764D1" w:rsidRPr="00D21805">
        <w:rPr>
          <w:rFonts w:ascii="Times New Roman" w:eastAsia="Times New Roman" w:hAnsi="Times New Roman" w:cs="Times New Roman"/>
          <w:b/>
          <w:sz w:val="28"/>
          <w:szCs w:val="24"/>
        </w:rPr>
        <w:t>СПИСОК ИСПОЛЬЗОВАННЫХ ИСТОЧНИКОВ</w:t>
      </w:r>
      <w:bookmarkEnd w:id="7"/>
      <w:bookmarkEnd w:id="8"/>
      <w:r w:rsidR="00C764D1" w:rsidRPr="00D21805">
        <w:rPr>
          <w:rFonts w:ascii="Times New Roman" w:hAnsi="Times New Roman" w:cs="Times New Roman"/>
          <w:sz w:val="28"/>
          <w:szCs w:val="24"/>
        </w:rPr>
        <w:t xml:space="preserve"> </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proofErr w:type="spellStart"/>
      <w:r w:rsidRPr="00D21805">
        <w:rPr>
          <w:rFonts w:ascii="Times New Roman" w:eastAsia="Times New Roman" w:hAnsi="Times New Roman" w:cs="Times New Roman"/>
          <w:sz w:val="28"/>
          <w:szCs w:val="24"/>
        </w:rPr>
        <w:lastRenderedPageBreak/>
        <w:t>Ernst&amp;Young</w:t>
      </w:r>
      <w:proofErr w:type="spellEnd"/>
      <w:r w:rsidRPr="00D21805">
        <w:rPr>
          <w:rFonts w:ascii="Times New Roman" w:eastAsia="Times New Roman" w:hAnsi="Times New Roman" w:cs="Times New Roman"/>
          <w:sz w:val="28"/>
          <w:szCs w:val="24"/>
        </w:rPr>
        <w:t>. Исследование текущего состояния и тенденций ра</w:t>
      </w:r>
      <w:r w:rsidRPr="00D21805">
        <w:rPr>
          <w:rFonts w:ascii="Times New Roman" w:eastAsia="Times New Roman" w:hAnsi="Times New Roman" w:cs="Times New Roman"/>
          <w:sz w:val="28"/>
          <w:szCs w:val="24"/>
        </w:rPr>
        <w:t>з</w:t>
      </w:r>
      <w:r w:rsidRPr="00D21805">
        <w:rPr>
          <w:rFonts w:ascii="Times New Roman" w:eastAsia="Times New Roman" w:hAnsi="Times New Roman" w:cs="Times New Roman"/>
          <w:sz w:val="28"/>
          <w:szCs w:val="24"/>
        </w:rPr>
        <w:t>вития внутреннего аудита в России (2015 год) [Электронный р</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сурс]. - Режим доступа: http://www.ey.com/Publication/vwLUAssets/EY-internal-audit-2016/ $</w:t>
      </w:r>
      <w:proofErr w:type="spellStart"/>
      <w:r w:rsidRPr="00D21805">
        <w:rPr>
          <w:rFonts w:ascii="Times New Roman" w:eastAsia="Times New Roman" w:hAnsi="Times New Roman" w:cs="Times New Roman"/>
          <w:sz w:val="28"/>
          <w:szCs w:val="24"/>
        </w:rPr>
        <w:t>File</w:t>
      </w:r>
      <w:proofErr w:type="spellEnd"/>
      <w:r w:rsidRPr="00D21805">
        <w:rPr>
          <w:rFonts w:ascii="Times New Roman" w:eastAsia="Times New Roman" w:hAnsi="Times New Roman" w:cs="Times New Roman"/>
          <w:sz w:val="28"/>
          <w:szCs w:val="24"/>
        </w:rPr>
        <w:t xml:space="preserve">/EY-internal-audit-2016.pdf.,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lang w:val="en-US"/>
        </w:rPr>
      </w:pPr>
      <w:r w:rsidRPr="00D21805">
        <w:rPr>
          <w:rFonts w:ascii="Times New Roman" w:eastAsia="Times New Roman" w:hAnsi="Times New Roman" w:cs="Times New Roman"/>
          <w:sz w:val="28"/>
          <w:szCs w:val="24"/>
          <w:lang w:val="en-US"/>
        </w:rPr>
        <w:t xml:space="preserve">Hightower R. Internal Controls Policies and Procedures / R. Hightower. – </w:t>
      </w:r>
      <w:proofErr w:type="spellStart"/>
      <w:r w:rsidRPr="00D21805">
        <w:rPr>
          <w:rFonts w:ascii="Times New Roman" w:eastAsia="Times New Roman" w:hAnsi="Times New Roman" w:cs="Times New Roman"/>
          <w:sz w:val="28"/>
          <w:szCs w:val="24"/>
          <w:lang w:val="en-US"/>
        </w:rPr>
        <w:t>Eastbourne</w:t>
      </w:r>
      <w:proofErr w:type="spellEnd"/>
      <w:r w:rsidRPr="00D21805">
        <w:rPr>
          <w:rFonts w:ascii="Times New Roman" w:eastAsia="Times New Roman" w:hAnsi="Times New Roman" w:cs="Times New Roman"/>
          <w:sz w:val="28"/>
          <w:szCs w:val="24"/>
          <w:lang w:val="en-US"/>
        </w:rPr>
        <w:t xml:space="preserve">: </w:t>
      </w:r>
      <w:proofErr w:type="spellStart"/>
      <w:r w:rsidRPr="00D21805">
        <w:rPr>
          <w:rFonts w:ascii="Times New Roman" w:eastAsia="Times New Roman" w:hAnsi="Times New Roman" w:cs="Times New Roman"/>
          <w:sz w:val="28"/>
          <w:szCs w:val="24"/>
          <w:lang w:val="en-US"/>
        </w:rPr>
        <w:t>Gardners</w:t>
      </w:r>
      <w:proofErr w:type="spellEnd"/>
      <w:r w:rsidRPr="00D21805">
        <w:rPr>
          <w:rFonts w:ascii="Times New Roman" w:eastAsia="Times New Roman" w:hAnsi="Times New Roman" w:cs="Times New Roman"/>
          <w:sz w:val="28"/>
          <w:szCs w:val="24"/>
          <w:lang w:val="en-US"/>
        </w:rPr>
        <w:t xml:space="preserve"> Books, 2008. - 272 p.</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lang w:val="en-US"/>
        </w:rPr>
      </w:pPr>
      <w:r w:rsidRPr="00D21805">
        <w:rPr>
          <w:rFonts w:ascii="Times New Roman" w:eastAsia="Times New Roman" w:hAnsi="Times New Roman" w:cs="Times New Roman"/>
          <w:sz w:val="28"/>
          <w:szCs w:val="24"/>
          <w:lang w:val="en-US"/>
        </w:rPr>
        <w:t xml:space="preserve">Sarbanes–Oxley Act. [Electronic resource]. – </w:t>
      </w:r>
      <w:r w:rsidRPr="00D21805">
        <w:rPr>
          <w:rFonts w:ascii="Times New Roman" w:eastAsia="Times New Roman" w:hAnsi="Times New Roman" w:cs="Times New Roman"/>
          <w:sz w:val="28"/>
          <w:szCs w:val="24"/>
        </w:rPr>
        <w:t>Режим</w:t>
      </w:r>
      <w:r w:rsidRPr="00D21805">
        <w:rPr>
          <w:rFonts w:ascii="Times New Roman" w:eastAsia="Times New Roman" w:hAnsi="Times New Roman" w:cs="Times New Roman"/>
          <w:sz w:val="28"/>
          <w:szCs w:val="24"/>
          <w:lang w:val="en-US"/>
        </w:rPr>
        <w:t xml:space="preserve"> </w:t>
      </w:r>
      <w:r w:rsidRPr="00D21805">
        <w:rPr>
          <w:rFonts w:ascii="Times New Roman" w:eastAsia="Times New Roman" w:hAnsi="Times New Roman" w:cs="Times New Roman"/>
          <w:sz w:val="28"/>
          <w:szCs w:val="24"/>
        </w:rPr>
        <w:t>доступа</w:t>
      </w:r>
      <w:r w:rsidRPr="00D21805">
        <w:rPr>
          <w:rFonts w:ascii="Times New Roman" w:eastAsia="Times New Roman" w:hAnsi="Times New Roman" w:cs="Times New Roman"/>
          <w:sz w:val="28"/>
          <w:szCs w:val="24"/>
          <w:lang w:val="en-US"/>
        </w:rPr>
        <w:t xml:space="preserve">: http://www.sec. </w:t>
      </w:r>
      <w:proofErr w:type="spellStart"/>
      <w:r w:rsidRPr="00D21805">
        <w:rPr>
          <w:rFonts w:ascii="Times New Roman" w:eastAsia="Times New Roman" w:hAnsi="Times New Roman" w:cs="Times New Roman"/>
          <w:sz w:val="28"/>
          <w:szCs w:val="24"/>
          <w:lang w:val="en-US"/>
        </w:rPr>
        <w:t>gov</w:t>
      </w:r>
      <w:proofErr w:type="spellEnd"/>
      <w:r w:rsidRPr="00D21805">
        <w:rPr>
          <w:rFonts w:ascii="Times New Roman" w:eastAsia="Times New Roman" w:hAnsi="Times New Roman" w:cs="Times New Roman"/>
          <w:sz w:val="28"/>
          <w:szCs w:val="24"/>
          <w:lang w:val="en-US"/>
        </w:rPr>
        <w:t xml:space="preserve">/about/laws/soa2002.pdf, </w:t>
      </w:r>
      <w:r w:rsidRPr="00D21805">
        <w:rPr>
          <w:rFonts w:ascii="Times New Roman" w:eastAsia="Times New Roman" w:hAnsi="Times New Roman" w:cs="Times New Roman"/>
          <w:sz w:val="28"/>
          <w:szCs w:val="24"/>
        </w:rPr>
        <w:t>свободный</w:t>
      </w:r>
      <w:r w:rsidRPr="00D21805">
        <w:rPr>
          <w:rFonts w:ascii="Times New Roman" w:eastAsia="Times New Roman" w:hAnsi="Times New Roman" w:cs="Times New Roman"/>
          <w:sz w:val="28"/>
          <w:szCs w:val="24"/>
          <w:lang w:val="en-US"/>
        </w:rPr>
        <w:t xml:space="preserve">.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lang w:val="en-US"/>
        </w:rPr>
        <w:t xml:space="preserve">. </w:t>
      </w:r>
      <w:r w:rsidRPr="00D21805">
        <w:rPr>
          <w:rFonts w:ascii="Times New Roman" w:eastAsia="Times New Roman" w:hAnsi="Times New Roman" w:cs="Times New Roman"/>
          <w:sz w:val="28"/>
          <w:szCs w:val="24"/>
        </w:rPr>
        <w:t>с</w:t>
      </w:r>
      <w:r w:rsidRPr="00D21805">
        <w:rPr>
          <w:rFonts w:ascii="Times New Roman" w:eastAsia="Times New Roman" w:hAnsi="Times New Roman" w:cs="Times New Roman"/>
          <w:sz w:val="28"/>
          <w:szCs w:val="24"/>
          <w:lang w:val="en-US"/>
        </w:rPr>
        <w:t xml:space="preserve"> </w:t>
      </w:r>
      <w:r w:rsidRPr="00D21805">
        <w:rPr>
          <w:rFonts w:ascii="Times New Roman" w:eastAsia="Times New Roman" w:hAnsi="Times New Roman" w:cs="Times New Roman"/>
          <w:sz w:val="28"/>
          <w:szCs w:val="24"/>
        </w:rPr>
        <w:t>экрана</w:t>
      </w:r>
      <w:r w:rsidRPr="00D21805">
        <w:rPr>
          <w:rFonts w:ascii="Times New Roman" w:eastAsia="Times New Roman" w:hAnsi="Times New Roman" w:cs="Times New Roman"/>
          <w:sz w:val="28"/>
          <w:szCs w:val="24"/>
          <w:lang w:val="en-US"/>
        </w:rPr>
        <w:t xml:space="preserve">. – </w:t>
      </w:r>
      <w:proofErr w:type="spellStart"/>
      <w:r w:rsidRPr="00D21805">
        <w:rPr>
          <w:rFonts w:ascii="Times New Roman" w:eastAsia="Times New Roman" w:hAnsi="Times New Roman" w:cs="Times New Roman"/>
          <w:sz w:val="28"/>
          <w:szCs w:val="24"/>
        </w:rPr>
        <w:t>Яз</w:t>
      </w:r>
      <w:proofErr w:type="spellEnd"/>
      <w:r w:rsidRPr="00D21805">
        <w:rPr>
          <w:rFonts w:ascii="Times New Roman" w:eastAsia="Times New Roman" w:hAnsi="Times New Roman" w:cs="Times New Roman"/>
          <w:sz w:val="28"/>
          <w:szCs w:val="24"/>
          <w:lang w:val="en-US"/>
        </w:rPr>
        <w:t xml:space="preserve">. </w:t>
      </w:r>
      <w:proofErr w:type="spellStart"/>
      <w:r w:rsidRPr="00D21805">
        <w:rPr>
          <w:rFonts w:ascii="Times New Roman" w:eastAsia="Times New Roman" w:hAnsi="Times New Roman" w:cs="Times New Roman"/>
          <w:sz w:val="28"/>
          <w:szCs w:val="24"/>
        </w:rPr>
        <w:t>англ</w:t>
      </w:r>
      <w:proofErr w:type="spellEnd"/>
      <w:r w:rsidRPr="00D21805">
        <w:rPr>
          <w:rFonts w:ascii="Times New Roman" w:eastAsia="Times New Roman" w:hAnsi="Times New Roman" w:cs="Times New Roman"/>
          <w:sz w:val="28"/>
          <w:szCs w:val="24"/>
          <w:lang w:val="en-US"/>
        </w:rPr>
        <w:t>.</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lang w:val="en-US"/>
        </w:rPr>
      </w:pPr>
      <w:r w:rsidRPr="00D21805">
        <w:rPr>
          <w:rFonts w:ascii="Times New Roman" w:eastAsia="Times New Roman" w:hAnsi="Times New Roman" w:cs="Times New Roman"/>
          <w:sz w:val="28"/>
          <w:szCs w:val="24"/>
          <w:lang w:val="en-US"/>
        </w:rPr>
        <w:t>The Committee of Sponsoring Organizations of the Treadway Commi</w:t>
      </w:r>
      <w:r w:rsidRPr="00D21805">
        <w:rPr>
          <w:rFonts w:ascii="Times New Roman" w:eastAsia="Times New Roman" w:hAnsi="Times New Roman" w:cs="Times New Roman"/>
          <w:sz w:val="28"/>
          <w:szCs w:val="24"/>
          <w:lang w:val="en-US"/>
        </w:rPr>
        <w:t>s</w:t>
      </w:r>
      <w:r w:rsidRPr="00D21805">
        <w:rPr>
          <w:rFonts w:ascii="Times New Roman" w:eastAsia="Times New Roman" w:hAnsi="Times New Roman" w:cs="Times New Roman"/>
          <w:sz w:val="28"/>
          <w:szCs w:val="24"/>
          <w:lang w:val="en-US"/>
        </w:rPr>
        <w:t xml:space="preserve">sion (COSO) Enterprise Risk Management – Integrated Framework. Guidance on Internal Control [Electronic resource]. – </w:t>
      </w:r>
      <w:r w:rsidRPr="00D21805">
        <w:rPr>
          <w:rFonts w:ascii="Times New Roman" w:eastAsia="Times New Roman" w:hAnsi="Times New Roman" w:cs="Times New Roman"/>
          <w:sz w:val="28"/>
          <w:szCs w:val="24"/>
        </w:rPr>
        <w:t>Режим</w:t>
      </w:r>
      <w:r w:rsidRPr="00D21805">
        <w:rPr>
          <w:rFonts w:ascii="Times New Roman" w:eastAsia="Times New Roman" w:hAnsi="Times New Roman" w:cs="Times New Roman"/>
          <w:sz w:val="28"/>
          <w:szCs w:val="24"/>
          <w:lang w:val="en-US"/>
        </w:rPr>
        <w:t xml:space="preserve"> </w:t>
      </w:r>
      <w:r w:rsidRPr="00D21805">
        <w:rPr>
          <w:rFonts w:ascii="Times New Roman" w:eastAsia="Times New Roman" w:hAnsi="Times New Roman" w:cs="Times New Roman"/>
          <w:sz w:val="28"/>
          <w:szCs w:val="24"/>
        </w:rPr>
        <w:t>доступа</w:t>
      </w:r>
      <w:r w:rsidRPr="00D21805">
        <w:rPr>
          <w:rFonts w:ascii="Times New Roman" w:eastAsia="Times New Roman" w:hAnsi="Times New Roman" w:cs="Times New Roman"/>
          <w:sz w:val="28"/>
          <w:szCs w:val="24"/>
          <w:lang w:val="en-US"/>
        </w:rPr>
        <w:t>: http://www.coso.org/ doc</w:t>
      </w:r>
      <w:r w:rsidRPr="00D21805">
        <w:rPr>
          <w:rFonts w:ascii="Times New Roman" w:eastAsia="Times New Roman" w:hAnsi="Times New Roman" w:cs="Times New Roman"/>
          <w:sz w:val="28"/>
          <w:szCs w:val="24"/>
          <w:lang w:val="en-US"/>
        </w:rPr>
        <w:t>u</w:t>
      </w:r>
      <w:r w:rsidRPr="00D21805">
        <w:rPr>
          <w:rFonts w:ascii="Times New Roman" w:eastAsia="Times New Roman" w:hAnsi="Times New Roman" w:cs="Times New Roman"/>
          <w:sz w:val="28"/>
          <w:szCs w:val="24"/>
          <w:lang w:val="en-US"/>
        </w:rPr>
        <w:t xml:space="preserve">ments/COSO%20McNallyTransition%20Article-Final%20COSO%20 Version%20Proof_5-31-13.pdf, </w:t>
      </w:r>
      <w:r w:rsidRPr="00D21805">
        <w:rPr>
          <w:rFonts w:ascii="Times New Roman" w:eastAsia="Times New Roman" w:hAnsi="Times New Roman" w:cs="Times New Roman"/>
          <w:sz w:val="28"/>
          <w:szCs w:val="24"/>
        </w:rPr>
        <w:t>свободный</w:t>
      </w:r>
      <w:r w:rsidRPr="00D21805">
        <w:rPr>
          <w:rFonts w:ascii="Times New Roman" w:eastAsia="Times New Roman" w:hAnsi="Times New Roman" w:cs="Times New Roman"/>
          <w:sz w:val="28"/>
          <w:szCs w:val="24"/>
          <w:lang w:val="en-US"/>
        </w:rPr>
        <w:t xml:space="preserve">.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lang w:val="en-US"/>
        </w:rPr>
        <w:t xml:space="preserve">. </w:t>
      </w:r>
      <w:r w:rsidRPr="00D21805">
        <w:rPr>
          <w:rFonts w:ascii="Times New Roman" w:eastAsia="Times New Roman" w:hAnsi="Times New Roman" w:cs="Times New Roman"/>
          <w:sz w:val="28"/>
          <w:szCs w:val="24"/>
        </w:rPr>
        <w:t>с</w:t>
      </w:r>
      <w:r w:rsidRPr="00D21805">
        <w:rPr>
          <w:rFonts w:ascii="Times New Roman" w:eastAsia="Times New Roman" w:hAnsi="Times New Roman" w:cs="Times New Roman"/>
          <w:sz w:val="28"/>
          <w:szCs w:val="24"/>
          <w:lang w:val="en-US"/>
        </w:rPr>
        <w:t xml:space="preserve"> </w:t>
      </w:r>
      <w:r w:rsidRPr="00D21805">
        <w:rPr>
          <w:rFonts w:ascii="Times New Roman" w:eastAsia="Times New Roman" w:hAnsi="Times New Roman" w:cs="Times New Roman"/>
          <w:sz w:val="28"/>
          <w:szCs w:val="24"/>
        </w:rPr>
        <w:t>экрана</w:t>
      </w:r>
      <w:r w:rsidRPr="00D21805">
        <w:rPr>
          <w:rFonts w:ascii="Times New Roman" w:eastAsia="Times New Roman" w:hAnsi="Times New Roman" w:cs="Times New Roman"/>
          <w:sz w:val="28"/>
          <w:szCs w:val="24"/>
          <w:lang w:val="en-US"/>
        </w:rPr>
        <w:t xml:space="preserve">. – </w:t>
      </w:r>
      <w:proofErr w:type="spellStart"/>
      <w:r w:rsidRPr="00D21805">
        <w:rPr>
          <w:rFonts w:ascii="Times New Roman" w:eastAsia="Times New Roman" w:hAnsi="Times New Roman" w:cs="Times New Roman"/>
          <w:sz w:val="28"/>
          <w:szCs w:val="24"/>
        </w:rPr>
        <w:t>Яз</w:t>
      </w:r>
      <w:proofErr w:type="spellEnd"/>
      <w:r w:rsidRPr="00D21805">
        <w:rPr>
          <w:rFonts w:ascii="Times New Roman" w:eastAsia="Times New Roman" w:hAnsi="Times New Roman" w:cs="Times New Roman"/>
          <w:sz w:val="28"/>
          <w:szCs w:val="24"/>
          <w:lang w:val="en-US"/>
        </w:rPr>
        <w:t xml:space="preserve">. </w:t>
      </w:r>
      <w:proofErr w:type="spellStart"/>
      <w:r w:rsidRPr="00D21805">
        <w:rPr>
          <w:rFonts w:ascii="Times New Roman" w:eastAsia="Times New Roman" w:hAnsi="Times New Roman" w:cs="Times New Roman"/>
          <w:sz w:val="28"/>
          <w:szCs w:val="24"/>
        </w:rPr>
        <w:t>англ</w:t>
      </w:r>
      <w:proofErr w:type="spellEnd"/>
      <w:r w:rsidRPr="00D21805">
        <w:rPr>
          <w:rFonts w:ascii="Times New Roman" w:eastAsia="Times New Roman" w:hAnsi="Times New Roman" w:cs="Times New Roman"/>
          <w:sz w:val="28"/>
          <w:szCs w:val="24"/>
          <w:lang w:val="en-US"/>
        </w:rPr>
        <w:t>.</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proofErr w:type="spellStart"/>
      <w:r w:rsidRPr="00D21805">
        <w:rPr>
          <w:rFonts w:ascii="Times New Roman" w:eastAsia="Times New Roman" w:hAnsi="Times New Roman" w:cs="Times New Roman"/>
          <w:sz w:val="28"/>
          <w:szCs w:val="24"/>
        </w:rPr>
        <w:t>Гузов</w:t>
      </w:r>
      <w:proofErr w:type="spellEnd"/>
      <w:r w:rsidRPr="00D21805">
        <w:rPr>
          <w:rFonts w:ascii="Times New Roman" w:eastAsia="Times New Roman" w:hAnsi="Times New Roman" w:cs="Times New Roman"/>
          <w:sz w:val="28"/>
          <w:szCs w:val="24"/>
        </w:rPr>
        <w:t xml:space="preserve"> Ю. Н. Теоретические основы аудита системы внутреннего контроля / Ю. Н. </w:t>
      </w:r>
      <w:proofErr w:type="spellStart"/>
      <w:r w:rsidRPr="00D21805">
        <w:rPr>
          <w:rFonts w:ascii="Times New Roman" w:eastAsia="Times New Roman" w:hAnsi="Times New Roman" w:cs="Times New Roman"/>
          <w:sz w:val="28"/>
          <w:szCs w:val="24"/>
        </w:rPr>
        <w:t>Гузов</w:t>
      </w:r>
      <w:proofErr w:type="spellEnd"/>
      <w:r w:rsidRPr="00D21805">
        <w:rPr>
          <w:rFonts w:ascii="Times New Roman" w:eastAsia="Times New Roman" w:hAnsi="Times New Roman" w:cs="Times New Roman"/>
          <w:sz w:val="28"/>
          <w:szCs w:val="24"/>
        </w:rPr>
        <w:t xml:space="preserve">, Л. Г. </w:t>
      </w:r>
      <w:proofErr w:type="spellStart"/>
      <w:r w:rsidRPr="00D21805">
        <w:rPr>
          <w:rFonts w:ascii="Times New Roman" w:eastAsia="Times New Roman" w:hAnsi="Times New Roman" w:cs="Times New Roman"/>
          <w:sz w:val="28"/>
          <w:szCs w:val="24"/>
        </w:rPr>
        <w:t>Пересторонина</w:t>
      </w:r>
      <w:proofErr w:type="spellEnd"/>
      <w:r w:rsidRPr="00D21805">
        <w:rPr>
          <w:rFonts w:ascii="Times New Roman" w:eastAsia="Times New Roman" w:hAnsi="Times New Roman" w:cs="Times New Roman"/>
          <w:sz w:val="28"/>
          <w:szCs w:val="24"/>
        </w:rPr>
        <w:t>, О. В. Стрельникова // Аудиторские ведомости. - 2015. - № 12. - С. 15 - 25.</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 xml:space="preserve">Корниенко О. Ю., Макарова В. А. Актуальные вопросы оценки эффективности корпоративного </w:t>
      </w:r>
      <w:proofErr w:type="gramStart"/>
      <w:r w:rsidRPr="00D21805">
        <w:rPr>
          <w:rFonts w:ascii="Times New Roman" w:eastAsia="Times New Roman" w:hAnsi="Times New Roman" w:cs="Times New Roman"/>
          <w:sz w:val="28"/>
          <w:szCs w:val="24"/>
        </w:rPr>
        <w:t>риск-менеджмента</w:t>
      </w:r>
      <w:proofErr w:type="gramEnd"/>
      <w:r w:rsidRPr="00D21805">
        <w:rPr>
          <w:rFonts w:ascii="Times New Roman" w:eastAsia="Times New Roman" w:hAnsi="Times New Roman" w:cs="Times New Roman"/>
          <w:sz w:val="28"/>
          <w:szCs w:val="24"/>
        </w:rPr>
        <w:t>: монография / О. Ю. Корниенко, В. А. Макарова. – Санкт-Петербург: Издател</w:t>
      </w:r>
      <w:r w:rsidRPr="00D21805">
        <w:rPr>
          <w:rFonts w:ascii="Times New Roman" w:eastAsia="Times New Roman" w:hAnsi="Times New Roman" w:cs="Times New Roman"/>
          <w:sz w:val="28"/>
          <w:szCs w:val="24"/>
        </w:rPr>
        <w:t>ь</w:t>
      </w:r>
      <w:r w:rsidRPr="00D21805">
        <w:rPr>
          <w:rFonts w:ascii="Times New Roman" w:eastAsia="Times New Roman" w:hAnsi="Times New Roman" w:cs="Times New Roman"/>
          <w:sz w:val="28"/>
          <w:szCs w:val="24"/>
        </w:rPr>
        <w:t>ство Политехнического университета, 2015. - 279 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proofErr w:type="spellStart"/>
      <w:r w:rsidRPr="00D21805">
        <w:rPr>
          <w:rFonts w:ascii="Times New Roman" w:eastAsia="Times New Roman" w:hAnsi="Times New Roman" w:cs="Times New Roman"/>
          <w:sz w:val="28"/>
          <w:szCs w:val="24"/>
        </w:rPr>
        <w:t>Кучерова</w:t>
      </w:r>
      <w:proofErr w:type="spellEnd"/>
      <w:r w:rsidRPr="00D21805">
        <w:rPr>
          <w:rFonts w:ascii="Times New Roman" w:eastAsia="Times New Roman" w:hAnsi="Times New Roman" w:cs="Times New Roman"/>
          <w:sz w:val="28"/>
          <w:szCs w:val="24"/>
        </w:rPr>
        <w:t xml:space="preserve"> Е. К вопросу об оценке эффективности внутреннего ф</w:t>
      </w:r>
      <w:r w:rsidRPr="00D21805">
        <w:rPr>
          <w:rFonts w:ascii="Times New Roman" w:eastAsia="Times New Roman" w:hAnsi="Times New Roman" w:cs="Times New Roman"/>
          <w:sz w:val="28"/>
          <w:szCs w:val="24"/>
        </w:rPr>
        <w:t>и</w:t>
      </w:r>
      <w:r w:rsidRPr="00D21805">
        <w:rPr>
          <w:rFonts w:ascii="Times New Roman" w:eastAsia="Times New Roman" w:hAnsi="Times New Roman" w:cs="Times New Roman"/>
          <w:sz w:val="28"/>
          <w:szCs w:val="24"/>
        </w:rPr>
        <w:t xml:space="preserve">нансового контроля организации [Электронный ресурс] / Е. </w:t>
      </w:r>
      <w:proofErr w:type="spellStart"/>
      <w:r w:rsidRPr="00D21805">
        <w:rPr>
          <w:rFonts w:ascii="Times New Roman" w:eastAsia="Times New Roman" w:hAnsi="Times New Roman" w:cs="Times New Roman"/>
          <w:sz w:val="28"/>
          <w:szCs w:val="24"/>
        </w:rPr>
        <w:t>Куч</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рова</w:t>
      </w:r>
      <w:proofErr w:type="spellEnd"/>
      <w:r w:rsidRPr="00D21805">
        <w:rPr>
          <w:rFonts w:ascii="Times New Roman" w:eastAsia="Times New Roman" w:hAnsi="Times New Roman" w:cs="Times New Roman"/>
          <w:sz w:val="28"/>
          <w:szCs w:val="24"/>
        </w:rPr>
        <w:t>, Н. Черепанова, Е. Останина // Вестник Кузбасского госуда</w:t>
      </w:r>
      <w:r w:rsidRPr="00D21805">
        <w:rPr>
          <w:rFonts w:ascii="Times New Roman" w:eastAsia="Times New Roman" w:hAnsi="Times New Roman" w:cs="Times New Roman"/>
          <w:sz w:val="28"/>
          <w:szCs w:val="24"/>
        </w:rPr>
        <w:t>р</w:t>
      </w:r>
      <w:r w:rsidRPr="00D21805">
        <w:rPr>
          <w:rFonts w:ascii="Times New Roman" w:eastAsia="Times New Roman" w:hAnsi="Times New Roman" w:cs="Times New Roman"/>
          <w:sz w:val="28"/>
          <w:szCs w:val="24"/>
        </w:rPr>
        <w:t>ственного технического университета. – Режим доступа: http://science. kuzstu.ru/wp-</w:t>
      </w:r>
      <w:r w:rsidRPr="00D21805">
        <w:rPr>
          <w:rFonts w:ascii="Times New Roman" w:eastAsia="Times New Roman" w:hAnsi="Times New Roman" w:cs="Times New Roman"/>
          <w:sz w:val="28"/>
          <w:szCs w:val="24"/>
        </w:rPr>
        <w:lastRenderedPageBreak/>
        <w:t xml:space="preserve">content/Events/Conference/Other/2015/ekonom/pages/Articles/4/ Kucherova.pdf,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О бухгалтерском учёте: федеральный закон от 6 декабря 2011 г. № 402-ФЗ (ред. от 23.05.2016 г.) // Справочная правовая система «</w:t>
      </w:r>
      <w:proofErr w:type="spellStart"/>
      <w:r w:rsidRPr="00D21805">
        <w:rPr>
          <w:rFonts w:ascii="Times New Roman" w:eastAsia="Times New Roman" w:hAnsi="Times New Roman" w:cs="Times New Roman"/>
          <w:sz w:val="28"/>
          <w:szCs w:val="24"/>
        </w:rPr>
        <w:t>КонсультантПлюс</w:t>
      </w:r>
      <w:proofErr w:type="spellEnd"/>
      <w:r w:rsidRPr="00D21805">
        <w:rPr>
          <w:rFonts w:ascii="Times New Roman" w:eastAsia="Times New Roman" w:hAnsi="Times New Roman" w:cs="Times New Roman"/>
          <w:sz w:val="28"/>
          <w:szCs w:val="24"/>
        </w:rPr>
        <w:t>», 2017</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Серебрякова Т. Ю. К вопросу об оценке эффективности внутренн</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го контроля потребительского общества / Т. Ю. Серебрякова // С</w:t>
      </w:r>
      <w:r w:rsidRPr="00D21805">
        <w:rPr>
          <w:rFonts w:ascii="Times New Roman" w:eastAsia="Times New Roman" w:hAnsi="Times New Roman" w:cs="Times New Roman"/>
          <w:sz w:val="28"/>
          <w:szCs w:val="24"/>
        </w:rPr>
        <w:t>о</w:t>
      </w:r>
      <w:r w:rsidRPr="00D21805">
        <w:rPr>
          <w:rFonts w:ascii="Times New Roman" w:eastAsia="Times New Roman" w:hAnsi="Times New Roman" w:cs="Times New Roman"/>
          <w:sz w:val="28"/>
          <w:szCs w:val="24"/>
        </w:rPr>
        <w:t xml:space="preserve">временные проблемы науки и образования. – 2013. – № 5. – С. 49-53 </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Счётная палата Российской Федерации. Аналитические отчётные формы по мероприятиям за 2016 год [Электронный ресурс]. - Р</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 xml:space="preserve">жим доступа: http://results.audit.gov.ru/reports/,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Счётная палата Российской Федерации. Перечисленные ОАО «</w:t>
      </w:r>
      <w:proofErr w:type="spellStart"/>
      <w:r w:rsidRPr="00D21805">
        <w:rPr>
          <w:rFonts w:ascii="Times New Roman" w:eastAsia="Times New Roman" w:hAnsi="Times New Roman" w:cs="Times New Roman"/>
          <w:sz w:val="28"/>
          <w:szCs w:val="24"/>
        </w:rPr>
        <w:t>Р</w:t>
      </w:r>
      <w:r w:rsidRPr="00D21805">
        <w:rPr>
          <w:rFonts w:ascii="Times New Roman" w:eastAsia="Times New Roman" w:hAnsi="Times New Roman" w:cs="Times New Roman"/>
          <w:sz w:val="28"/>
          <w:szCs w:val="24"/>
        </w:rPr>
        <w:t>у</w:t>
      </w:r>
      <w:r w:rsidRPr="00D21805">
        <w:rPr>
          <w:rFonts w:ascii="Times New Roman" w:eastAsia="Times New Roman" w:hAnsi="Times New Roman" w:cs="Times New Roman"/>
          <w:sz w:val="28"/>
          <w:szCs w:val="24"/>
        </w:rPr>
        <w:t>сГидро</w:t>
      </w:r>
      <w:proofErr w:type="spellEnd"/>
      <w:r w:rsidRPr="00D21805">
        <w:rPr>
          <w:rFonts w:ascii="Times New Roman" w:eastAsia="Times New Roman" w:hAnsi="Times New Roman" w:cs="Times New Roman"/>
          <w:sz w:val="28"/>
          <w:szCs w:val="24"/>
        </w:rPr>
        <w:t xml:space="preserve">» средства федерального бюджета в размере 50 </w:t>
      </w:r>
      <w:proofErr w:type="gramStart"/>
      <w:r w:rsidRPr="00D21805">
        <w:rPr>
          <w:rFonts w:ascii="Times New Roman" w:eastAsia="Times New Roman" w:hAnsi="Times New Roman" w:cs="Times New Roman"/>
          <w:sz w:val="28"/>
          <w:szCs w:val="24"/>
        </w:rPr>
        <w:t>млрд</w:t>
      </w:r>
      <w:proofErr w:type="gramEnd"/>
      <w:r w:rsidRPr="00D21805">
        <w:rPr>
          <w:rFonts w:ascii="Times New Roman" w:eastAsia="Times New Roman" w:hAnsi="Times New Roman" w:cs="Times New Roman"/>
          <w:sz w:val="28"/>
          <w:szCs w:val="24"/>
        </w:rPr>
        <w:t xml:space="preserve"> руб. не использованы – результат экспертно-аналитического мероприятия Счетной палаты. [Электронный ресурс]. – Режим доступа: http://www.ach.gov.ru/activities/control/552/,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 xml:space="preserve">Счётная палата Российской Федерации. Сроки введения в строй ряда объектов электроэнергетики на Дальнем Востоке остаются под угрозой срыва. [Электронный ресурс]. – Режим доступа: http://www.ach.gov.ru/activities/control/17827/,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Терехова Е. В. Инвестиционное право: публично-правовые начала: учебное пособие / Е. В. Терехова</w:t>
      </w:r>
      <w:proofErr w:type="gramStart"/>
      <w:r w:rsidRPr="00D21805">
        <w:rPr>
          <w:rFonts w:ascii="Times New Roman" w:eastAsia="Times New Roman" w:hAnsi="Times New Roman" w:cs="Times New Roman"/>
          <w:sz w:val="28"/>
          <w:szCs w:val="24"/>
        </w:rPr>
        <w:t xml:space="preserve"> .</w:t>
      </w:r>
      <w:proofErr w:type="gramEnd"/>
      <w:r w:rsidRPr="00D21805">
        <w:rPr>
          <w:rFonts w:ascii="Times New Roman" w:eastAsia="Times New Roman" w:hAnsi="Times New Roman" w:cs="Times New Roman"/>
          <w:sz w:val="28"/>
          <w:szCs w:val="24"/>
        </w:rPr>
        <w:t xml:space="preserve"> - Москва: РГУП, 2015. - 294 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Федеральная служба государственной статистики. Динамика деб</w:t>
      </w:r>
      <w:r w:rsidRPr="00D21805">
        <w:rPr>
          <w:rFonts w:ascii="Times New Roman" w:eastAsia="Times New Roman" w:hAnsi="Times New Roman" w:cs="Times New Roman"/>
          <w:sz w:val="28"/>
          <w:szCs w:val="24"/>
        </w:rPr>
        <w:t>и</w:t>
      </w:r>
      <w:r w:rsidRPr="00D21805">
        <w:rPr>
          <w:rFonts w:ascii="Times New Roman" w:eastAsia="Times New Roman" w:hAnsi="Times New Roman" w:cs="Times New Roman"/>
          <w:sz w:val="28"/>
          <w:szCs w:val="24"/>
        </w:rPr>
        <w:t>торской задолженности организаций (без субъектов малого пре</w:t>
      </w:r>
      <w:r w:rsidRPr="00D21805">
        <w:rPr>
          <w:rFonts w:ascii="Times New Roman" w:eastAsia="Times New Roman" w:hAnsi="Times New Roman" w:cs="Times New Roman"/>
          <w:sz w:val="28"/>
          <w:szCs w:val="24"/>
        </w:rPr>
        <w:t>д</w:t>
      </w:r>
      <w:r w:rsidRPr="00D21805">
        <w:rPr>
          <w:rFonts w:ascii="Times New Roman" w:eastAsia="Times New Roman" w:hAnsi="Times New Roman" w:cs="Times New Roman"/>
          <w:sz w:val="28"/>
          <w:szCs w:val="24"/>
        </w:rPr>
        <w:t xml:space="preserve">принимательства) Российской Федерации [Электронный ресурс]. – Режим доступа: http:// </w:t>
      </w:r>
      <w:r w:rsidRPr="00D21805">
        <w:rPr>
          <w:rFonts w:ascii="Times New Roman" w:eastAsia="Times New Roman" w:hAnsi="Times New Roman" w:cs="Times New Roman"/>
          <w:sz w:val="28"/>
          <w:szCs w:val="24"/>
        </w:rPr>
        <w:lastRenderedPageBreak/>
        <w:t>www.gks.ru/</w:t>
      </w:r>
      <w:proofErr w:type="spellStart"/>
      <w:r w:rsidRPr="00D21805">
        <w:rPr>
          <w:rFonts w:ascii="Times New Roman" w:eastAsia="Times New Roman" w:hAnsi="Times New Roman" w:cs="Times New Roman"/>
          <w:sz w:val="28"/>
          <w:szCs w:val="24"/>
        </w:rPr>
        <w:t>free_doc</w:t>
      </w:r>
      <w:proofErr w:type="spellEnd"/>
      <w:r w:rsidRPr="00D21805">
        <w:rPr>
          <w:rFonts w:ascii="Times New Roman" w:eastAsia="Times New Roman" w:hAnsi="Times New Roman" w:cs="Times New Roman"/>
          <w:sz w:val="28"/>
          <w:szCs w:val="24"/>
        </w:rPr>
        <w:t>/</w:t>
      </w:r>
      <w:proofErr w:type="spellStart"/>
      <w:r w:rsidRPr="00D21805">
        <w:rPr>
          <w:rFonts w:ascii="Times New Roman" w:eastAsia="Times New Roman" w:hAnsi="Times New Roman" w:cs="Times New Roman"/>
          <w:sz w:val="28"/>
          <w:szCs w:val="24"/>
        </w:rPr>
        <w:t>new_site</w:t>
      </w:r>
      <w:proofErr w:type="spellEnd"/>
      <w:r w:rsidRPr="00D21805">
        <w:rPr>
          <w:rFonts w:ascii="Times New Roman" w:eastAsia="Times New Roman" w:hAnsi="Times New Roman" w:cs="Times New Roman"/>
          <w:sz w:val="28"/>
          <w:szCs w:val="24"/>
        </w:rPr>
        <w:t>/</w:t>
      </w:r>
      <w:proofErr w:type="spellStart"/>
      <w:r w:rsidRPr="00D21805">
        <w:rPr>
          <w:rFonts w:ascii="Times New Roman" w:eastAsia="Times New Roman" w:hAnsi="Times New Roman" w:cs="Times New Roman"/>
          <w:sz w:val="28"/>
          <w:szCs w:val="24"/>
        </w:rPr>
        <w:t>finans</w:t>
      </w:r>
      <w:proofErr w:type="spellEnd"/>
      <w:r w:rsidRPr="00D21805">
        <w:rPr>
          <w:rFonts w:ascii="Times New Roman" w:eastAsia="Times New Roman" w:hAnsi="Times New Roman" w:cs="Times New Roman"/>
          <w:sz w:val="28"/>
          <w:szCs w:val="24"/>
        </w:rPr>
        <w:t xml:space="preserve">/dindz.htm,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Федеральная служба государственной статистики. Динамика кр</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диторской задолженности организаций (без субъектов малого предпринимательства) Российской Федерации [Электронный р</w:t>
      </w:r>
      <w:r w:rsidRPr="00D21805">
        <w:rPr>
          <w:rFonts w:ascii="Times New Roman" w:eastAsia="Times New Roman" w:hAnsi="Times New Roman" w:cs="Times New Roman"/>
          <w:sz w:val="28"/>
          <w:szCs w:val="24"/>
        </w:rPr>
        <w:t>е</w:t>
      </w:r>
      <w:r w:rsidRPr="00D21805">
        <w:rPr>
          <w:rFonts w:ascii="Times New Roman" w:eastAsia="Times New Roman" w:hAnsi="Times New Roman" w:cs="Times New Roman"/>
          <w:sz w:val="28"/>
          <w:szCs w:val="24"/>
        </w:rPr>
        <w:t xml:space="preserve">сурс]. – Режим доступа: http://www.gks.ru/free_doc/new_site/finans/dinkz.htm,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Федеральная служба государственной статистики. Структура з</w:t>
      </w:r>
      <w:r w:rsidRPr="00D21805">
        <w:rPr>
          <w:rFonts w:ascii="Times New Roman" w:eastAsia="Times New Roman" w:hAnsi="Times New Roman" w:cs="Times New Roman"/>
          <w:sz w:val="28"/>
          <w:szCs w:val="24"/>
        </w:rPr>
        <w:t>а</w:t>
      </w:r>
      <w:r w:rsidRPr="00D21805">
        <w:rPr>
          <w:rFonts w:ascii="Times New Roman" w:eastAsia="Times New Roman" w:hAnsi="Times New Roman" w:cs="Times New Roman"/>
          <w:sz w:val="28"/>
          <w:szCs w:val="24"/>
        </w:rPr>
        <w:t>долженности по налоговым платежам и сборам в консолидирова</w:t>
      </w:r>
      <w:r w:rsidRPr="00D21805">
        <w:rPr>
          <w:rFonts w:ascii="Times New Roman" w:eastAsia="Times New Roman" w:hAnsi="Times New Roman" w:cs="Times New Roman"/>
          <w:sz w:val="28"/>
          <w:szCs w:val="24"/>
        </w:rPr>
        <w:t>н</w:t>
      </w:r>
      <w:r w:rsidRPr="00D21805">
        <w:rPr>
          <w:rFonts w:ascii="Times New Roman" w:eastAsia="Times New Roman" w:hAnsi="Times New Roman" w:cs="Times New Roman"/>
          <w:sz w:val="28"/>
          <w:szCs w:val="24"/>
        </w:rPr>
        <w:t>ный бюджет Российской Федерации на 1 января 2017 года [Эле</w:t>
      </w:r>
      <w:r w:rsidRPr="00D21805">
        <w:rPr>
          <w:rFonts w:ascii="Times New Roman" w:eastAsia="Times New Roman" w:hAnsi="Times New Roman" w:cs="Times New Roman"/>
          <w:sz w:val="28"/>
          <w:szCs w:val="24"/>
        </w:rPr>
        <w:t>к</w:t>
      </w:r>
      <w:r w:rsidRPr="00D21805">
        <w:rPr>
          <w:rFonts w:ascii="Times New Roman" w:eastAsia="Times New Roman" w:hAnsi="Times New Roman" w:cs="Times New Roman"/>
          <w:sz w:val="28"/>
          <w:szCs w:val="24"/>
        </w:rPr>
        <w:t xml:space="preserve">тронный ресурс]. – Режим доступа: </w:t>
      </w:r>
      <w:proofErr w:type="spellStart"/>
      <w:r w:rsidRPr="00D21805">
        <w:rPr>
          <w:rFonts w:ascii="Times New Roman" w:eastAsia="Times New Roman" w:hAnsi="Times New Roman" w:cs="Times New Roman"/>
          <w:sz w:val="28"/>
          <w:szCs w:val="24"/>
        </w:rPr>
        <w:t>gks.ru›free_doc</w:t>
      </w:r>
      <w:proofErr w:type="spellEnd"/>
      <w:r w:rsidRPr="00D21805">
        <w:rPr>
          <w:rFonts w:ascii="Times New Roman" w:eastAsia="Times New Roman" w:hAnsi="Times New Roman" w:cs="Times New Roman"/>
          <w:sz w:val="28"/>
          <w:szCs w:val="24"/>
        </w:rPr>
        <w:t>/</w:t>
      </w:r>
      <w:proofErr w:type="spellStart"/>
      <w:r w:rsidRPr="00D21805">
        <w:rPr>
          <w:rFonts w:ascii="Times New Roman" w:eastAsia="Times New Roman" w:hAnsi="Times New Roman" w:cs="Times New Roman"/>
          <w:sz w:val="28"/>
          <w:szCs w:val="24"/>
        </w:rPr>
        <w:t>new_site</w:t>
      </w:r>
      <w:proofErr w:type="spellEnd"/>
      <w:r w:rsidRPr="00D21805">
        <w:rPr>
          <w:rFonts w:ascii="Times New Roman" w:eastAsia="Times New Roman" w:hAnsi="Times New Roman" w:cs="Times New Roman"/>
          <w:sz w:val="28"/>
          <w:szCs w:val="24"/>
        </w:rPr>
        <w:t>/</w:t>
      </w:r>
      <w:proofErr w:type="spellStart"/>
      <w:r w:rsidRPr="00D21805">
        <w:rPr>
          <w:rFonts w:ascii="Times New Roman" w:eastAsia="Times New Roman" w:hAnsi="Times New Roman" w:cs="Times New Roman"/>
          <w:sz w:val="28"/>
          <w:szCs w:val="24"/>
        </w:rPr>
        <w:t>finans</w:t>
      </w:r>
      <w:proofErr w:type="spellEnd"/>
      <w:r w:rsidRPr="00D21805">
        <w:rPr>
          <w:rFonts w:ascii="Times New Roman" w:eastAsia="Times New Roman" w:hAnsi="Times New Roman" w:cs="Times New Roman"/>
          <w:sz w:val="28"/>
          <w:szCs w:val="24"/>
        </w:rPr>
        <w:t xml:space="preserve">/fin24.doc,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w:t>
      </w:r>
      <w:r w:rsidRPr="00D21805">
        <w:rPr>
          <w:rFonts w:ascii="Times New Roman" w:eastAsia="Times New Roman" w:hAnsi="Times New Roman" w:cs="Times New Roman"/>
          <w:sz w:val="28"/>
          <w:szCs w:val="24"/>
        </w:rPr>
        <w:t>а</w:t>
      </w:r>
      <w:r w:rsidRPr="00D21805">
        <w:rPr>
          <w:rFonts w:ascii="Times New Roman" w:eastAsia="Times New Roman" w:hAnsi="Times New Roman" w:cs="Times New Roman"/>
          <w:sz w:val="28"/>
          <w:szCs w:val="24"/>
        </w:rPr>
        <w:t>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F22601" w:rsidRPr="00D21805" w:rsidRDefault="00F22601" w:rsidP="00F22601">
      <w:pPr>
        <w:numPr>
          <w:ilvl w:val="0"/>
          <w:numId w:val="26"/>
        </w:numPr>
        <w:tabs>
          <w:tab w:val="left" w:pos="1134"/>
        </w:tabs>
        <w:spacing w:after="200" w:line="360" w:lineRule="auto"/>
        <w:contextualSpacing/>
        <w:jc w:val="both"/>
        <w:rPr>
          <w:rFonts w:ascii="Times New Roman" w:eastAsia="Times New Roman" w:hAnsi="Times New Roman" w:cs="Times New Roman"/>
          <w:sz w:val="28"/>
          <w:szCs w:val="24"/>
        </w:rPr>
      </w:pPr>
      <w:r w:rsidRPr="00D21805">
        <w:rPr>
          <w:rFonts w:ascii="Times New Roman" w:eastAsia="Times New Roman" w:hAnsi="Times New Roman" w:cs="Times New Roman"/>
          <w:sz w:val="28"/>
          <w:szCs w:val="24"/>
        </w:rPr>
        <w:t>ФИНАМ. ФНС внедряет горизонтальный мониторинг в отношении «</w:t>
      </w:r>
      <w:proofErr w:type="spellStart"/>
      <w:r w:rsidRPr="00D21805">
        <w:rPr>
          <w:rFonts w:ascii="Times New Roman" w:eastAsia="Times New Roman" w:hAnsi="Times New Roman" w:cs="Times New Roman"/>
          <w:sz w:val="28"/>
          <w:szCs w:val="24"/>
        </w:rPr>
        <w:t>РусГидро</w:t>
      </w:r>
      <w:proofErr w:type="spellEnd"/>
      <w:r w:rsidRPr="00D21805">
        <w:rPr>
          <w:rFonts w:ascii="Times New Roman" w:eastAsia="Times New Roman" w:hAnsi="Times New Roman" w:cs="Times New Roman"/>
          <w:sz w:val="28"/>
          <w:szCs w:val="24"/>
        </w:rPr>
        <w:t>», «</w:t>
      </w:r>
      <w:proofErr w:type="spellStart"/>
      <w:r w:rsidRPr="00D21805">
        <w:rPr>
          <w:rFonts w:ascii="Times New Roman" w:eastAsia="Times New Roman" w:hAnsi="Times New Roman" w:cs="Times New Roman"/>
          <w:sz w:val="28"/>
          <w:szCs w:val="24"/>
        </w:rPr>
        <w:t>Интер</w:t>
      </w:r>
      <w:proofErr w:type="spellEnd"/>
      <w:r w:rsidRPr="00D21805">
        <w:rPr>
          <w:rFonts w:ascii="Times New Roman" w:eastAsia="Times New Roman" w:hAnsi="Times New Roman" w:cs="Times New Roman"/>
          <w:sz w:val="28"/>
          <w:szCs w:val="24"/>
        </w:rPr>
        <w:t xml:space="preserve"> РАО ЕЭС» и МТС. [Электронный ресурс]. – Режим доступа: http://www.finam.ru/analysis/newsitem6F554/default.asp, свободный. – </w:t>
      </w:r>
      <w:proofErr w:type="spellStart"/>
      <w:r w:rsidRPr="00D21805">
        <w:rPr>
          <w:rFonts w:ascii="Times New Roman" w:eastAsia="Times New Roman" w:hAnsi="Times New Roman" w:cs="Times New Roman"/>
          <w:sz w:val="28"/>
          <w:szCs w:val="24"/>
        </w:rPr>
        <w:t>Загл</w:t>
      </w:r>
      <w:proofErr w:type="spellEnd"/>
      <w:r w:rsidRPr="00D21805">
        <w:rPr>
          <w:rFonts w:ascii="Times New Roman" w:eastAsia="Times New Roman" w:hAnsi="Times New Roman" w:cs="Times New Roman"/>
          <w:sz w:val="28"/>
          <w:szCs w:val="24"/>
        </w:rPr>
        <w:t>. с экрана. – Яз</w:t>
      </w:r>
      <w:proofErr w:type="gramStart"/>
      <w:r w:rsidRPr="00D21805">
        <w:rPr>
          <w:rFonts w:ascii="Times New Roman" w:eastAsia="Times New Roman" w:hAnsi="Times New Roman" w:cs="Times New Roman"/>
          <w:sz w:val="28"/>
          <w:szCs w:val="24"/>
        </w:rPr>
        <w:t>.</w:t>
      </w:r>
      <w:proofErr w:type="gramEnd"/>
      <w:r w:rsidRPr="00D21805">
        <w:rPr>
          <w:rFonts w:ascii="Times New Roman" w:eastAsia="Times New Roman" w:hAnsi="Times New Roman" w:cs="Times New Roman"/>
          <w:sz w:val="28"/>
          <w:szCs w:val="24"/>
        </w:rPr>
        <w:t xml:space="preserve"> </w:t>
      </w:r>
      <w:proofErr w:type="gramStart"/>
      <w:r w:rsidRPr="00D21805">
        <w:rPr>
          <w:rFonts w:ascii="Times New Roman" w:eastAsia="Times New Roman" w:hAnsi="Times New Roman" w:cs="Times New Roman"/>
          <w:sz w:val="28"/>
          <w:szCs w:val="24"/>
        </w:rPr>
        <w:t>р</w:t>
      </w:r>
      <w:proofErr w:type="gramEnd"/>
      <w:r w:rsidRPr="00D21805">
        <w:rPr>
          <w:rFonts w:ascii="Times New Roman" w:eastAsia="Times New Roman" w:hAnsi="Times New Roman" w:cs="Times New Roman"/>
          <w:sz w:val="28"/>
          <w:szCs w:val="24"/>
        </w:rPr>
        <w:t>ус.</w:t>
      </w:r>
    </w:p>
    <w:p w:rsidR="00B25BC0" w:rsidRDefault="00B25BC0" w:rsidP="00F22601">
      <w:pPr>
        <w:tabs>
          <w:tab w:val="left" w:pos="1134"/>
        </w:tabs>
        <w:spacing w:after="200" w:line="360" w:lineRule="auto"/>
        <w:ind w:left="709"/>
        <w:contextualSpacing/>
        <w:jc w:val="both"/>
        <w:rPr>
          <w:rFonts w:ascii="Times New Roman" w:hAnsi="Times New Roman" w:cs="Times New Roman"/>
          <w:sz w:val="28"/>
          <w:szCs w:val="24"/>
          <w:lang w:val="en-US"/>
        </w:rPr>
      </w:pPr>
    </w:p>
    <w:p w:rsidR="00FA6EA8" w:rsidRPr="00B25BC0" w:rsidRDefault="00B25BC0" w:rsidP="00F22601">
      <w:pPr>
        <w:tabs>
          <w:tab w:val="left" w:pos="1134"/>
        </w:tabs>
        <w:spacing w:after="200" w:line="360" w:lineRule="auto"/>
        <w:ind w:left="709"/>
        <w:contextualSpacing/>
        <w:jc w:val="both"/>
        <w:rPr>
          <w:rFonts w:ascii="Times New Roman" w:hAnsi="Times New Roman" w:cs="Times New Roman"/>
          <w:b/>
          <w:sz w:val="28"/>
          <w:szCs w:val="24"/>
          <w:lang w:val="en-US"/>
        </w:rPr>
      </w:pPr>
      <w:r w:rsidRPr="00B25BC0">
        <w:rPr>
          <w:rFonts w:ascii="Times New Roman" w:hAnsi="Times New Roman" w:cs="Times New Roman"/>
          <w:b/>
          <w:sz w:val="28"/>
          <w:szCs w:val="24"/>
          <w:lang w:val="en-US"/>
        </w:rPr>
        <w:t>References</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w:t>
      </w:r>
      <w:r w:rsidRPr="00B25BC0">
        <w:rPr>
          <w:rFonts w:ascii="Times New Roman" w:hAnsi="Times New Roman" w:cs="Times New Roman"/>
          <w:sz w:val="28"/>
          <w:szCs w:val="24"/>
          <w:lang w:val="en-US"/>
        </w:rPr>
        <w:tab/>
      </w:r>
      <w:proofErr w:type="spellStart"/>
      <w:r w:rsidRPr="00B25BC0">
        <w:rPr>
          <w:rFonts w:ascii="Times New Roman" w:hAnsi="Times New Roman" w:cs="Times New Roman"/>
          <w:sz w:val="28"/>
          <w:szCs w:val="24"/>
          <w:lang w:val="en-US"/>
        </w:rPr>
        <w:t>Ernst&amp;Young</w:t>
      </w:r>
      <w:proofErr w:type="spellEnd"/>
      <w:r w:rsidRPr="00B25BC0">
        <w:rPr>
          <w:rFonts w:ascii="Times New Roman" w:hAnsi="Times New Roman" w:cs="Times New Roman"/>
          <w:sz w:val="28"/>
          <w:szCs w:val="24"/>
          <w:lang w:val="en-US"/>
        </w:rPr>
        <w:t xml:space="preserve">. </w:t>
      </w:r>
      <w:proofErr w:type="spellStart"/>
      <w:proofErr w:type="gramStart"/>
      <w:r w:rsidRPr="00B25BC0">
        <w:rPr>
          <w:rFonts w:ascii="Times New Roman" w:hAnsi="Times New Roman" w:cs="Times New Roman"/>
          <w:sz w:val="28"/>
          <w:szCs w:val="24"/>
          <w:lang w:val="en-US"/>
        </w:rPr>
        <w:t>Issledovaniye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tekushchego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sostoyaniya</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i</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tendentsiy</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razvitiya</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vnutrennego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audita</w:t>
      </w:r>
      <w:proofErr w:type="spellEnd"/>
      <w:r w:rsidRPr="00B25BC0">
        <w:rPr>
          <w:rFonts w:ascii="Times New Roman" w:hAnsi="Times New Roman" w:cs="Times New Roman"/>
          <w:sz w:val="28"/>
          <w:szCs w:val="24"/>
          <w:lang w:val="en-US"/>
        </w:rPr>
        <w:t xml:space="preserve"> v </w:t>
      </w:r>
      <w:proofErr w:type="spellStart"/>
      <w:r w:rsidRPr="00B25BC0">
        <w:rPr>
          <w:rFonts w:ascii="Times New Roman" w:hAnsi="Times New Roman" w:cs="Times New Roman"/>
          <w:sz w:val="28"/>
          <w:szCs w:val="24"/>
          <w:lang w:val="en-US"/>
        </w:rPr>
        <w:t>Rossii</w:t>
      </w:r>
      <w:proofErr w:type="spellEnd"/>
      <w:r w:rsidRPr="00B25BC0">
        <w:rPr>
          <w:rFonts w:ascii="Times New Roman" w:hAnsi="Times New Roman" w:cs="Times New Roman"/>
          <w:sz w:val="28"/>
          <w:szCs w:val="24"/>
          <w:lang w:val="en-US"/>
        </w:rPr>
        <w:t xml:space="preserve"> (2005) [Research of the current state and tendencies of development of internal audit in Russia (2015)].</w:t>
      </w:r>
      <w:proofErr w:type="gramEnd"/>
      <w:r w:rsidRPr="00B25BC0">
        <w:rPr>
          <w:rFonts w:ascii="Times New Roman" w:hAnsi="Times New Roman" w:cs="Times New Roman"/>
          <w:sz w:val="28"/>
          <w:szCs w:val="24"/>
          <w:lang w:val="en-US"/>
        </w:rPr>
        <w:t xml:space="preserve"> URL: http://www.ey.com/Publication/vwLUAssets/EY-internal-audit-2016/ $File/EY-internal-audit-2016.pdf., free. [</w:t>
      </w:r>
      <w:proofErr w:type="gramStart"/>
      <w:r w:rsidRPr="00B25BC0">
        <w:rPr>
          <w:rFonts w:ascii="Times New Roman" w:hAnsi="Times New Roman" w:cs="Times New Roman"/>
          <w:sz w:val="28"/>
          <w:szCs w:val="24"/>
          <w:lang w:val="en-US"/>
        </w:rPr>
        <w:t>in</w:t>
      </w:r>
      <w:proofErr w:type="gramEnd"/>
      <w:r w:rsidRPr="00B25BC0">
        <w:rPr>
          <w:rFonts w:ascii="Times New Roman" w:hAnsi="Times New Roman" w:cs="Times New Roman"/>
          <w:sz w:val="28"/>
          <w:szCs w:val="24"/>
          <w:lang w:val="en-US"/>
        </w:rPr>
        <w:t xml:space="preserve">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2.</w:t>
      </w:r>
      <w:r w:rsidRPr="00B25BC0">
        <w:rPr>
          <w:rFonts w:ascii="Times New Roman" w:hAnsi="Times New Roman" w:cs="Times New Roman"/>
          <w:sz w:val="28"/>
          <w:szCs w:val="24"/>
          <w:lang w:val="en-US"/>
        </w:rPr>
        <w:tab/>
        <w:t>Hightower R. Internal Controls Policies and Procedures / R. Highto</w:t>
      </w:r>
      <w:r w:rsidRPr="00B25BC0">
        <w:rPr>
          <w:rFonts w:ascii="Times New Roman" w:hAnsi="Times New Roman" w:cs="Times New Roman"/>
          <w:sz w:val="28"/>
          <w:szCs w:val="24"/>
          <w:lang w:val="en-US"/>
        </w:rPr>
        <w:t>w</w:t>
      </w:r>
      <w:r w:rsidRPr="00B25BC0">
        <w:rPr>
          <w:rFonts w:ascii="Times New Roman" w:hAnsi="Times New Roman" w:cs="Times New Roman"/>
          <w:sz w:val="28"/>
          <w:szCs w:val="24"/>
          <w:lang w:val="en-US"/>
        </w:rPr>
        <w:t xml:space="preserve">er. – </w:t>
      </w:r>
      <w:proofErr w:type="spellStart"/>
      <w:r w:rsidRPr="00B25BC0">
        <w:rPr>
          <w:rFonts w:ascii="Times New Roman" w:hAnsi="Times New Roman" w:cs="Times New Roman"/>
          <w:sz w:val="28"/>
          <w:szCs w:val="24"/>
          <w:lang w:val="en-US"/>
        </w:rPr>
        <w:t>Eastbourne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Gardners</w:t>
      </w:r>
      <w:proofErr w:type="spellEnd"/>
      <w:r w:rsidRPr="00B25BC0">
        <w:rPr>
          <w:rFonts w:ascii="Times New Roman" w:hAnsi="Times New Roman" w:cs="Times New Roman"/>
          <w:sz w:val="28"/>
          <w:szCs w:val="24"/>
          <w:lang w:val="en-US"/>
        </w:rPr>
        <w:t xml:space="preserve"> Books, 2008. - 272 p.</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3.</w:t>
      </w:r>
      <w:r w:rsidRPr="00B25BC0">
        <w:rPr>
          <w:rFonts w:ascii="Times New Roman" w:hAnsi="Times New Roman" w:cs="Times New Roman"/>
          <w:sz w:val="28"/>
          <w:szCs w:val="24"/>
          <w:lang w:val="en-US"/>
        </w:rPr>
        <w:tab/>
        <w:t xml:space="preserve">Sarbanes–Oxley Act. </w:t>
      </w:r>
      <w:proofErr w:type="gramStart"/>
      <w:r w:rsidRPr="00B25BC0">
        <w:rPr>
          <w:rFonts w:ascii="Times New Roman" w:hAnsi="Times New Roman" w:cs="Times New Roman"/>
          <w:sz w:val="28"/>
          <w:szCs w:val="24"/>
          <w:lang w:val="en-US"/>
        </w:rPr>
        <w:t>[Electronic resource].</w:t>
      </w:r>
      <w:proofErr w:type="gramEnd"/>
      <w:r w:rsidRPr="00B25BC0">
        <w:rPr>
          <w:rFonts w:ascii="Times New Roman" w:hAnsi="Times New Roman" w:cs="Times New Roman"/>
          <w:sz w:val="28"/>
          <w:szCs w:val="24"/>
          <w:lang w:val="en-US"/>
        </w:rPr>
        <w:t xml:space="preserve"> – URL: http://www.sec. </w:t>
      </w:r>
      <w:proofErr w:type="spellStart"/>
      <w:r w:rsidRPr="00B25BC0">
        <w:rPr>
          <w:rFonts w:ascii="Times New Roman" w:hAnsi="Times New Roman" w:cs="Times New Roman"/>
          <w:sz w:val="28"/>
          <w:szCs w:val="24"/>
          <w:lang w:val="en-US"/>
        </w:rPr>
        <w:t>gov</w:t>
      </w:r>
      <w:proofErr w:type="spellEnd"/>
      <w:r w:rsidRPr="00B25BC0">
        <w:rPr>
          <w:rFonts w:ascii="Times New Roman" w:hAnsi="Times New Roman" w:cs="Times New Roman"/>
          <w:sz w:val="28"/>
          <w:szCs w:val="24"/>
          <w:lang w:val="en-US"/>
        </w:rPr>
        <w:t>/about/laws/soa2002.pdf</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lastRenderedPageBreak/>
        <w:t>4.</w:t>
      </w:r>
      <w:r w:rsidRPr="00B25BC0">
        <w:rPr>
          <w:rFonts w:ascii="Times New Roman" w:hAnsi="Times New Roman" w:cs="Times New Roman"/>
          <w:sz w:val="28"/>
          <w:szCs w:val="24"/>
          <w:lang w:val="en-US"/>
        </w:rPr>
        <w:tab/>
        <w:t>The Committee of Sponsoring Organizations of the Treadway Co</w:t>
      </w:r>
      <w:r w:rsidRPr="00B25BC0">
        <w:rPr>
          <w:rFonts w:ascii="Times New Roman" w:hAnsi="Times New Roman" w:cs="Times New Roman"/>
          <w:sz w:val="28"/>
          <w:szCs w:val="24"/>
          <w:lang w:val="en-US"/>
        </w:rPr>
        <w:t>m</w:t>
      </w:r>
      <w:r w:rsidRPr="00B25BC0">
        <w:rPr>
          <w:rFonts w:ascii="Times New Roman" w:hAnsi="Times New Roman" w:cs="Times New Roman"/>
          <w:sz w:val="28"/>
          <w:szCs w:val="24"/>
          <w:lang w:val="en-US"/>
        </w:rPr>
        <w:t xml:space="preserve">mission (COSO) Enterprise Risk Management – Integrated Framework. </w:t>
      </w:r>
      <w:proofErr w:type="gramStart"/>
      <w:r w:rsidRPr="00B25BC0">
        <w:rPr>
          <w:rFonts w:ascii="Times New Roman" w:hAnsi="Times New Roman" w:cs="Times New Roman"/>
          <w:sz w:val="28"/>
          <w:szCs w:val="24"/>
          <w:lang w:val="en-US"/>
        </w:rPr>
        <w:t>Guidance on Internal Control [Electronic resource].</w:t>
      </w:r>
      <w:proofErr w:type="gramEnd"/>
      <w:r w:rsidRPr="00B25BC0">
        <w:rPr>
          <w:rFonts w:ascii="Times New Roman" w:hAnsi="Times New Roman" w:cs="Times New Roman"/>
          <w:sz w:val="28"/>
          <w:szCs w:val="24"/>
          <w:lang w:val="en-US"/>
        </w:rPr>
        <w:t xml:space="preserve"> URL: http://www.coso.org/ doc</w:t>
      </w:r>
      <w:r w:rsidRPr="00B25BC0">
        <w:rPr>
          <w:rFonts w:ascii="Times New Roman" w:hAnsi="Times New Roman" w:cs="Times New Roman"/>
          <w:sz w:val="28"/>
          <w:szCs w:val="24"/>
          <w:lang w:val="en-US"/>
        </w:rPr>
        <w:t>u</w:t>
      </w:r>
      <w:r w:rsidRPr="00B25BC0">
        <w:rPr>
          <w:rFonts w:ascii="Times New Roman" w:hAnsi="Times New Roman" w:cs="Times New Roman"/>
          <w:sz w:val="28"/>
          <w:szCs w:val="24"/>
          <w:lang w:val="en-US"/>
        </w:rPr>
        <w:t>ments/COSO%20McNallyTransition%20Article-Final%20COSO%20 Version%20Proof_5-31-13.pdf</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5.</w:t>
      </w:r>
      <w:r w:rsidRPr="00B25BC0">
        <w:rPr>
          <w:rFonts w:ascii="Times New Roman" w:hAnsi="Times New Roman" w:cs="Times New Roman"/>
          <w:sz w:val="28"/>
          <w:szCs w:val="24"/>
          <w:lang w:val="en-US"/>
        </w:rPr>
        <w:tab/>
      </w:r>
      <w:proofErr w:type="spellStart"/>
      <w:r w:rsidRPr="00B25BC0">
        <w:rPr>
          <w:rFonts w:ascii="Times New Roman" w:hAnsi="Times New Roman" w:cs="Times New Roman"/>
          <w:sz w:val="28"/>
          <w:szCs w:val="24"/>
          <w:lang w:val="en-US"/>
        </w:rPr>
        <w:t>Guzov</w:t>
      </w:r>
      <w:proofErr w:type="spellEnd"/>
      <w:r w:rsidRPr="00B25BC0">
        <w:rPr>
          <w:rFonts w:ascii="Times New Roman" w:hAnsi="Times New Roman" w:cs="Times New Roman"/>
          <w:sz w:val="28"/>
          <w:szCs w:val="24"/>
          <w:lang w:val="en-US"/>
        </w:rPr>
        <w:t xml:space="preserve"> Yu. </w:t>
      </w:r>
      <w:proofErr w:type="gramStart"/>
      <w:r w:rsidRPr="00B25BC0">
        <w:rPr>
          <w:rFonts w:ascii="Times New Roman" w:hAnsi="Times New Roman" w:cs="Times New Roman"/>
          <w:sz w:val="28"/>
          <w:szCs w:val="24"/>
          <w:lang w:val="en-US"/>
        </w:rPr>
        <w:t xml:space="preserve">N., </w:t>
      </w:r>
      <w:proofErr w:type="spellStart"/>
      <w:r w:rsidRPr="00B25BC0">
        <w:rPr>
          <w:rFonts w:ascii="Times New Roman" w:hAnsi="Times New Roman" w:cs="Times New Roman"/>
          <w:sz w:val="28"/>
          <w:szCs w:val="24"/>
          <w:lang w:val="en-US"/>
        </w:rPr>
        <w:t>Perestoronina</w:t>
      </w:r>
      <w:proofErr w:type="spellEnd"/>
      <w:r w:rsidRPr="00B25BC0">
        <w:rPr>
          <w:rFonts w:ascii="Times New Roman" w:hAnsi="Times New Roman" w:cs="Times New Roman"/>
          <w:sz w:val="28"/>
          <w:szCs w:val="24"/>
          <w:lang w:val="en-US"/>
        </w:rPr>
        <w:t xml:space="preserve"> L. G., </w:t>
      </w:r>
      <w:proofErr w:type="spellStart"/>
      <w:r w:rsidRPr="00B25BC0">
        <w:rPr>
          <w:rFonts w:ascii="Times New Roman" w:hAnsi="Times New Roman" w:cs="Times New Roman"/>
          <w:sz w:val="28"/>
          <w:szCs w:val="24"/>
          <w:lang w:val="en-US"/>
        </w:rPr>
        <w:t>Strelnikova</w:t>
      </w:r>
      <w:proofErr w:type="spellEnd"/>
      <w:r w:rsidRPr="00B25BC0">
        <w:rPr>
          <w:rFonts w:ascii="Times New Roman" w:hAnsi="Times New Roman" w:cs="Times New Roman"/>
          <w:sz w:val="28"/>
          <w:szCs w:val="24"/>
          <w:lang w:val="en-US"/>
        </w:rPr>
        <w:t xml:space="preserve"> O. V. </w:t>
      </w:r>
      <w:proofErr w:type="spellStart"/>
      <w:r w:rsidRPr="00B25BC0">
        <w:rPr>
          <w:rFonts w:ascii="Times New Roman" w:hAnsi="Times New Roman" w:cs="Times New Roman"/>
          <w:sz w:val="28"/>
          <w:szCs w:val="24"/>
          <w:lang w:val="en-US"/>
        </w:rPr>
        <w:t>Teoreticheskiye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osnovy</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audita</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sistemy</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vnutrennego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kontrolya</w:t>
      </w:r>
      <w:proofErr w:type="spellEnd"/>
      <w:r w:rsidRPr="00B25BC0">
        <w:rPr>
          <w:rFonts w:ascii="Times New Roman" w:hAnsi="Times New Roman" w:cs="Times New Roman"/>
          <w:sz w:val="28"/>
          <w:szCs w:val="24"/>
          <w:lang w:val="en-US"/>
        </w:rPr>
        <w:t xml:space="preserve"> [Theoretical bases of audit of internal control system] Auditor's statements [</w:t>
      </w:r>
      <w:proofErr w:type="spellStart"/>
      <w:r w:rsidRPr="00B25BC0">
        <w:rPr>
          <w:rFonts w:ascii="Times New Roman" w:hAnsi="Times New Roman" w:cs="Times New Roman"/>
          <w:sz w:val="28"/>
          <w:szCs w:val="24"/>
          <w:lang w:val="en-US"/>
        </w:rPr>
        <w:t>Auditorskiye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vedomosti</w:t>
      </w:r>
      <w:proofErr w:type="spellEnd"/>
      <w:r w:rsidRPr="00B25BC0">
        <w:rPr>
          <w:rFonts w:ascii="Times New Roman" w:hAnsi="Times New Roman" w:cs="Times New Roman"/>
          <w:sz w:val="28"/>
          <w:szCs w:val="24"/>
          <w:lang w:val="en-US"/>
        </w:rPr>
        <w:t>].</w:t>
      </w:r>
      <w:proofErr w:type="gramEnd"/>
      <w:r w:rsidRPr="00B25BC0">
        <w:rPr>
          <w:rFonts w:ascii="Times New Roman" w:hAnsi="Times New Roman" w:cs="Times New Roman"/>
          <w:sz w:val="28"/>
          <w:szCs w:val="24"/>
          <w:lang w:val="en-US"/>
        </w:rPr>
        <w:t xml:space="preserve"> -2015. </w:t>
      </w:r>
      <w:proofErr w:type="gramStart"/>
      <w:r w:rsidRPr="00B25BC0">
        <w:rPr>
          <w:rFonts w:ascii="Times New Roman" w:hAnsi="Times New Roman" w:cs="Times New Roman"/>
          <w:sz w:val="28"/>
          <w:szCs w:val="24"/>
          <w:lang w:val="en-US"/>
        </w:rPr>
        <w:t>-no 12.</w:t>
      </w:r>
      <w:proofErr w:type="gramEnd"/>
      <w:r w:rsidRPr="00B25BC0">
        <w:rPr>
          <w:rFonts w:ascii="Times New Roman" w:hAnsi="Times New Roman" w:cs="Times New Roman"/>
          <w:sz w:val="28"/>
          <w:szCs w:val="24"/>
          <w:lang w:val="en-US"/>
        </w:rPr>
        <w:t xml:space="preserve"> pp 15 - 25</w:t>
      </w:r>
      <w:proofErr w:type="gramStart"/>
      <w:r w:rsidRPr="00B25BC0">
        <w:rPr>
          <w:rFonts w:ascii="Times New Roman" w:hAnsi="Times New Roman" w:cs="Times New Roman"/>
          <w:sz w:val="28"/>
          <w:szCs w:val="24"/>
          <w:lang w:val="en-US"/>
        </w:rPr>
        <w:t>.[</w:t>
      </w:r>
      <w:proofErr w:type="gramEnd"/>
      <w:r w:rsidRPr="00B25BC0">
        <w:rPr>
          <w:rFonts w:ascii="Times New Roman" w:hAnsi="Times New Roman" w:cs="Times New Roman"/>
          <w:sz w:val="28"/>
          <w:szCs w:val="24"/>
          <w:lang w:val="en-US"/>
        </w:rPr>
        <w:t xml:space="preserve">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6.</w:t>
      </w:r>
      <w:r w:rsidRPr="00B25BC0">
        <w:rPr>
          <w:rFonts w:ascii="Times New Roman" w:hAnsi="Times New Roman" w:cs="Times New Roman"/>
          <w:sz w:val="28"/>
          <w:szCs w:val="24"/>
          <w:lang w:val="en-US"/>
        </w:rPr>
        <w:tab/>
        <w:t xml:space="preserve">6. </w:t>
      </w:r>
      <w:proofErr w:type="spellStart"/>
      <w:r w:rsidRPr="00B25BC0">
        <w:rPr>
          <w:rFonts w:ascii="Times New Roman" w:hAnsi="Times New Roman" w:cs="Times New Roman"/>
          <w:sz w:val="28"/>
          <w:szCs w:val="24"/>
          <w:lang w:val="en-US"/>
        </w:rPr>
        <w:t>Kornienko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O.Yu</w:t>
      </w:r>
      <w:proofErr w:type="spellEnd"/>
      <w:r w:rsidRPr="00B25BC0">
        <w:rPr>
          <w:rFonts w:ascii="Times New Roman" w:hAnsi="Times New Roman" w:cs="Times New Roman"/>
          <w:sz w:val="28"/>
          <w:szCs w:val="24"/>
          <w:lang w:val="en-US"/>
        </w:rPr>
        <w:t xml:space="preserve">., Makarova V.A. </w:t>
      </w:r>
      <w:proofErr w:type="spellStart"/>
      <w:r w:rsidRPr="00B25BC0">
        <w:rPr>
          <w:rFonts w:ascii="Times New Roman" w:hAnsi="Times New Roman" w:cs="Times New Roman"/>
          <w:sz w:val="28"/>
          <w:szCs w:val="24"/>
          <w:lang w:val="en-US"/>
        </w:rPr>
        <w:t>Aktual'nyye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voprosy</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otsenki</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effektivnosti</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korporativnogo</w:t>
      </w:r>
      <w:proofErr w:type="spellEnd"/>
      <w:r w:rsidRPr="00B25BC0">
        <w:rPr>
          <w:rFonts w:ascii="Times New Roman" w:hAnsi="Times New Roman" w:cs="Times New Roman"/>
          <w:sz w:val="28"/>
          <w:szCs w:val="24"/>
          <w:lang w:val="en-US"/>
        </w:rPr>
        <w:t xml:space="preserve"> risk-</w:t>
      </w:r>
      <w:proofErr w:type="spellStart"/>
      <w:r w:rsidRPr="00B25BC0">
        <w:rPr>
          <w:rFonts w:ascii="Times New Roman" w:hAnsi="Times New Roman" w:cs="Times New Roman"/>
          <w:sz w:val="28"/>
          <w:szCs w:val="24"/>
          <w:lang w:val="en-US"/>
        </w:rPr>
        <w:t>menedzhmenta</w:t>
      </w:r>
      <w:proofErr w:type="spellEnd"/>
      <w:r w:rsidRPr="00B25BC0">
        <w:rPr>
          <w:rFonts w:ascii="Times New Roman" w:hAnsi="Times New Roman" w:cs="Times New Roman"/>
          <w:sz w:val="28"/>
          <w:szCs w:val="24"/>
          <w:lang w:val="en-US"/>
        </w:rPr>
        <w:t xml:space="preserve"> [Topical issues of a</w:t>
      </w:r>
      <w:r w:rsidRPr="00B25BC0">
        <w:rPr>
          <w:rFonts w:ascii="Times New Roman" w:hAnsi="Times New Roman" w:cs="Times New Roman"/>
          <w:sz w:val="28"/>
          <w:szCs w:val="24"/>
          <w:lang w:val="en-US"/>
        </w:rPr>
        <w:t>s</w:t>
      </w:r>
      <w:r w:rsidRPr="00B25BC0">
        <w:rPr>
          <w:rFonts w:ascii="Times New Roman" w:hAnsi="Times New Roman" w:cs="Times New Roman"/>
          <w:sz w:val="28"/>
          <w:szCs w:val="24"/>
          <w:lang w:val="en-US"/>
        </w:rPr>
        <w:t>sessing the effectiveness of corporate risk management</w:t>
      </w:r>
      <w:proofErr w:type="gramStart"/>
      <w:r w:rsidRPr="00B25BC0">
        <w:rPr>
          <w:rFonts w:ascii="Times New Roman" w:hAnsi="Times New Roman" w:cs="Times New Roman"/>
          <w:sz w:val="28"/>
          <w:szCs w:val="24"/>
          <w:lang w:val="en-US"/>
        </w:rPr>
        <w:t>]-</w:t>
      </w:r>
      <w:proofErr w:type="gram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St.Petersburg</w:t>
      </w:r>
      <w:proofErr w:type="spellEnd"/>
      <w:r w:rsidRPr="00B25BC0">
        <w:rPr>
          <w:rFonts w:ascii="Times New Roman" w:hAnsi="Times New Roman" w:cs="Times New Roman"/>
          <w:sz w:val="28"/>
          <w:szCs w:val="24"/>
          <w:lang w:val="en-US"/>
        </w:rPr>
        <w:t>, Polytechnic University p. 279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7.</w:t>
      </w:r>
      <w:r w:rsidRPr="00B25BC0">
        <w:rPr>
          <w:rFonts w:ascii="Times New Roman" w:hAnsi="Times New Roman" w:cs="Times New Roman"/>
          <w:sz w:val="28"/>
          <w:szCs w:val="24"/>
          <w:lang w:val="en-US"/>
        </w:rPr>
        <w:tab/>
      </w:r>
      <w:proofErr w:type="spellStart"/>
      <w:r w:rsidRPr="00B25BC0">
        <w:rPr>
          <w:rFonts w:ascii="Times New Roman" w:hAnsi="Times New Roman" w:cs="Times New Roman"/>
          <w:sz w:val="28"/>
          <w:szCs w:val="24"/>
          <w:lang w:val="en-US"/>
        </w:rPr>
        <w:t>Kucherova</w:t>
      </w:r>
      <w:proofErr w:type="spellEnd"/>
      <w:r w:rsidRPr="00B25BC0">
        <w:rPr>
          <w:rFonts w:ascii="Times New Roman" w:hAnsi="Times New Roman" w:cs="Times New Roman"/>
          <w:sz w:val="28"/>
          <w:szCs w:val="24"/>
          <w:lang w:val="en-US"/>
        </w:rPr>
        <w:t xml:space="preserve"> E., </w:t>
      </w:r>
      <w:proofErr w:type="spellStart"/>
      <w:r w:rsidRPr="00B25BC0">
        <w:rPr>
          <w:rFonts w:ascii="Times New Roman" w:hAnsi="Times New Roman" w:cs="Times New Roman"/>
          <w:sz w:val="28"/>
          <w:szCs w:val="24"/>
          <w:lang w:val="en-US"/>
        </w:rPr>
        <w:t>Cherepanov</w:t>
      </w:r>
      <w:proofErr w:type="spellEnd"/>
      <w:r w:rsidRPr="00B25BC0">
        <w:rPr>
          <w:rFonts w:ascii="Times New Roman" w:hAnsi="Times New Roman" w:cs="Times New Roman"/>
          <w:sz w:val="28"/>
          <w:szCs w:val="24"/>
          <w:lang w:val="en-US"/>
        </w:rPr>
        <w:t xml:space="preserve"> N., </w:t>
      </w:r>
      <w:proofErr w:type="spellStart"/>
      <w:r w:rsidRPr="00B25BC0">
        <w:rPr>
          <w:rFonts w:ascii="Times New Roman" w:hAnsi="Times New Roman" w:cs="Times New Roman"/>
          <w:sz w:val="28"/>
          <w:szCs w:val="24"/>
          <w:lang w:val="en-US"/>
        </w:rPr>
        <w:t>Ostanin</w:t>
      </w:r>
      <w:proofErr w:type="spellEnd"/>
      <w:r w:rsidRPr="00B25BC0">
        <w:rPr>
          <w:rFonts w:ascii="Times New Roman" w:hAnsi="Times New Roman" w:cs="Times New Roman"/>
          <w:sz w:val="28"/>
          <w:szCs w:val="24"/>
          <w:lang w:val="en-US"/>
        </w:rPr>
        <w:t xml:space="preserve"> E K </w:t>
      </w:r>
      <w:proofErr w:type="spellStart"/>
      <w:r w:rsidRPr="00B25BC0">
        <w:rPr>
          <w:rFonts w:ascii="Times New Roman" w:hAnsi="Times New Roman" w:cs="Times New Roman"/>
          <w:sz w:val="28"/>
          <w:szCs w:val="24"/>
          <w:lang w:val="en-US"/>
        </w:rPr>
        <w:t>voprosu</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ob</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otsenke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effe</w:t>
      </w:r>
      <w:r w:rsidRPr="00B25BC0">
        <w:rPr>
          <w:rFonts w:ascii="Times New Roman" w:hAnsi="Times New Roman" w:cs="Times New Roman"/>
          <w:sz w:val="28"/>
          <w:szCs w:val="24"/>
          <w:lang w:val="en-US"/>
        </w:rPr>
        <w:t>k</w:t>
      </w:r>
      <w:r w:rsidRPr="00B25BC0">
        <w:rPr>
          <w:rFonts w:ascii="Times New Roman" w:hAnsi="Times New Roman" w:cs="Times New Roman"/>
          <w:sz w:val="28"/>
          <w:szCs w:val="24"/>
          <w:lang w:val="en-US"/>
        </w:rPr>
        <w:t>tivnosti</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vnutrennego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finansovogo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kontrolya</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organizatsii</w:t>
      </w:r>
      <w:proofErr w:type="spellEnd"/>
      <w:r w:rsidRPr="00B25BC0">
        <w:rPr>
          <w:rFonts w:ascii="Times New Roman" w:hAnsi="Times New Roman" w:cs="Times New Roman"/>
          <w:sz w:val="28"/>
          <w:szCs w:val="24"/>
          <w:lang w:val="en-US"/>
        </w:rPr>
        <w:t xml:space="preserve"> [On the issue of assessing the effectiveness of internal financial control organizations] // </w:t>
      </w:r>
      <w:proofErr w:type="spellStart"/>
      <w:r w:rsidRPr="00B25BC0">
        <w:rPr>
          <w:rFonts w:ascii="Times New Roman" w:hAnsi="Times New Roman" w:cs="Times New Roman"/>
          <w:sz w:val="28"/>
          <w:szCs w:val="24"/>
          <w:lang w:val="en-US"/>
        </w:rPr>
        <w:t>Vestnik</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Kuzbasskogo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gosudarstvennogo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tekhnicheskogo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universiteta</w:t>
      </w:r>
      <w:proofErr w:type="spellEnd"/>
      <w:r w:rsidRPr="00B25BC0">
        <w:rPr>
          <w:rFonts w:ascii="Times New Roman" w:hAnsi="Times New Roman" w:cs="Times New Roman"/>
          <w:sz w:val="28"/>
          <w:szCs w:val="24"/>
          <w:lang w:val="en-US"/>
        </w:rPr>
        <w:t xml:space="preserve"> [Bulletin of the </w:t>
      </w:r>
      <w:proofErr w:type="spellStart"/>
      <w:r w:rsidRPr="00B25BC0">
        <w:rPr>
          <w:rFonts w:ascii="Times New Roman" w:hAnsi="Times New Roman" w:cs="Times New Roman"/>
          <w:sz w:val="28"/>
          <w:szCs w:val="24"/>
          <w:lang w:val="en-US"/>
        </w:rPr>
        <w:t>Kuzbass</w:t>
      </w:r>
      <w:proofErr w:type="spellEnd"/>
      <w:r w:rsidRPr="00B25BC0">
        <w:rPr>
          <w:rFonts w:ascii="Times New Roman" w:hAnsi="Times New Roman" w:cs="Times New Roman"/>
          <w:sz w:val="28"/>
          <w:szCs w:val="24"/>
          <w:lang w:val="en-US"/>
        </w:rPr>
        <w:t xml:space="preserve"> State Technical University] Url: http://science. kuzstu.ru/wp-content/Events/Conference/Other/2015/ekonom/pages/Articles/4/ K</w:t>
      </w:r>
      <w:r w:rsidRPr="00B25BC0">
        <w:rPr>
          <w:rFonts w:ascii="Times New Roman" w:hAnsi="Times New Roman" w:cs="Times New Roman"/>
          <w:sz w:val="28"/>
          <w:szCs w:val="24"/>
          <w:lang w:val="en-US"/>
        </w:rPr>
        <w:t>u</w:t>
      </w:r>
      <w:r w:rsidRPr="00B25BC0">
        <w:rPr>
          <w:rFonts w:ascii="Times New Roman" w:hAnsi="Times New Roman" w:cs="Times New Roman"/>
          <w:sz w:val="28"/>
          <w:szCs w:val="24"/>
          <w:lang w:val="en-US"/>
        </w:rPr>
        <w:t>cherova.pdf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8.</w:t>
      </w:r>
      <w:r w:rsidRPr="00B25BC0">
        <w:rPr>
          <w:rFonts w:ascii="Times New Roman" w:hAnsi="Times New Roman" w:cs="Times New Roman"/>
          <w:sz w:val="28"/>
          <w:szCs w:val="24"/>
          <w:lang w:val="en-US"/>
        </w:rPr>
        <w:tab/>
      </w:r>
      <w:proofErr w:type="spellStart"/>
      <w:r w:rsidRPr="00B25BC0">
        <w:rPr>
          <w:rFonts w:ascii="Times New Roman" w:hAnsi="Times New Roman" w:cs="Times New Roman"/>
          <w:sz w:val="28"/>
          <w:szCs w:val="24"/>
          <w:lang w:val="en-US"/>
        </w:rPr>
        <w:t>Serebryakova</w:t>
      </w:r>
      <w:proofErr w:type="spellEnd"/>
      <w:r w:rsidRPr="00B25BC0">
        <w:rPr>
          <w:rFonts w:ascii="Times New Roman" w:hAnsi="Times New Roman" w:cs="Times New Roman"/>
          <w:sz w:val="28"/>
          <w:szCs w:val="24"/>
          <w:lang w:val="en-US"/>
        </w:rPr>
        <w:t xml:space="preserve"> T. Yu. [K </w:t>
      </w:r>
      <w:proofErr w:type="spellStart"/>
      <w:r w:rsidRPr="00B25BC0">
        <w:rPr>
          <w:rFonts w:ascii="Times New Roman" w:hAnsi="Times New Roman" w:cs="Times New Roman"/>
          <w:sz w:val="28"/>
          <w:szCs w:val="24"/>
          <w:lang w:val="en-US"/>
        </w:rPr>
        <w:t>voprosu</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ob</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otsenke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effektivnosti</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vnutrennego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kontrolya</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potrebitel'skogo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obshchestva</w:t>
      </w:r>
      <w:proofErr w:type="spellEnd"/>
      <w:r w:rsidRPr="00B25BC0">
        <w:rPr>
          <w:rFonts w:ascii="Times New Roman" w:hAnsi="Times New Roman" w:cs="Times New Roman"/>
          <w:sz w:val="28"/>
          <w:szCs w:val="24"/>
          <w:lang w:val="en-US"/>
        </w:rPr>
        <w:t xml:space="preserve">] </w:t>
      </w:r>
      <w:proofErr w:type="gramStart"/>
      <w:r w:rsidRPr="00B25BC0">
        <w:rPr>
          <w:rFonts w:ascii="Times New Roman" w:hAnsi="Times New Roman" w:cs="Times New Roman"/>
          <w:sz w:val="28"/>
          <w:szCs w:val="24"/>
          <w:lang w:val="en-US"/>
        </w:rPr>
        <w:t>On the issue of assessing the e</w:t>
      </w:r>
      <w:r w:rsidRPr="00B25BC0">
        <w:rPr>
          <w:rFonts w:ascii="Times New Roman" w:hAnsi="Times New Roman" w:cs="Times New Roman"/>
          <w:sz w:val="28"/>
          <w:szCs w:val="24"/>
          <w:lang w:val="en-US"/>
        </w:rPr>
        <w:t>f</w:t>
      </w:r>
      <w:r w:rsidRPr="00B25BC0">
        <w:rPr>
          <w:rFonts w:ascii="Times New Roman" w:hAnsi="Times New Roman" w:cs="Times New Roman"/>
          <w:sz w:val="28"/>
          <w:szCs w:val="24"/>
          <w:lang w:val="en-US"/>
        </w:rPr>
        <w:t>fectiveness of internal control of consumer society 2013.</w:t>
      </w:r>
      <w:proofErr w:type="gramEnd"/>
      <w:r w:rsidRPr="00B25BC0">
        <w:rPr>
          <w:rFonts w:ascii="Times New Roman" w:hAnsi="Times New Roman" w:cs="Times New Roman"/>
          <w:sz w:val="28"/>
          <w:szCs w:val="24"/>
          <w:lang w:val="en-US"/>
        </w:rPr>
        <w:t xml:space="preserve"> </w:t>
      </w:r>
      <w:proofErr w:type="gramStart"/>
      <w:r w:rsidRPr="00B25BC0">
        <w:rPr>
          <w:rFonts w:ascii="Times New Roman" w:hAnsi="Times New Roman" w:cs="Times New Roman"/>
          <w:sz w:val="28"/>
          <w:szCs w:val="24"/>
          <w:lang w:val="en-US"/>
        </w:rPr>
        <w:t>no</w:t>
      </w:r>
      <w:proofErr w:type="gramEnd"/>
      <w:r w:rsidRPr="00B25BC0">
        <w:rPr>
          <w:rFonts w:ascii="Times New Roman" w:hAnsi="Times New Roman" w:cs="Times New Roman"/>
          <w:sz w:val="28"/>
          <w:szCs w:val="24"/>
          <w:lang w:val="en-US"/>
        </w:rPr>
        <w:t xml:space="preserve"> 5. pp. 49-53 </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9.</w:t>
      </w:r>
      <w:r w:rsidRPr="00B25BC0">
        <w:rPr>
          <w:rFonts w:ascii="Times New Roman" w:hAnsi="Times New Roman" w:cs="Times New Roman"/>
          <w:sz w:val="28"/>
          <w:szCs w:val="24"/>
          <w:lang w:val="en-US"/>
        </w:rPr>
        <w:tab/>
        <w:t>The Accounting Chamber of the Russian Federation. Analytical r</w:t>
      </w:r>
      <w:r w:rsidRPr="00B25BC0">
        <w:rPr>
          <w:rFonts w:ascii="Times New Roman" w:hAnsi="Times New Roman" w:cs="Times New Roman"/>
          <w:sz w:val="28"/>
          <w:szCs w:val="24"/>
          <w:lang w:val="en-US"/>
        </w:rPr>
        <w:t>e</w:t>
      </w:r>
      <w:r w:rsidRPr="00B25BC0">
        <w:rPr>
          <w:rFonts w:ascii="Times New Roman" w:hAnsi="Times New Roman" w:cs="Times New Roman"/>
          <w:sz w:val="28"/>
          <w:szCs w:val="24"/>
          <w:lang w:val="en-US"/>
        </w:rPr>
        <w:t xml:space="preserve">porting forms for events for 2016 </w:t>
      </w:r>
      <w:proofErr w:type="gramStart"/>
      <w:r w:rsidRPr="00B25BC0">
        <w:rPr>
          <w:rFonts w:ascii="Times New Roman" w:hAnsi="Times New Roman" w:cs="Times New Roman"/>
          <w:sz w:val="28"/>
          <w:szCs w:val="24"/>
          <w:lang w:val="en-US"/>
        </w:rPr>
        <w:t>Url</w:t>
      </w:r>
      <w:proofErr w:type="gramEnd"/>
      <w:r w:rsidRPr="00B25BC0">
        <w:rPr>
          <w:rFonts w:ascii="Times New Roman" w:hAnsi="Times New Roman" w:cs="Times New Roman"/>
          <w:sz w:val="28"/>
          <w:szCs w:val="24"/>
          <w:lang w:val="en-US"/>
        </w:rPr>
        <w:t xml:space="preserve">:  http://results.audit.gov.ru/reports/ [in Russian] </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10.</w:t>
      </w:r>
      <w:r w:rsidRPr="00B25BC0">
        <w:rPr>
          <w:rFonts w:ascii="Times New Roman" w:hAnsi="Times New Roman" w:cs="Times New Roman"/>
          <w:sz w:val="28"/>
          <w:szCs w:val="24"/>
          <w:lang w:val="en-US"/>
        </w:rPr>
        <w:tab/>
        <w:t xml:space="preserve">The Accounting Chamber of the Russian Federation. </w:t>
      </w:r>
      <w:proofErr w:type="gramStart"/>
      <w:r w:rsidRPr="00B25BC0">
        <w:rPr>
          <w:rFonts w:ascii="Times New Roman" w:hAnsi="Times New Roman" w:cs="Times New Roman"/>
          <w:sz w:val="28"/>
          <w:szCs w:val="24"/>
          <w:lang w:val="en-US"/>
        </w:rPr>
        <w:t xml:space="preserve">The funds of the federal budget listed by JSC </w:t>
      </w:r>
      <w:proofErr w:type="spellStart"/>
      <w:r w:rsidRPr="00B25BC0">
        <w:rPr>
          <w:rFonts w:ascii="Times New Roman" w:hAnsi="Times New Roman" w:cs="Times New Roman"/>
          <w:sz w:val="28"/>
          <w:szCs w:val="24"/>
          <w:lang w:val="en-US"/>
        </w:rPr>
        <w:t>RusHydro</w:t>
      </w:r>
      <w:proofErr w:type="spellEnd"/>
      <w:r w:rsidRPr="00B25BC0">
        <w:rPr>
          <w:rFonts w:ascii="Times New Roman" w:hAnsi="Times New Roman" w:cs="Times New Roman"/>
          <w:sz w:val="28"/>
          <w:szCs w:val="24"/>
          <w:lang w:val="en-US"/>
        </w:rPr>
        <w:t xml:space="preserve"> in the amount of 50 billion rubles.</w:t>
      </w:r>
      <w:proofErr w:type="gramEnd"/>
      <w:r w:rsidRPr="00B25BC0">
        <w:rPr>
          <w:rFonts w:ascii="Times New Roman" w:hAnsi="Times New Roman" w:cs="Times New Roman"/>
          <w:sz w:val="28"/>
          <w:szCs w:val="24"/>
          <w:lang w:val="en-US"/>
        </w:rPr>
        <w:t xml:space="preserve"> </w:t>
      </w:r>
      <w:proofErr w:type="gramStart"/>
      <w:r w:rsidRPr="00B25BC0">
        <w:rPr>
          <w:rFonts w:ascii="Times New Roman" w:hAnsi="Times New Roman" w:cs="Times New Roman"/>
          <w:sz w:val="28"/>
          <w:szCs w:val="24"/>
          <w:lang w:val="en-US"/>
        </w:rPr>
        <w:lastRenderedPageBreak/>
        <w:t>not</w:t>
      </w:r>
      <w:proofErr w:type="gramEnd"/>
      <w:r w:rsidRPr="00B25BC0">
        <w:rPr>
          <w:rFonts w:ascii="Times New Roman" w:hAnsi="Times New Roman" w:cs="Times New Roman"/>
          <w:sz w:val="28"/>
          <w:szCs w:val="24"/>
          <w:lang w:val="en-US"/>
        </w:rPr>
        <w:t xml:space="preserve"> used - the result of an expert-analytical event of the Accounts Cha</w:t>
      </w:r>
      <w:r w:rsidRPr="00B25BC0">
        <w:rPr>
          <w:rFonts w:ascii="Times New Roman" w:hAnsi="Times New Roman" w:cs="Times New Roman"/>
          <w:sz w:val="28"/>
          <w:szCs w:val="24"/>
          <w:lang w:val="en-US"/>
        </w:rPr>
        <w:t>m</w:t>
      </w:r>
      <w:r w:rsidRPr="00B25BC0">
        <w:rPr>
          <w:rFonts w:ascii="Times New Roman" w:hAnsi="Times New Roman" w:cs="Times New Roman"/>
          <w:sz w:val="28"/>
          <w:szCs w:val="24"/>
          <w:lang w:val="en-US"/>
        </w:rPr>
        <w:t xml:space="preserve">ber. </w:t>
      </w:r>
      <w:proofErr w:type="gramStart"/>
      <w:r w:rsidRPr="00B25BC0">
        <w:rPr>
          <w:rFonts w:ascii="Times New Roman" w:hAnsi="Times New Roman" w:cs="Times New Roman"/>
          <w:sz w:val="28"/>
          <w:szCs w:val="24"/>
          <w:lang w:val="en-US"/>
        </w:rPr>
        <w:t>Url</w:t>
      </w:r>
      <w:proofErr w:type="gramEnd"/>
      <w:r w:rsidRPr="00B25BC0">
        <w:rPr>
          <w:rFonts w:ascii="Times New Roman" w:hAnsi="Times New Roman" w:cs="Times New Roman"/>
          <w:sz w:val="28"/>
          <w:szCs w:val="24"/>
          <w:lang w:val="en-US"/>
        </w:rPr>
        <w:t xml:space="preserve">: http://www.ach.gov.ru/activities/control/552/ [in Russian] </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11.</w:t>
      </w:r>
      <w:r w:rsidRPr="00B25BC0">
        <w:rPr>
          <w:rFonts w:ascii="Times New Roman" w:hAnsi="Times New Roman" w:cs="Times New Roman"/>
          <w:sz w:val="28"/>
          <w:szCs w:val="24"/>
          <w:lang w:val="en-US"/>
        </w:rPr>
        <w:tab/>
        <w:t xml:space="preserve">The Accounting Chamber of the Russian Federation. </w:t>
      </w:r>
      <w:proofErr w:type="gramStart"/>
      <w:r w:rsidRPr="00B25BC0">
        <w:rPr>
          <w:rFonts w:ascii="Times New Roman" w:hAnsi="Times New Roman" w:cs="Times New Roman"/>
          <w:sz w:val="28"/>
          <w:szCs w:val="24"/>
          <w:lang w:val="en-US"/>
        </w:rPr>
        <w:t>The timing of the commissioning of a number of power facilities in the Far East remains under threat of failure.</w:t>
      </w:r>
      <w:proofErr w:type="gramEnd"/>
      <w:r w:rsidRPr="00B25BC0">
        <w:rPr>
          <w:rFonts w:ascii="Times New Roman" w:hAnsi="Times New Roman" w:cs="Times New Roman"/>
          <w:sz w:val="28"/>
          <w:szCs w:val="24"/>
          <w:lang w:val="en-US"/>
        </w:rPr>
        <w:t xml:space="preserve"> </w:t>
      </w:r>
      <w:proofErr w:type="gramStart"/>
      <w:r w:rsidRPr="00B25BC0">
        <w:rPr>
          <w:rFonts w:ascii="Times New Roman" w:hAnsi="Times New Roman" w:cs="Times New Roman"/>
          <w:sz w:val="28"/>
          <w:szCs w:val="24"/>
          <w:lang w:val="en-US"/>
        </w:rPr>
        <w:t>Url</w:t>
      </w:r>
      <w:proofErr w:type="gramEnd"/>
      <w:r w:rsidRPr="00B25BC0">
        <w:rPr>
          <w:rFonts w:ascii="Times New Roman" w:hAnsi="Times New Roman" w:cs="Times New Roman"/>
          <w:sz w:val="28"/>
          <w:szCs w:val="24"/>
          <w:lang w:val="en-US"/>
        </w:rPr>
        <w:t>: http://www.ach.gov.ru/activities/control/17827/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12.</w:t>
      </w:r>
      <w:r w:rsidRPr="00B25BC0">
        <w:rPr>
          <w:rFonts w:ascii="Times New Roman" w:hAnsi="Times New Roman" w:cs="Times New Roman"/>
          <w:sz w:val="28"/>
          <w:szCs w:val="24"/>
          <w:lang w:val="en-US"/>
        </w:rPr>
        <w:tab/>
      </w:r>
      <w:proofErr w:type="spellStart"/>
      <w:r w:rsidRPr="00B25BC0">
        <w:rPr>
          <w:rFonts w:ascii="Times New Roman" w:hAnsi="Times New Roman" w:cs="Times New Roman"/>
          <w:sz w:val="28"/>
          <w:szCs w:val="24"/>
          <w:lang w:val="en-US"/>
        </w:rPr>
        <w:t>Terekhova</w:t>
      </w:r>
      <w:proofErr w:type="spellEnd"/>
      <w:r w:rsidRPr="00B25BC0">
        <w:rPr>
          <w:rFonts w:ascii="Times New Roman" w:hAnsi="Times New Roman" w:cs="Times New Roman"/>
          <w:sz w:val="28"/>
          <w:szCs w:val="24"/>
          <w:lang w:val="en-US"/>
        </w:rPr>
        <w:t xml:space="preserve"> E. V. </w:t>
      </w:r>
      <w:proofErr w:type="spellStart"/>
      <w:r w:rsidRPr="00B25BC0">
        <w:rPr>
          <w:rFonts w:ascii="Times New Roman" w:hAnsi="Times New Roman" w:cs="Times New Roman"/>
          <w:sz w:val="28"/>
          <w:szCs w:val="24"/>
          <w:lang w:val="en-US"/>
        </w:rPr>
        <w:t>Investitsionnoye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pravo</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publichno-pravovyye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nach</w:t>
      </w:r>
      <w:r w:rsidRPr="00B25BC0">
        <w:rPr>
          <w:rFonts w:ascii="Times New Roman" w:hAnsi="Times New Roman" w:cs="Times New Roman"/>
          <w:sz w:val="28"/>
          <w:szCs w:val="24"/>
          <w:lang w:val="en-US"/>
        </w:rPr>
        <w:t>a</w:t>
      </w:r>
      <w:r w:rsidRPr="00B25BC0">
        <w:rPr>
          <w:rFonts w:ascii="Times New Roman" w:hAnsi="Times New Roman" w:cs="Times New Roman"/>
          <w:sz w:val="28"/>
          <w:szCs w:val="24"/>
          <w:lang w:val="en-US"/>
        </w:rPr>
        <w:t>la</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uchebnoye</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posobiye</w:t>
      </w:r>
      <w:proofErr w:type="spellEnd"/>
      <w:r w:rsidRPr="00B25BC0">
        <w:rPr>
          <w:rFonts w:ascii="Times New Roman" w:hAnsi="Times New Roman" w:cs="Times New Roman"/>
          <w:sz w:val="28"/>
          <w:szCs w:val="24"/>
          <w:lang w:val="en-US"/>
        </w:rPr>
        <w:t xml:space="preserve"> [Investment Law: Public Law: A Textbook] / Moscow. </w:t>
      </w:r>
      <w:proofErr w:type="spellStart"/>
      <w:r w:rsidRPr="00B25BC0">
        <w:rPr>
          <w:rFonts w:ascii="Times New Roman" w:hAnsi="Times New Roman" w:cs="Times New Roman"/>
          <w:sz w:val="28"/>
          <w:szCs w:val="24"/>
          <w:lang w:val="en-US"/>
        </w:rPr>
        <w:t>Москва</w:t>
      </w:r>
      <w:proofErr w:type="spellEnd"/>
      <w:r w:rsidRPr="00B25BC0">
        <w:rPr>
          <w:rFonts w:ascii="Times New Roman" w:hAnsi="Times New Roman" w:cs="Times New Roman"/>
          <w:sz w:val="28"/>
          <w:szCs w:val="24"/>
          <w:lang w:val="en-US"/>
        </w:rPr>
        <w:t>: RGUP, 2015. p.294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13.</w:t>
      </w:r>
      <w:r w:rsidRPr="00B25BC0">
        <w:rPr>
          <w:rFonts w:ascii="Times New Roman" w:hAnsi="Times New Roman" w:cs="Times New Roman"/>
          <w:sz w:val="28"/>
          <w:szCs w:val="24"/>
          <w:lang w:val="en-US"/>
        </w:rPr>
        <w:tab/>
      </w:r>
      <w:r w:rsidRPr="00B25BC0">
        <w:rPr>
          <w:rFonts w:ascii="Times New Roman" w:hAnsi="Times New Roman" w:cs="Times New Roman"/>
          <w:sz w:val="28"/>
          <w:szCs w:val="24"/>
          <w:lang w:val="en-US"/>
        </w:rPr>
        <w:tab/>
        <w:t>Federal Service of State Statistics. Dynamics of accounts receivable of organizations (without small business entities) of the Russian Feder</w:t>
      </w:r>
      <w:r w:rsidRPr="00B25BC0">
        <w:rPr>
          <w:rFonts w:ascii="Times New Roman" w:hAnsi="Times New Roman" w:cs="Times New Roman"/>
          <w:sz w:val="28"/>
          <w:szCs w:val="24"/>
          <w:lang w:val="en-US"/>
        </w:rPr>
        <w:t>a</w:t>
      </w:r>
      <w:r w:rsidRPr="00B25BC0">
        <w:rPr>
          <w:rFonts w:ascii="Times New Roman" w:hAnsi="Times New Roman" w:cs="Times New Roman"/>
          <w:sz w:val="28"/>
          <w:szCs w:val="24"/>
          <w:lang w:val="en-US"/>
        </w:rPr>
        <w:t>tion Url: http:// www.gks.ru/free_doc/new_site/finans/dindz.htm [in Ru</w:t>
      </w:r>
      <w:r w:rsidRPr="00B25BC0">
        <w:rPr>
          <w:rFonts w:ascii="Times New Roman" w:hAnsi="Times New Roman" w:cs="Times New Roman"/>
          <w:sz w:val="28"/>
          <w:szCs w:val="24"/>
          <w:lang w:val="en-US"/>
        </w:rPr>
        <w:t>s</w:t>
      </w:r>
      <w:r w:rsidRPr="00B25BC0">
        <w:rPr>
          <w:rFonts w:ascii="Times New Roman" w:hAnsi="Times New Roman" w:cs="Times New Roman"/>
          <w:sz w:val="28"/>
          <w:szCs w:val="24"/>
          <w:lang w:val="en-US"/>
        </w:rPr>
        <w:t>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14.</w:t>
      </w:r>
      <w:r w:rsidRPr="00B25BC0">
        <w:rPr>
          <w:rFonts w:ascii="Times New Roman" w:hAnsi="Times New Roman" w:cs="Times New Roman"/>
          <w:sz w:val="28"/>
          <w:szCs w:val="24"/>
          <w:lang w:val="en-US"/>
        </w:rPr>
        <w:tab/>
        <w:t>Federal Service of State Statistics. Dynamics of accounts payable of organizations (excluding small businesses) of the Russian Federation URL: http://www.gks.ru/free_doc/new_site/finans/dinkz.htm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15.</w:t>
      </w:r>
      <w:r w:rsidRPr="00B25BC0">
        <w:rPr>
          <w:rFonts w:ascii="Times New Roman" w:hAnsi="Times New Roman" w:cs="Times New Roman"/>
          <w:sz w:val="28"/>
          <w:szCs w:val="24"/>
          <w:lang w:val="en-US"/>
        </w:rPr>
        <w:tab/>
      </w:r>
      <w:r w:rsidRPr="00B25BC0">
        <w:rPr>
          <w:rFonts w:ascii="Times New Roman" w:hAnsi="Times New Roman" w:cs="Times New Roman"/>
          <w:sz w:val="28"/>
          <w:szCs w:val="24"/>
          <w:lang w:val="en-US"/>
        </w:rPr>
        <w:tab/>
        <w:t xml:space="preserve">Federal Service of State Statistics. The structure of arrears in tax payments and fees to the consolidated budget of the Russian Federation as of January 1, 2017 URL: </w:t>
      </w:r>
      <w:proofErr w:type="spellStart"/>
      <w:r w:rsidRPr="00B25BC0">
        <w:rPr>
          <w:rFonts w:ascii="Times New Roman" w:hAnsi="Times New Roman" w:cs="Times New Roman"/>
          <w:sz w:val="28"/>
          <w:szCs w:val="24"/>
          <w:lang w:val="en-US"/>
        </w:rPr>
        <w:t>gks.ru›free_doc</w:t>
      </w:r>
      <w:proofErr w:type="spellEnd"/>
      <w:r w:rsidRPr="00B25BC0">
        <w:rPr>
          <w:rFonts w:ascii="Times New Roman" w:hAnsi="Times New Roman" w:cs="Times New Roman"/>
          <w:sz w:val="28"/>
          <w:szCs w:val="24"/>
          <w:lang w:val="en-US"/>
        </w:rPr>
        <w:t>/</w:t>
      </w:r>
      <w:proofErr w:type="spellStart"/>
      <w:r w:rsidRPr="00B25BC0">
        <w:rPr>
          <w:rFonts w:ascii="Times New Roman" w:hAnsi="Times New Roman" w:cs="Times New Roman"/>
          <w:sz w:val="28"/>
          <w:szCs w:val="24"/>
          <w:lang w:val="en-US"/>
        </w:rPr>
        <w:t>new_site</w:t>
      </w:r>
      <w:proofErr w:type="spellEnd"/>
      <w:r w:rsidRPr="00B25BC0">
        <w:rPr>
          <w:rFonts w:ascii="Times New Roman" w:hAnsi="Times New Roman" w:cs="Times New Roman"/>
          <w:sz w:val="28"/>
          <w:szCs w:val="24"/>
          <w:lang w:val="en-US"/>
        </w:rPr>
        <w:t>/</w:t>
      </w:r>
      <w:proofErr w:type="spellStart"/>
      <w:r w:rsidRPr="00B25BC0">
        <w:rPr>
          <w:rFonts w:ascii="Times New Roman" w:hAnsi="Times New Roman" w:cs="Times New Roman"/>
          <w:sz w:val="28"/>
          <w:szCs w:val="24"/>
          <w:lang w:val="en-US"/>
        </w:rPr>
        <w:t>finans</w:t>
      </w:r>
      <w:proofErr w:type="spellEnd"/>
      <w:r w:rsidRPr="00B25BC0">
        <w:rPr>
          <w:rFonts w:ascii="Times New Roman" w:hAnsi="Times New Roman" w:cs="Times New Roman"/>
          <w:sz w:val="28"/>
          <w:szCs w:val="24"/>
          <w:lang w:val="en-US"/>
        </w:rPr>
        <w:t>/fin24.doc, [in Russian]</w:t>
      </w:r>
    </w:p>
    <w:p w:rsidR="00B25BC0" w:rsidRPr="00B25BC0" w:rsidRDefault="00B25BC0" w:rsidP="00B25BC0">
      <w:pPr>
        <w:tabs>
          <w:tab w:val="left" w:pos="1134"/>
        </w:tabs>
        <w:spacing w:after="200" w:line="360" w:lineRule="auto"/>
        <w:ind w:left="709"/>
        <w:contextualSpacing/>
        <w:jc w:val="both"/>
        <w:rPr>
          <w:rFonts w:ascii="Times New Roman" w:hAnsi="Times New Roman" w:cs="Times New Roman"/>
          <w:sz w:val="28"/>
          <w:szCs w:val="24"/>
          <w:lang w:val="en-US"/>
        </w:rPr>
      </w:pPr>
      <w:r w:rsidRPr="00B25BC0">
        <w:rPr>
          <w:rFonts w:ascii="Times New Roman" w:hAnsi="Times New Roman" w:cs="Times New Roman"/>
          <w:sz w:val="28"/>
          <w:szCs w:val="24"/>
          <w:lang w:val="en-US"/>
        </w:rPr>
        <w:t>16.</w:t>
      </w:r>
      <w:r w:rsidRPr="00B25BC0">
        <w:rPr>
          <w:rFonts w:ascii="Times New Roman" w:hAnsi="Times New Roman" w:cs="Times New Roman"/>
          <w:sz w:val="28"/>
          <w:szCs w:val="24"/>
          <w:lang w:val="en-US"/>
        </w:rPr>
        <w:tab/>
        <w:t xml:space="preserve">FINAM. FNS </w:t>
      </w:r>
      <w:proofErr w:type="spellStart"/>
      <w:r w:rsidRPr="00B25BC0">
        <w:rPr>
          <w:rFonts w:ascii="Times New Roman" w:hAnsi="Times New Roman" w:cs="Times New Roman"/>
          <w:sz w:val="28"/>
          <w:szCs w:val="24"/>
          <w:lang w:val="en-US"/>
        </w:rPr>
        <w:t>vnedryayet</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gorizontal'nyy</w:t>
      </w:r>
      <w:proofErr w:type="spellEnd"/>
      <w:r w:rsidRPr="00B25BC0">
        <w:rPr>
          <w:rFonts w:ascii="Times New Roman" w:hAnsi="Times New Roman" w:cs="Times New Roman"/>
          <w:sz w:val="28"/>
          <w:szCs w:val="24"/>
          <w:lang w:val="en-US"/>
        </w:rPr>
        <w:t xml:space="preserve"> monitoring v </w:t>
      </w:r>
      <w:proofErr w:type="spellStart"/>
      <w:r w:rsidRPr="00B25BC0">
        <w:rPr>
          <w:rFonts w:ascii="Times New Roman" w:hAnsi="Times New Roman" w:cs="Times New Roman"/>
          <w:sz w:val="28"/>
          <w:szCs w:val="24"/>
          <w:lang w:val="en-US"/>
        </w:rPr>
        <w:t>otnoshenii</w:t>
      </w:r>
      <w:proofErr w:type="spellEnd"/>
      <w:r w:rsidRPr="00B25BC0">
        <w:rPr>
          <w:rFonts w:ascii="Times New Roman" w:hAnsi="Times New Roman" w:cs="Times New Roman"/>
          <w:sz w:val="28"/>
          <w:szCs w:val="24"/>
          <w:lang w:val="en-US"/>
        </w:rPr>
        <w:t xml:space="preserve"> «</w:t>
      </w:r>
      <w:proofErr w:type="spellStart"/>
      <w:r w:rsidRPr="00B25BC0">
        <w:rPr>
          <w:rFonts w:ascii="Times New Roman" w:hAnsi="Times New Roman" w:cs="Times New Roman"/>
          <w:sz w:val="28"/>
          <w:szCs w:val="24"/>
          <w:lang w:val="en-US"/>
        </w:rPr>
        <w:t>RusGidro</w:t>
      </w:r>
      <w:proofErr w:type="spellEnd"/>
      <w:r w:rsidRPr="00B25BC0">
        <w:rPr>
          <w:rFonts w:ascii="Times New Roman" w:hAnsi="Times New Roman" w:cs="Times New Roman"/>
          <w:sz w:val="28"/>
          <w:szCs w:val="24"/>
          <w:lang w:val="en-US"/>
        </w:rPr>
        <w:t xml:space="preserve">», «Inter RAO YEES» </w:t>
      </w:r>
      <w:proofErr w:type="spellStart"/>
      <w:r w:rsidRPr="00B25BC0">
        <w:rPr>
          <w:rFonts w:ascii="Times New Roman" w:hAnsi="Times New Roman" w:cs="Times New Roman"/>
          <w:sz w:val="28"/>
          <w:szCs w:val="24"/>
          <w:lang w:val="en-US"/>
        </w:rPr>
        <w:t>i</w:t>
      </w:r>
      <w:proofErr w:type="spellEnd"/>
      <w:r w:rsidRPr="00B25BC0">
        <w:rPr>
          <w:rFonts w:ascii="Times New Roman" w:hAnsi="Times New Roman" w:cs="Times New Roman"/>
          <w:sz w:val="28"/>
          <w:szCs w:val="24"/>
          <w:lang w:val="en-US"/>
        </w:rPr>
        <w:t xml:space="preserve"> MTS. [The Federal Tax Service i</w:t>
      </w:r>
      <w:r w:rsidRPr="00B25BC0">
        <w:rPr>
          <w:rFonts w:ascii="Times New Roman" w:hAnsi="Times New Roman" w:cs="Times New Roman"/>
          <w:sz w:val="28"/>
          <w:szCs w:val="24"/>
          <w:lang w:val="en-US"/>
        </w:rPr>
        <w:t>m</w:t>
      </w:r>
      <w:r w:rsidRPr="00B25BC0">
        <w:rPr>
          <w:rFonts w:ascii="Times New Roman" w:hAnsi="Times New Roman" w:cs="Times New Roman"/>
          <w:sz w:val="28"/>
          <w:szCs w:val="24"/>
          <w:lang w:val="en-US"/>
        </w:rPr>
        <w:t xml:space="preserve">plements horizontal monitoring in relation to </w:t>
      </w:r>
      <w:proofErr w:type="spellStart"/>
      <w:r w:rsidRPr="00B25BC0">
        <w:rPr>
          <w:rFonts w:ascii="Times New Roman" w:hAnsi="Times New Roman" w:cs="Times New Roman"/>
          <w:sz w:val="28"/>
          <w:szCs w:val="24"/>
          <w:lang w:val="en-US"/>
        </w:rPr>
        <w:t>RusHydro</w:t>
      </w:r>
      <w:proofErr w:type="spellEnd"/>
      <w:r w:rsidRPr="00B25BC0">
        <w:rPr>
          <w:rFonts w:ascii="Times New Roman" w:hAnsi="Times New Roman" w:cs="Times New Roman"/>
          <w:sz w:val="28"/>
          <w:szCs w:val="24"/>
          <w:lang w:val="en-US"/>
        </w:rPr>
        <w:t xml:space="preserve">, Inter RAO UES and MTS] </w:t>
      </w:r>
      <w:proofErr w:type="gramStart"/>
      <w:r w:rsidRPr="00B25BC0">
        <w:rPr>
          <w:rFonts w:ascii="Times New Roman" w:hAnsi="Times New Roman" w:cs="Times New Roman"/>
          <w:sz w:val="28"/>
          <w:szCs w:val="24"/>
          <w:lang w:val="en-US"/>
        </w:rPr>
        <w:t>url</w:t>
      </w:r>
      <w:proofErr w:type="gramEnd"/>
      <w:r w:rsidRPr="00B25BC0">
        <w:rPr>
          <w:rFonts w:ascii="Times New Roman" w:hAnsi="Times New Roman" w:cs="Times New Roman"/>
          <w:sz w:val="28"/>
          <w:szCs w:val="24"/>
          <w:lang w:val="en-US"/>
        </w:rPr>
        <w:t>: http://www.finam.ru/analysis/newsitem6F554/default.asp. [In Russian]</w:t>
      </w:r>
    </w:p>
    <w:p w:rsidR="00496052" w:rsidRDefault="00496052" w:rsidP="00F22601">
      <w:pPr>
        <w:tabs>
          <w:tab w:val="left" w:pos="1134"/>
        </w:tabs>
        <w:spacing w:after="200" w:line="360" w:lineRule="auto"/>
        <w:ind w:left="709"/>
        <w:contextualSpacing/>
        <w:jc w:val="both"/>
        <w:rPr>
          <w:rFonts w:ascii="Times New Roman" w:hAnsi="Times New Roman" w:cs="Times New Roman"/>
          <w:sz w:val="28"/>
          <w:szCs w:val="24"/>
          <w:lang w:val="en-US"/>
        </w:rPr>
      </w:pPr>
    </w:p>
    <w:p w:rsidR="00496052" w:rsidRDefault="00496052" w:rsidP="00F22601">
      <w:pPr>
        <w:tabs>
          <w:tab w:val="left" w:pos="1134"/>
        </w:tabs>
        <w:spacing w:after="200" w:line="360" w:lineRule="auto"/>
        <w:ind w:left="709"/>
        <w:contextualSpacing/>
        <w:jc w:val="both"/>
        <w:rPr>
          <w:rFonts w:ascii="Times New Roman" w:hAnsi="Times New Roman" w:cs="Times New Roman"/>
          <w:sz w:val="28"/>
          <w:szCs w:val="24"/>
          <w:lang w:val="en-US"/>
        </w:rPr>
      </w:pPr>
    </w:p>
    <w:p w:rsidR="00496052" w:rsidRDefault="00496052" w:rsidP="00F22601">
      <w:pPr>
        <w:tabs>
          <w:tab w:val="left" w:pos="1134"/>
        </w:tabs>
        <w:spacing w:after="200" w:line="360" w:lineRule="auto"/>
        <w:ind w:left="709"/>
        <w:contextualSpacing/>
        <w:jc w:val="both"/>
        <w:rPr>
          <w:rFonts w:ascii="Times New Roman" w:hAnsi="Times New Roman" w:cs="Times New Roman"/>
          <w:sz w:val="28"/>
          <w:szCs w:val="24"/>
          <w:lang w:val="en-US"/>
        </w:rPr>
      </w:pPr>
    </w:p>
    <w:p w:rsidR="00496052" w:rsidRDefault="00496052" w:rsidP="00F22601">
      <w:pPr>
        <w:tabs>
          <w:tab w:val="left" w:pos="1134"/>
        </w:tabs>
        <w:spacing w:after="200" w:line="360" w:lineRule="auto"/>
        <w:ind w:left="709"/>
        <w:contextualSpacing/>
        <w:jc w:val="both"/>
        <w:rPr>
          <w:rFonts w:ascii="Times New Roman" w:hAnsi="Times New Roman" w:cs="Times New Roman"/>
          <w:sz w:val="28"/>
          <w:szCs w:val="24"/>
          <w:lang w:val="en-US"/>
        </w:rPr>
      </w:pPr>
    </w:p>
    <w:p w:rsidR="00496052" w:rsidRDefault="00496052" w:rsidP="00F22601">
      <w:pPr>
        <w:tabs>
          <w:tab w:val="left" w:pos="1134"/>
        </w:tabs>
        <w:spacing w:after="200" w:line="360" w:lineRule="auto"/>
        <w:ind w:left="709"/>
        <w:contextualSpacing/>
        <w:jc w:val="both"/>
        <w:rPr>
          <w:rFonts w:ascii="Times New Roman" w:hAnsi="Times New Roman" w:cs="Times New Roman"/>
          <w:sz w:val="28"/>
          <w:szCs w:val="24"/>
          <w:lang w:val="en-US"/>
        </w:rPr>
      </w:pPr>
    </w:p>
    <w:p w:rsidR="00F22601" w:rsidRPr="00D21805" w:rsidRDefault="00F22601" w:rsidP="00F22601">
      <w:pPr>
        <w:tabs>
          <w:tab w:val="left" w:pos="1134"/>
        </w:tabs>
        <w:spacing w:after="200" w:line="360" w:lineRule="auto"/>
        <w:ind w:left="709"/>
        <w:contextualSpacing/>
        <w:jc w:val="both"/>
        <w:rPr>
          <w:rFonts w:ascii="Times New Roman" w:hAnsi="Times New Roman" w:cs="Times New Roman"/>
          <w:sz w:val="28"/>
          <w:szCs w:val="24"/>
        </w:rPr>
      </w:pPr>
      <w:bookmarkStart w:id="9" w:name="_GoBack"/>
      <w:bookmarkEnd w:id="9"/>
      <w:r w:rsidRPr="00D21805">
        <w:rPr>
          <w:rFonts w:ascii="Times New Roman" w:hAnsi="Times New Roman" w:cs="Times New Roman"/>
          <w:sz w:val="28"/>
          <w:szCs w:val="24"/>
        </w:rPr>
        <w:lastRenderedPageBreak/>
        <w:t>Сведения о авторе:</w:t>
      </w:r>
    </w:p>
    <w:p w:rsidR="00F22601" w:rsidRPr="00D21805" w:rsidRDefault="00F22601" w:rsidP="00F22601">
      <w:pPr>
        <w:tabs>
          <w:tab w:val="left" w:pos="1134"/>
        </w:tabs>
        <w:spacing w:after="200" w:line="360" w:lineRule="auto"/>
        <w:ind w:left="709"/>
        <w:contextualSpacing/>
        <w:jc w:val="both"/>
        <w:rPr>
          <w:rFonts w:ascii="Times New Roman" w:hAnsi="Times New Roman" w:cs="Times New Roman"/>
          <w:sz w:val="28"/>
          <w:szCs w:val="24"/>
        </w:rPr>
      </w:pPr>
    </w:p>
    <w:p w:rsidR="00F22601" w:rsidRPr="00D21805" w:rsidRDefault="00F22601" w:rsidP="00F22601">
      <w:pPr>
        <w:tabs>
          <w:tab w:val="left" w:pos="1134"/>
        </w:tabs>
        <w:spacing w:after="200" w:line="360" w:lineRule="auto"/>
        <w:ind w:left="709"/>
        <w:contextualSpacing/>
        <w:jc w:val="both"/>
        <w:rPr>
          <w:rFonts w:ascii="Times New Roman" w:hAnsi="Times New Roman" w:cs="Times New Roman"/>
          <w:sz w:val="28"/>
          <w:szCs w:val="24"/>
        </w:rPr>
      </w:pPr>
      <w:r w:rsidRPr="00D21805">
        <w:rPr>
          <w:rFonts w:ascii="Times New Roman" w:hAnsi="Times New Roman" w:cs="Times New Roman"/>
          <w:sz w:val="28"/>
          <w:szCs w:val="24"/>
        </w:rPr>
        <w:t xml:space="preserve"> Макарова Василиса Александровна, к.э.н., доцент  департамента финансов Научно исследовательского университета Высшая школа экономики </w:t>
      </w:r>
    </w:p>
    <w:p w:rsidR="00F22601" w:rsidRPr="00D21805" w:rsidRDefault="00B537E0" w:rsidP="00F22601">
      <w:pPr>
        <w:tabs>
          <w:tab w:val="left" w:pos="1134"/>
        </w:tabs>
        <w:spacing w:after="200" w:line="360" w:lineRule="auto"/>
        <w:ind w:left="709"/>
        <w:contextualSpacing/>
        <w:jc w:val="both"/>
        <w:rPr>
          <w:rFonts w:ascii="Times New Roman" w:hAnsi="Times New Roman" w:cs="Times New Roman"/>
          <w:sz w:val="28"/>
          <w:szCs w:val="24"/>
        </w:rPr>
      </w:pPr>
      <w:hyperlink r:id="rId12" w:history="1">
        <w:r w:rsidR="00F22601" w:rsidRPr="00D21805">
          <w:rPr>
            <w:rStyle w:val="ad"/>
            <w:rFonts w:ascii="Times New Roman" w:hAnsi="Times New Roman" w:cs="Times New Roman"/>
            <w:sz w:val="28"/>
            <w:szCs w:val="24"/>
            <w:lang w:val="en-US"/>
          </w:rPr>
          <w:t>vmakarova@hse.ru</w:t>
        </w:r>
      </w:hyperlink>
      <w:proofErr w:type="gramStart"/>
      <w:r w:rsidR="00F22601" w:rsidRPr="00D21805">
        <w:rPr>
          <w:rFonts w:ascii="Times New Roman" w:hAnsi="Times New Roman" w:cs="Times New Roman"/>
          <w:sz w:val="28"/>
          <w:szCs w:val="24"/>
          <w:lang w:val="en-US"/>
        </w:rPr>
        <w:t>.,</w:t>
      </w:r>
      <w:proofErr w:type="gramEnd"/>
      <w:r w:rsidR="00F22601" w:rsidRPr="00D21805">
        <w:rPr>
          <w:rFonts w:ascii="Times New Roman" w:hAnsi="Times New Roman" w:cs="Times New Roman"/>
          <w:sz w:val="28"/>
          <w:szCs w:val="24"/>
          <w:lang w:val="en-US"/>
        </w:rPr>
        <w:t xml:space="preserve"> </w:t>
      </w:r>
      <w:r w:rsidR="00F22601" w:rsidRPr="00D21805">
        <w:rPr>
          <w:rFonts w:ascii="Times New Roman" w:hAnsi="Times New Roman" w:cs="Times New Roman"/>
          <w:sz w:val="28"/>
          <w:szCs w:val="24"/>
        </w:rPr>
        <w:t>тел 89119624386</w:t>
      </w:r>
    </w:p>
    <w:sectPr w:rsidR="00F22601" w:rsidRPr="00D21805" w:rsidSect="00D17EC8">
      <w:footerReference w:type="first" r:id="rId13"/>
      <w:pgSz w:w="11906" w:h="16838"/>
      <w:pgMar w:top="1134" w:right="1416" w:bottom="1134" w:left="1418"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E0" w:rsidRDefault="00B537E0" w:rsidP="002E36B8">
      <w:r>
        <w:separator/>
      </w:r>
    </w:p>
  </w:endnote>
  <w:endnote w:type="continuationSeparator" w:id="0">
    <w:p w:rsidR="00B537E0" w:rsidRDefault="00B537E0" w:rsidP="002E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FDinTextCompPro-Ligh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72843"/>
      <w:docPartObj>
        <w:docPartGallery w:val="Page Numbers (Bottom of Page)"/>
        <w:docPartUnique/>
      </w:docPartObj>
    </w:sdtPr>
    <w:sdtEndPr/>
    <w:sdtContent>
      <w:p w:rsidR="00D17EC8" w:rsidRDefault="00D17EC8">
        <w:pPr>
          <w:pStyle w:val="ae"/>
          <w:jc w:val="right"/>
        </w:pPr>
        <w:r>
          <w:fldChar w:fldCharType="begin"/>
        </w:r>
        <w:r>
          <w:instrText>PAGE   \* MERGEFORMAT</w:instrText>
        </w:r>
        <w:r>
          <w:fldChar w:fldCharType="separate"/>
        </w:r>
        <w:r w:rsidR="00B25BC0">
          <w:rPr>
            <w:noProof/>
          </w:rPr>
          <w:t>1</w:t>
        </w:r>
        <w:r>
          <w:fldChar w:fldCharType="end"/>
        </w:r>
      </w:p>
    </w:sdtContent>
  </w:sdt>
  <w:p w:rsidR="00D17EC8" w:rsidRDefault="00D17EC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E0" w:rsidRDefault="00B537E0" w:rsidP="002E36B8">
      <w:r>
        <w:separator/>
      </w:r>
    </w:p>
  </w:footnote>
  <w:footnote w:type="continuationSeparator" w:id="0">
    <w:p w:rsidR="00B537E0" w:rsidRDefault="00B537E0" w:rsidP="002E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01C"/>
    <w:multiLevelType w:val="hybridMultilevel"/>
    <w:tmpl w:val="20326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D5CC4"/>
    <w:multiLevelType w:val="hybridMultilevel"/>
    <w:tmpl w:val="16A6393C"/>
    <w:lvl w:ilvl="0" w:tplc="35B4BE2C">
      <w:start w:val="1"/>
      <w:numFmt w:val="decimal"/>
      <w:lvlText w:val="%1."/>
      <w:lvlJc w:val="left"/>
      <w:pPr>
        <w:ind w:left="928"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D627A"/>
    <w:multiLevelType w:val="hybridMultilevel"/>
    <w:tmpl w:val="6F080F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A26EA2"/>
    <w:multiLevelType w:val="hybridMultilevel"/>
    <w:tmpl w:val="3E8602F0"/>
    <w:lvl w:ilvl="0" w:tplc="312837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83712"/>
    <w:multiLevelType w:val="hybridMultilevel"/>
    <w:tmpl w:val="BBB81836"/>
    <w:lvl w:ilvl="0" w:tplc="312837C2">
      <w:start w:val="1"/>
      <w:numFmt w:val="bullet"/>
      <w:lvlText w:val=""/>
      <w:lvlJc w:val="left"/>
      <w:pPr>
        <w:ind w:left="1429" w:hanging="360"/>
      </w:pPr>
      <w:rPr>
        <w:rFonts w:ascii="Symbol" w:hAnsi="Symbol" w:hint="default"/>
      </w:rPr>
    </w:lvl>
    <w:lvl w:ilvl="1" w:tplc="31ACEF02">
      <w:start w:val="1"/>
      <w:numFmt w:val="russianLower"/>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EF69E1"/>
    <w:multiLevelType w:val="hybridMultilevel"/>
    <w:tmpl w:val="56020828"/>
    <w:lvl w:ilvl="0" w:tplc="31283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D76517"/>
    <w:multiLevelType w:val="hybridMultilevel"/>
    <w:tmpl w:val="E9E0CED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EBD7F2F"/>
    <w:multiLevelType w:val="hybridMultilevel"/>
    <w:tmpl w:val="E56E4416"/>
    <w:lvl w:ilvl="0" w:tplc="E0A48A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4C000F4"/>
    <w:multiLevelType w:val="hybridMultilevel"/>
    <w:tmpl w:val="5C500350"/>
    <w:lvl w:ilvl="0" w:tplc="312837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F31AD0"/>
    <w:multiLevelType w:val="hybridMultilevel"/>
    <w:tmpl w:val="97D8C400"/>
    <w:lvl w:ilvl="0" w:tplc="58262B9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8564D4"/>
    <w:multiLevelType w:val="hybridMultilevel"/>
    <w:tmpl w:val="C428AAFC"/>
    <w:lvl w:ilvl="0" w:tplc="312837C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39F47668"/>
    <w:multiLevelType w:val="hybridMultilevel"/>
    <w:tmpl w:val="9B8857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5A04A3"/>
    <w:multiLevelType w:val="hybridMultilevel"/>
    <w:tmpl w:val="DDE2E9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5366FAD"/>
    <w:multiLevelType w:val="hybridMultilevel"/>
    <w:tmpl w:val="1E8EAC06"/>
    <w:lvl w:ilvl="0" w:tplc="312837C2">
      <w:start w:val="1"/>
      <w:numFmt w:val="bullet"/>
      <w:lvlText w:val=""/>
      <w:lvlJc w:val="left"/>
      <w:pPr>
        <w:ind w:left="1429" w:hanging="360"/>
      </w:pPr>
      <w:rPr>
        <w:rFonts w:ascii="Symbol" w:hAnsi="Symbol" w:hint="default"/>
      </w:rPr>
    </w:lvl>
    <w:lvl w:ilvl="1" w:tplc="312837C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7519C4"/>
    <w:multiLevelType w:val="hybridMultilevel"/>
    <w:tmpl w:val="F85EE97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6B070A"/>
    <w:multiLevelType w:val="hybridMultilevel"/>
    <w:tmpl w:val="D4463C86"/>
    <w:lvl w:ilvl="0" w:tplc="6B1CA8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2170D11"/>
    <w:multiLevelType w:val="hybridMultilevel"/>
    <w:tmpl w:val="D17C00CA"/>
    <w:lvl w:ilvl="0" w:tplc="F03E06A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4A763C0"/>
    <w:multiLevelType w:val="hybridMultilevel"/>
    <w:tmpl w:val="0AFA889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CC6200"/>
    <w:multiLevelType w:val="hybridMultilevel"/>
    <w:tmpl w:val="237CCB22"/>
    <w:lvl w:ilvl="0" w:tplc="31ACEF02">
      <w:start w:val="1"/>
      <w:numFmt w:val="russianLower"/>
      <w:lvlText w:val="%1)"/>
      <w:lvlJc w:val="left"/>
      <w:pPr>
        <w:ind w:left="1429" w:hanging="360"/>
      </w:pPr>
      <w:rPr>
        <w:rFonts w:hint="default"/>
      </w:rPr>
    </w:lvl>
    <w:lvl w:ilvl="1" w:tplc="64F8DC26">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556B94"/>
    <w:multiLevelType w:val="hybridMultilevel"/>
    <w:tmpl w:val="90B6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187560"/>
    <w:multiLevelType w:val="hybridMultilevel"/>
    <w:tmpl w:val="52B8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A9636E"/>
    <w:multiLevelType w:val="hybridMultilevel"/>
    <w:tmpl w:val="9446CB9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EA2C9F"/>
    <w:multiLevelType w:val="hybridMultilevel"/>
    <w:tmpl w:val="048CD6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A576131"/>
    <w:multiLevelType w:val="hybridMultilevel"/>
    <w:tmpl w:val="B9847C38"/>
    <w:lvl w:ilvl="0" w:tplc="94CCFA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0E669CC"/>
    <w:multiLevelType w:val="hybridMultilevel"/>
    <w:tmpl w:val="0476958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C017882"/>
    <w:multiLevelType w:val="hybridMultilevel"/>
    <w:tmpl w:val="AA32BE16"/>
    <w:lvl w:ilvl="0" w:tplc="312837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F413232"/>
    <w:multiLevelType w:val="hybridMultilevel"/>
    <w:tmpl w:val="D7FA1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7"/>
  </w:num>
  <w:num w:numId="4">
    <w:abstractNumId w:val="16"/>
  </w:num>
  <w:num w:numId="5">
    <w:abstractNumId w:val="9"/>
  </w:num>
  <w:num w:numId="6">
    <w:abstractNumId w:val="14"/>
  </w:num>
  <w:num w:numId="7">
    <w:abstractNumId w:val="12"/>
  </w:num>
  <w:num w:numId="8">
    <w:abstractNumId w:val="21"/>
  </w:num>
  <w:num w:numId="9">
    <w:abstractNumId w:val="26"/>
  </w:num>
  <w:num w:numId="10">
    <w:abstractNumId w:val="2"/>
  </w:num>
  <w:num w:numId="11">
    <w:abstractNumId w:val="11"/>
  </w:num>
  <w:num w:numId="12">
    <w:abstractNumId w:val="0"/>
  </w:num>
  <w:num w:numId="13">
    <w:abstractNumId w:val="20"/>
  </w:num>
  <w:num w:numId="14">
    <w:abstractNumId w:val="19"/>
  </w:num>
  <w:num w:numId="15">
    <w:abstractNumId w:val="15"/>
  </w:num>
  <w:num w:numId="16">
    <w:abstractNumId w:val="10"/>
  </w:num>
  <w:num w:numId="17">
    <w:abstractNumId w:val="25"/>
  </w:num>
  <w:num w:numId="18">
    <w:abstractNumId w:val="17"/>
  </w:num>
  <w:num w:numId="19">
    <w:abstractNumId w:val="5"/>
  </w:num>
  <w:num w:numId="20">
    <w:abstractNumId w:val="18"/>
  </w:num>
  <w:num w:numId="21">
    <w:abstractNumId w:val="3"/>
  </w:num>
  <w:num w:numId="22">
    <w:abstractNumId w:val="8"/>
  </w:num>
  <w:num w:numId="23">
    <w:abstractNumId w:val="4"/>
  </w:num>
  <w:num w:numId="24">
    <w:abstractNumId w:val="13"/>
  </w:num>
  <w:num w:numId="25">
    <w:abstractNumId w:val="24"/>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36"/>
    <w:rsid w:val="00001C86"/>
    <w:rsid w:val="00014979"/>
    <w:rsid w:val="00023950"/>
    <w:rsid w:val="00027B1D"/>
    <w:rsid w:val="00027EB7"/>
    <w:rsid w:val="00030F0B"/>
    <w:rsid w:val="0003133A"/>
    <w:rsid w:val="00046D68"/>
    <w:rsid w:val="00050376"/>
    <w:rsid w:val="00055263"/>
    <w:rsid w:val="00056CBC"/>
    <w:rsid w:val="0005742A"/>
    <w:rsid w:val="0007446F"/>
    <w:rsid w:val="000934FF"/>
    <w:rsid w:val="00093FD1"/>
    <w:rsid w:val="00095299"/>
    <w:rsid w:val="00097B9F"/>
    <w:rsid w:val="000B14A9"/>
    <w:rsid w:val="000B1FEB"/>
    <w:rsid w:val="000B7CC9"/>
    <w:rsid w:val="000E251A"/>
    <w:rsid w:val="000F4307"/>
    <w:rsid w:val="00103FE6"/>
    <w:rsid w:val="00110FA4"/>
    <w:rsid w:val="00120A28"/>
    <w:rsid w:val="0012773E"/>
    <w:rsid w:val="00133CD4"/>
    <w:rsid w:val="001358C0"/>
    <w:rsid w:val="00137795"/>
    <w:rsid w:val="00151A41"/>
    <w:rsid w:val="00160DF6"/>
    <w:rsid w:val="00165BA8"/>
    <w:rsid w:val="00173EA7"/>
    <w:rsid w:val="00176C75"/>
    <w:rsid w:val="001772A9"/>
    <w:rsid w:val="00177EC3"/>
    <w:rsid w:val="001802B3"/>
    <w:rsid w:val="00180D85"/>
    <w:rsid w:val="0019174C"/>
    <w:rsid w:val="0019283C"/>
    <w:rsid w:val="00194240"/>
    <w:rsid w:val="001953FD"/>
    <w:rsid w:val="001A3303"/>
    <w:rsid w:val="001C3B9C"/>
    <w:rsid w:val="001C6525"/>
    <w:rsid w:val="001C6556"/>
    <w:rsid w:val="001D4DF9"/>
    <w:rsid w:val="001E0A3B"/>
    <w:rsid w:val="001E42CC"/>
    <w:rsid w:val="001E451E"/>
    <w:rsid w:val="001F3D02"/>
    <w:rsid w:val="001F5E4E"/>
    <w:rsid w:val="001F7C0A"/>
    <w:rsid w:val="00204E3D"/>
    <w:rsid w:val="0021112B"/>
    <w:rsid w:val="00211C7B"/>
    <w:rsid w:val="00211C9A"/>
    <w:rsid w:val="00220BF8"/>
    <w:rsid w:val="00243D62"/>
    <w:rsid w:val="002547FA"/>
    <w:rsid w:val="002563C7"/>
    <w:rsid w:val="002579D8"/>
    <w:rsid w:val="00257F08"/>
    <w:rsid w:val="00260D2F"/>
    <w:rsid w:val="00261B56"/>
    <w:rsid w:val="00270BFF"/>
    <w:rsid w:val="00271FA5"/>
    <w:rsid w:val="0028629B"/>
    <w:rsid w:val="00290FC2"/>
    <w:rsid w:val="00291533"/>
    <w:rsid w:val="002951CB"/>
    <w:rsid w:val="002A0725"/>
    <w:rsid w:val="002A0D85"/>
    <w:rsid w:val="002A26B5"/>
    <w:rsid w:val="002B04EB"/>
    <w:rsid w:val="002B4BB3"/>
    <w:rsid w:val="002C0D4C"/>
    <w:rsid w:val="002C0F35"/>
    <w:rsid w:val="002C632A"/>
    <w:rsid w:val="002D0E36"/>
    <w:rsid w:val="002E36B8"/>
    <w:rsid w:val="002F0F40"/>
    <w:rsid w:val="00311D63"/>
    <w:rsid w:val="00312860"/>
    <w:rsid w:val="00315549"/>
    <w:rsid w:val="003162D8"/>
    <w:rsid w:val="0032219C"/>
    <w:rsid w:val="00331FE5"/>
    <w:rsid w:val="0034386E"/>
    <w:rsid w:val="00352032"/>
    <w:rsid w:val="00353624"/>
    <w:rsid w:val="003606EF"/>
    <w:rsid w:val="00365FD4"/>
    <w:rsid w:val="0037059E"/>
    <w:rsid w:val="003725A4"/>
    <w:rsid w:val="00382FEB"/>
    <w:rsid w:val="00392601"/>
    <w:rsid w:val="00393639"/>
    <w:rsid w:val="0039470C"/>
    <w:rsid w:val="003A0087"/>
    <w:rsid w:val="003A278F"/>
    <w:rsid w:val="003A6A47"/>
    <w:rsid w:val="003B000A"/>
    <w:rsid w:val="003B4F05"/>
    <w:rsid w:val="003B7FDE"/>
    <w:rsid w:val="003C2A21"/>
    <w:rsid w:val="00400742"/>
    <w:rsid w:val="004167D6"/>
    <w:rsid w:val="004231E4"/>
    <w:rsid w:val="00426A66"/>
    <w:rsid w:val="00433257"/>
    <w:rsid w:val="00434B15"/>
    <w:rsid w:val="00441230"/>
    <w:rsid w:val="00457E7F"/>
    <w:rsid w:val="00461404"/>
    <w:rsid w:val="00462215"/>
    <w:rsid w:val="004668A1"/>
    <w:rsid w:val="00467B09"/>
    <w:rsid w:val="004713F5"/>
    <w:rsid w:val="00475B16"/>
    <w:rsid w:val="004818F2"/>
    <w:rsid w:val="0048395F"/>
    <w:rsid w:val="00496052"/>
    <w:rsid w:val="00497B59"/>
    <w:rsid w:val="004B03AE"/>
    <w:rsid w:val="004B4F41"/>
    <w:rsid w:val="004E134D"/>
    <w:rsid w:val="004E2895"/>
    <w:rsid w:val="004F5D1A"/>
    <w:rsid w:val="00501AA7"/>
    <w:rsid w:val="00507CE4"/>
    <w:rsid w:val="00513C12"/>
    <w:rsid w:val="00522BAB"/>
    <w:rsid w:val="00522C0D"/>
    <w:rsid w:val="005274BB"/>
    <w:rsid w:val="00536525"/>
    <w:rsid w:val="00536F46"/>
    <w:rsid w:val="00542AC5"/>
    <w:rsid w:val="0055296C"/>
    <w:rsid w:val="005632D1"/>
    <w:rsid w:val="00575CD1"/>
    <w:rsid w:val="005775E9"/>
    <w:rsid w:val="00585BAB"/>
    <w:rsid w:val="00586553"/>
    <w:rsid w:val="0059564C"/>
    <w:rsid w:val="00595CB0"/>
    <w:rsid w:val="005A40E4"/>
    <w:rsid w:val="005A50D8"/>
    <w:rsid w:val="005C1000"/>
    <w:rsid w:val="005C79E7"/>
    <w:rsid w:val="005D18B0"/>
    <w:rsid w:val="005E3D70"/>
    <w:rsid w:val="005F5810"/>
    <w:rsid w:val="00600D31"/>
    <w:rsid w:val="00605204"/>
    <w:rsid w:val="00620093"/>
    <w:rsid w:val="00624E64"/>
    <w:rsid w:val="006266C5"/>
    <w:rsid w:val="00644B60"/>
    <w:rsid w:val="00666538"/>
    <w:rsid w:val="0067155F"/>
    <w:rsid w:val="0067715D"/>
    <w:rsid w:val="0067771D"/>
    <w:rsid w:val="00690D1F"/>
    <w:rsid w:val="00694328"/>
    <w:rsid w:val="006B5F32"/>
    <w:rsid w:val="006C0435"/>
    <w:rsid w:val="006C04C5"/>
    <w:rsid w:val="006F0FCB"/>
    <w:rsid w:val="006F5B5E"/>
    <w:rsid w:val="00705A72"/>
    <w:rsid w:val="00706AD4"/>
    <w:rsid w:val="00711563"/>
    <w:rsid w:val="007130AE"/>
    <w:rsid w:val="00716697"/>
    <w:rsid w:val="00731F34"/>
    <w:rsid w:val="00733B29"/>
    <w:rsid w:val="00735180"/>
    <w:rsid w:val="00743564"/>
    <w:rsid w:val="00752DD8"/>
    <w:rsid w:val="00762938"/>
    <w:rsid w:val="00764258"/>
    <w:rsid w:val="007662CF"/>
    <w:rsid w:val="007663CD"/>
    <w:rsid w:val="00775EF2"/>
    <w:rsid w:val="00787E37"/>
    <w:rsid w:val="007C382D"/>
    <w:rsid w:val="007C400C"/>
    <w:rsid w:val="007D27A5"/>
    <w:rsid w:val="007D3047"/>
    <w:rsid w:val="007D5736"/>
    <w:rsid w:val="007F3105"/>
    <w:rsid w:val="0082432F"/>
    <w:rsid w:val="00836849"/>
    <w:rsid w:val="008368DC"/>
    <w:rsid w:val="008401B9"/>
    <w:rsid w:val="00840364"/>
    <w:rsid w:val="00841014"/>
    <w:rsid w:val="008466B1"/>
    <w:rsid w:val="008542A6"/>
    <w:rsid w:val="0085521A"/>
    <w:rsid w:val="00855D47"/>
    <w:rsid w:val="008616B5"/>
    <w:rsid w:val="008617C1"/>
    <w:rsid w:val="00863D87"/>
    <w:rsid w:val="008735B3"/>
    <w:rsid w:val="00890A3D"/>
    <w:rsid w:val="0089103E"/>
    <w:rsid w:val="008A3079"/>
    <w:rsid w:val="008A7580"/>
    <w:rsid w:val="008B1766"/>
    <w:rsid w:val="008B27FF"/>
    <w:rsid w:val="008C38FD"/>
    <w:rsid w:val="008C5618"/>
    <w:rsid w:val="008D59D8"/>
    <w:rsid w:val="008E27F6"/>
    <w:rsid w:val="008E3A73"/>
    <w:rsid w:val="008F0624"/>
    <w:rsid w:val="008F4F86"/>
    <w:rsid w:val="00926A09"/>
    <w:rsid w:val="00950F88"/>
    <w:rsid w:val="00955132"/>
    <w:rsid w:val="00955B45"/>
    <w:rsid w:val="00957B3D"/>
    <w:rsid w:val="00960DF2"/>
    <w:rsid w:val="00975453"/>
    <w:rsid w:val="00975A58"/>
    <w:rsid w:val="009776CF"/>
    <w:rsid w:val="009829D8"/>
    <w:rsid w:val="00990D42"/>
    <w:rsid w:val="0099302F"/>
    <w:rsid w:val="009A0549"/>
    <w:rsid w:val="009B1B65"/>
    <w:rsid w:val="009B6259"/>
    <w:rsid w:val="009C39F5"/>
    <w:rsid w:val="009C55AF"/>
    <w:rsid w:val="009C7531"/>
    <w:rsid w:val="009F16D7"/>
    <w:rsid w:val="009F198B"/>
    <w:rsid w:val="009F1C04"/>
    <w:rsid w:val="00A05135"/>
    <w:rsid w:val="00A05C79"/>
    <w:rsid w:val="00A13F62"/>
    <w:rsid w:val="00A20752"/>
    <w:rsid w:val="00A22567"/>
    <w:rsid w:val="00A34DA3"/>
    <w:rsid w:val="00A36593"/>
    <w:rsid w:val="00A37413"/>
    <w:rsid w:val="00A40DFD"/>
    <w:rsid w:val="00A52B86"/>
    <w:rsid w:val="00A53CC0"/>
    <w:rsid w:val="00A54967"/>
    <w:rsid w:val="00A65B0F"/>
    <w:rsid w:val="00A91F66"/>
    <w:rsid w:val="00A94552"/>
    <w:rsid w:val="00A948B3"/>
    <w:rsid w:val="00A95A66"/>
    <w:rsid w:val="00AA0D12"/>
    <w:rsid w:val="00AA0F1C"/>
    <w:rsid w:val="00AA47DB"/>
    <w:rsid w:val="00AA5BB2"/>
    <w:rsid w:val="00AC1349"/>
    <w:rsid w:val="00AC3CBA"/>
    <w:rsid w:val="00AC501E"/>
    <w:rsid w:val="00AC6850"/>
    <w:rsid w:val="00AD7019"/>
    <w:rsid w:val="00AE1542"/>
    <w:rsid w:val="00AE498C"/>
    <w:rsid w:val="00AE73BF"/>
    <w:rsid w:val="00AF2ABB"/>
    <w:rsid w:val="00B00D0E"/>
    <w:rsid w:val="00B04A06"/>
    <w:rsid w:val="00B1160E"/>
    <w:rsid w:val="00B23F9C"/>
    <w:rsid w:val="00B25BC0"/>
    <w:rsid w:val="00B35DA8"/>
    <w:rsid w:val="00B3627C"/>
    <w:rsid w:val="00B365FA"/>
    <w:rsid w:val="00B37569"/>
    <w:rsid w:val="00B407B7"/>
    <w:rsid w:val="00B537E0"/>
    <w:rsid w:val="00B53922"/>
    <w:rsid w:val="00B63F78"/>
    <w:rsid w:val="00B66E6A"/>
    <w:rsid w:val="00B67E23"/>
    <w:rsid w:val="00B7190B"/>
    <w:rsid w:val="00B752A5"/>
    <w:rsid w:val="00B75881"/>
    <w:rsid w:val="00B80A6A"/>
    <w:rsid w:val="00B81438"/>
    <w:rsid w:val="00B962B3"/>
    <w:rsid w:val="00B979B6"/>
    <w:rsid w:val="00BC01C2"/>
    <w:rsid w:val="00BD120B"/>
    <w:rsid w:val="00BD7A09"/>
    <w:rsid w:val="00BE040B"/>
    <w:rsid w:val="00BE38B7"/>
    <w:rsid w:val="00C0547B"/>
    <w:rsid w:val="00C058B3"/>
    <w:rsid w:val="00C20CD4"/>
    <w:rsid w:val="00C211B8"/>
    <w:rsid w:val="00C25972"/>
    <w:rsid w:val="00C25A37"/>
    <w:rsid w:val="00C2658F"/>
    <w:rsid w:val="00C27875"/>
    <w:rsid w:val="00C364A9"/>
    <w:rsid w:val="00C450EB"/>
    <w:rsid w:val="00C51FD4"/>
    <w:rsid w:val="00C548D7"/>
    <w:rsid w:val="00C6240D"/>
    <w:rsid w:val="00C6278B"/>
    <w:rsid w:val="00C6469D"/>
    <w:rsid w:val="00C65644"/>
    <w:rsid w:val="00C65F30"/>
    <w:rsid w:val="00C7220E"/>
    <w:rsid w:val="00C764D1"/>
    <w:rsid w:val="00C819BF"/>
    <w:rsid w:val="00C84EC2"/>
    <w:rsid w:val="00C90BF4"/>
    <w:rsid w:val="00C9423C"/>
    <w:rsid w:val="00CA3C5E"/>
    <w:rsid w:val="00CB2F90"/>
    <w:rsid w:val="00CC2E87"/>
    <w:rsid w:val="00CC7EC6"/>
    <w:rsid w:val="00CE6349"/>
    <w:rsid w:val="00CF2A6F"/>
    <w:rsid w:val="00CF3677"/>
    <w:rsid w:val="00D108A0"/>
    <w:rsid w:val="00D17EC8"/>
    <w:rsid w:val="00D21805"/>
    <w:rsid w:val="00D2584C"/>
    <w:rsid w:val="00D26B4F"/>
    <w:rsid w:val="00D307D2"/>
    <w:rsid w:val="00D409A1"/>
    <w:rsid w:val="00D4265D"/>
    <w:rsid w:val="00D46B4A"/>
    <w:rsid w:val="00D50674"/>
    <w:rsid w:val="00D52E5B"/>
    <w:rsid w:val="00D57874"/>
    <w:rsid w:val="00D67CFE"/>
    <w:rsid w:val="00D71EC5"/>
    <w:rsid w:val="00D73869"/>
    <w:rsid w:val="00D756C4"/>
    <w:rsid w:val="00D84BDB"/>
    <w:rsid w:val="00DA0D10"/>
    <w:rsid w:val="00DA4FC7"/>
    <w:rsid w:val="00DA6578"/>
    <w:rsid w:val="00DA7034"/>
    <w:rsid w:val="00DB003C"/>
    <w:rsid w:val="00DB2DC8"/>
    <w:rsid w:val="00DB4849"/>
    <w:rsid w:val="00DB4F47"/>
    <w:rsid w:val="00DB5DD3"/>
    <w:rsid w:val="00DC37E9"/>
    <w:rsid w:val="00DC51C0"/>
    <w:rsid w:val="00DC5C78"/>
    <w:rsid w:val="00DC69B1"/>
    <w:rsid w:val="00DC71C6"/>
    <w:rsid w:val="00DD1199"/>
    <w:rsid w:val="00DD365B"/>
    <w:rsid w:val="00DD7F7C"/>
    <w:rsid w:val="00DE01E9"/>
    <w:rsid w:val="00DE3EC0"/>
    <w:rsid w:val="00DE461E"/>
    <w:rsid w:val="00DE673C"/>
    <w:rsid w:val="00DE741B"/>
    <w:rsid w:val="00DF0D59"/>
    <w:rsid w:val="00DF2D8D"/>
    <w:rsid w:val="00E0072B"/>
    <w:rsid w:val="00E01479"/>
    <w:rsid w:val="00E110EB"/>
    <w:rsid w:val="00E145A0"/>
    <w:rsid w:val="00E156DE"/>
    <w:rsid w:val="00E31833"/>
    <w:rsid w:val="00E33990"/>
    <w:rsid w:val="00E35CC7"/>
    <w:rsid w:val="00E45855"/>
    <w:rsid w:val="00E45C46"/>
    <w:rsid w:val="00E47921"/>
    <w:rsid w:val="00E57CDA"/>
    <w:rsid w:val="00E607A6"/>
    <w:rsid w:val="00E61B90"/>
    <w:rsid w:val="00E62919"/>
    <w:rsid w:val="00E65944"/>
    <w:rsid w:val="00E6649C"/>
    <w:rsid w:val="00E667E8"/>
    <w:rsid w:val="00E73957"/>
    <w:rsid w:val="00E8286B"/>
    <w:rsid w:val="00E83FE1"/>
    <w:rsid w:val="00E846D1"/>
    <w:rsid w:val="00E862B6"/>
    <w:rsid w:val="00EA333F"/>
    <w:rsid w:val="00EA6780"/>
    <w:rsid w:val="00EA7DAE"/>
    <w:rsid w:val="00EB302E"/>
    <w:rsid w:val="00EB3362"/>
    <w:rsid w:val="00EB4466"/>
    <w:rsid w:val="00EC59AE"/>
    <w:rsid w:val="00EC66FD"/>
    <w:rsid w:val="00ED7EE6"/>
    <w:rsid w:val="00EE0730"/>
    <w:rsid w:val="00EE1C57"/>
    <w:rsid w:val="00EE2827"/>
    <w:rsid w:val="00EE4F01"/>
    <w:rsid w:val="00F140F8"/>
    <w:rsid w:val="00F14B59"/>
    <w:rsid w:val="00F21602"/>
    <w:rsid w:val="00F22601"/>
    <w:rsid w:val="00F263B9"/>
    <w:rsid w:val="00F31C2F"/>
    <w:rsid w:val="00F3320C"/>
    <w:rsid w:val="00F437D7"/>
    <w:rsid w:val="00F517B4"/>
    <w:rsid w:val="00F52EC6"/>
    <w:rsid w:val="00F604F2"/>
    <w:rsid w:val="00F647EF"/>
    <w:rsid w:val="00F7660C"/>
    <w:rsid w:val="00F80AF4"/>
    <w:rsid w:val="00F90909"/>
    <w:rsid w:val="00F95A2A"/>
    <w:rsid w:val="00FA0E08"/>
    <w:rsid w:val="00FA6EA8"/>
    <w:rsid w:val="00FB1C8D"/>
    <w:rsid w:val="00FC1FD9"/>
    <w:rsid w:val="00FC32E0"/>
    <w:rsid w:val="00FC3FDC"/>
    <w:rsid w:val="00FD1F60"/>
    <w:rsid w:val="00FD7B63"/>
    <w:rsid w:val="00FE298F"/>
    <w:rsid w:val="00FF0515"/>
    <w:rsid w:val="00FF0814"/>
    <w:rsid w:val="00FF480C"/>
    <w:rsid w:val="00FF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46"/>
  </w:style>
  <w:style w:type="paragraph" w:styleId="1">
    <w:name w:val="heading 1"/>
    <w:basedOn w:val="a"/>
    <w:next w:val="a"/>
    <w:link w:val="10"/>
    <w:uiPriority w:val="9"/>
    <w:qFormat/>
    <w:rsid w:val="00151A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9103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151A4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A4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51A41"/>
    <w:rPr>
      <w:rFonts w:ascii="Times New Roman" w:eastAsia="Times New Roman" w:hAnsi="Times New Roman" w:cs="Times New Roman"/>
      <w:b/>
      <w:bCs/>
      <w:sz w:val="27"/>
      <w:szCs w:val="27"/>
      <w:lang w:eastAsia="ru-RU"/>
    </w:rPr>
  </w:style>
  <w:style w:type="character" w:styleId="a3">
    <w:name w:val="Strong"/>
    <w:basedOn w:val="a0"/>
    <w:uiPriority w:val="22"/>
    <w:qFormat/>
    <w:rsid w:val="00151A41"/>
    <w:rPr>
      <w:b/>
      <w:bCs/>
    </w:rPr>
  </w:style>
  <w:style w:type="paragraph" w:styleId="a4">
    <w:name w:val="No Spacing"/>
    <w:uiPriority w:val="1"/>
    <w:qFormat/>
    <w:rsid w:val="00151A41"/>
    <w:rPr>
      <w:rFonts w:eastAsiaTheme="minorEastAsia"/>
      <w:lang w:eastAsia="ru-RU"/>
    </w:rPr>
  </w:style>
  <w:style w:type="paragraph" w:styleId="a5">
    <w:name w:val="List Paragraph"/>
    <w:basedOn w:val="a"/>
    <w:uiPriority w:val="34"/>
    <w:qFormat/>
    <w:rsid w:val="00151A41"/>
    <w:pPr>
      <w:ind w:left="720"/>
      <w:contextualSpacing/>
    </w:pPr>
  </w:style>
  <w:style w:type="paragraph" w:customStyle="1" w:styleId="ConsPlusNormal">
    <w:name w:val="ConsPlusNormal"/>
    <w:rsid w:val="00E45C46"/>
    <w:pPr>
      <w:autoSpaceDE w:val="0"/>
      <w:autoSpaceDN w:val="0"/>
      <w:adjustRightInd w:val="0"/>
    </w:pPr>
    <w:rPr>
      <w:rFonts w:ascii="Times New Roman" w:hAnsi="Times New Roman" w:cs="Times New Roman"/>
      <w:sz w:val="28"/>
      <w:szCs w:val="28"/>
    </w:rPr>
  </w:style>
  <w:style w:type="table" w:styleId="a6">
    <w:name w:val="Table Grid"/>
    <w:basedOn w:val="a1"/>
    <w:uiPriority w:val="59"/>
    <w:rsid w:val="00E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C46"/>
    <w:pPr>
      <w:autoSpaceDE w:val="0"/>
      <w:autoSpaceDN w:val="0"/>
      <w:adjustRightInd w:val="0"/>
    </w:pPr>
    <w:rPr>
      <w:rFonts w:ascii="Times New Roman" w:hAnsi="Times New Roman" w:cs="Times New Roman"/>
      <w:color w:val="000000"/>
      <w:sz w:val="24"/>
      <w:szCs w:val="24"/>
    </w:rPr>
  </w:style>
  <w:style w:type="paragraph" w:styleId="a7">
    <w:name w:val="caption"/>
    <w:basedOn w:val="a"/>
    <w:next w:val="a"/>
    <w:uiPriority w:val="35"/>
    <w:unhideWhenUsed/>
    <w:qFormat/>
    <w:rsid w:val="00E45C46"/>
    <w:pPr>
      <w:spacing w:after="200"/>
    </w:pPr>
    <w:rPr>
      <w:b/>
      <w:bCs/>
      <w:color w:val="5B9BD5" w:themeColor="accent1"/>
      <w:sz w:val="18"/>
      <w:szCs w:val="18"/>
    </w:rPr>
  </w:style>
  <w:style w:type="paragraph" w:styleId="a8">
    <w:name w:val="Balloon Text"/>
    <w:basedOn w:val="a"/>
    <w:link w:val="a9"/>
    <w:uiPriority w:val="99"/>
    <w:semiHidden/>
    <w:unhideWhenUsed/>
    <w:rsid w:val="00E45C46"/>
    <w:rPr>
      <w:rFonts w:ascii="Tahoma" w:hAnsi="Tahoma" w:cs="Tahoma"/>
      <w:sz w:val="16"/>
      <w:szCs w:val="16"/>
    </w:rPr>
  </w:style>
  <w:style w:type="character" w:customStyle="1" w:styleId="a9">
    <w:name w:val="Текст выноски Знак"/>
    <w:basedOn w:val="a0"/>
    <w:link w:val="a8"/>
    <w:uiPriority w:val="99"/>
    <w:semiHidden/>
    <w:rsid w:val="00E45C46"/>
    <w:rPr>
      <w:rFonts w:ascii="Tahoma" w:hAnsi="Tahoma" w:cs="Tahoma"/>
      <w:sz w:val="16"/>
      <w:szCs w:val="16"/>
    </w:rPr>
  </w:style>
  <w:style w:type="paragraph" w:styleId="aa">
    <w:name w:val="footnote text"/>
    <w:basedOn w:val="a"/>
    <w:link w:val="ab"/>
    <w:uiPriority w:val="99"/>
    <w:semiHidden/>
    <w:unhideWhenUsed/>
    <w:rsid w:val="002E36B8"/>
    <w:rPr>
      <w:sz w:val="20"/>
      <w:szCs w:val="20"/>
    </w:rPr>
  </w:style>
  <w:style w:type="character" w:customStyle="1" w:styleId="ab">
    <w:name w:val="Текст сноски Знак"/>
    <w:basedOn w:val="a0"/>
    <w:link w:val="aa"/>
    <w:uiPriority w:val="99"/>
    <w:semiHidden/>
    <w:rsid w:val="002E36B8"/>
    <w:rPr>
      <w:sz w:val="20"/>
      <w:szCs w:val="20"/>
    </w:rPr>
  </w:style>
  <w:style w:type="character" w:styleId="ac">
    <w:name w:val="footnote reference"/>
    <w:basedOn w:val="a0"/>
    <w:uiPriority w:val="99"/>
    <w:semiHidden/>
    <w:unhideWhenUsed/>
    <w:rsid w:val="002E36B8"/>
    <w:rPr>
      <w:vertAlign w:val="superscript"/>
    </w:rPr>
  </w:style>
  <w:style w:type="character" w:styleId="ad">
    <w:name w:val="Hyperlink"/>
    <w:basedOn w:val="a0"/>
    <w:uiPriority w:val="99"/>
    <w:unhideWhenUsed/>
    <w:rsid w:val="008466B1"/>
    <w:rPr>
      <w:color w:val="0563C1" w:themeColor="hyperlink"/>
      <w:u w:val="single"/>
    </w:rPr>
  </w:style>
  <w:style w:type="character" w:customStyle="1" w:styleId="20">
    <w:name w:val="Заголовок 2 Знак"/>
    <w:basedOn w:val="a0"/>
    <w:link w:val="2"/>
    <w:uiPriority w:val="9"/>
    <w:semiHidden/>
    <w:rsid w:val="0089103E"/>
    <w:rPr>
      <w:rFonts w:asciiTheme="majorHAnsi" w:eastAsiaTheme="majorEastAsia" w:hAnsiTheme="majorHAnsi" w:cstheme="majorBidi"/>
      <w:b/>
      <w:bCs/>
      <w:color w:val="5B9BD5" w:themeColor="accent1"/>
      <w:sz w:val="26"/>
      <w:szCs w:val="26"/>
    </w:rPr>
  </w:style>
  <w:style w:type="paragraph" w:styleId="ae">
    <w:name w:val="footer"/>
    <w:basedOn w:val="a"/>
    <w:link w:val="af"/>
    <w:uiPriority w:val="99"/>
    <w:unhideWhenUsed/>
    <w:rsid w:val="00FA6EA8"/>
    <w:pPr>
      <w:tabs>
        <w:tab w:val="center" w:pos="4677"/>
        <w:tab w:val="right" w:pos="9355"/>
      </w:tabs>
    </w:pPr>
  </w:style>
  <w:style w:type="character" w:customStyle="1" w:styleId="af">
    <w:name w:val="Нижний колонтитул Знак"/>
    <w:basedOn w:val="a0"/>
    <w:link w:val="ae"/>
    <w:uiPriority w:val="99"/>
    <w:rsid w:val="00FA6EA8"/>
  </w:style>
  <w:style w:type="paragraph" w:styleId="af0">
    <w:name w:val="TOC Heading"/>
    <w:basedOn w:val="1"/>
    <w:next w:val="a"/>
    <w:uiPriority w:val="39"/>
    <w:semiHidden/>
    <w:unhideWhenUsed/>
    <w:qFormat/>
    <w:rsid w:val="001F7C0A"/>
    <w:pPr>
      <w:spacing w:before="480" w:line="276" w:lineRule="auto"/>
      <w:outlineLvl w:val="9"/>
    </w:pPr>
    <w:rPr>
      <w:b/>
      <w:bCs/>
      <w:sz w:val="28"/>
      <w:szCs w:val="28"/>
      <w:lang w:eastAsia="ru-RU"/>
    </w:rPr>
  </w:style>
  <w:style w:type="paragraph" w:styleId="11">
    <w:name w:val="toc 1"/>
    <w:basedOn w:val="a"/>
    <w:next w:val="a"/>
    <w:autoRedefine/>
    <w:uiPriority w:val="39"/>
    <w:unhideWhenUsed/>
    <w:rsid w:val="001F7C0A"/>
    <w:pPr>
      <w:spacing w:after="100"/>
    </w:pPr>
  </w:style>
  <w:style w:type="paragraph" w:styleId="21">
    <w:name w:val="toc 2"/>
    <w:basedOn w:val="a"/>
    <w:next w:val="a"/>
    <w:autoRedefine/>
    <w:uiPriority w:val="39"/>
    <w:unhideWhenUsed/>
    <w:rsid w:val="001F7C0A"/>
    <w:pPr>
      <w:spacing w:after="100"/>
      <w:ind w:left="220"/>
    </w:pPr>
  </w:style>
  <w:style w:type="paragraph" w:styleId="af1">
    <w:name w:val="header"/>
    <w:basedOn w:val="a"/>
    <w:link w:val="af2"/>
    <w:uiPriority w:val="99"/>
    <w:unhideWhenUsed/>
    <w:rsid w:val="00DB2DC8"/>
    <w:pPr>
      <w:tabs>
        <w:tab w:val="center" w:pos="4677"/>
        <w:tab w:val="right" w:pos="9355"/>
      </w:tabs>
    </w:pPr>
  </w:style>
  <w:style w:type="character" w:customStyle="1" w:styleId="af2">
    <w:name w:val="Верхний колонтитул Знак"/>
    <w:basedOn w:val="a0"/>
    <w:link w:val="af1"/>
    <w:uiPriority w:val="99"/>
    <w:rsid w:val="00DB2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46"/>
  </w:style>
  <w:style w:type="paragraph" w:styleId="1">
    <w:name w:val="heading 1"/>
    <w:basedOn w:val="a"/>
    <w:next w:val="a"/>
    <w:link w:val="10"/>
    <w:uiPriority w:val="9"/>
    <w:qFormat/>
    <w:rsid w:val="00151A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9103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151A41"/>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A4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51A41"/>
    <w:rPr>
      <w:rFonts w:ascii="Times New Roman" w:eastAsia="Times New Roman" w:hAnsi="Times New Roman" w:cs="Times New Roman"/>
      <w:b/>
      <w:bCs/>
      <w:sz w:val="27"/>
      <w:szCs w:val="27"/>
      <w:lang w:eastAsia="ru-RU"/>
    </w:rPr>
  </w:style>
  <w:style w:type="character" w:styleId="a3">
    <w:name w:val="Strong"/>
    <w:basedOn w:val="a0"/>
    <w:uiPriority w:val="22"/>
    <w:qFormat/>
    <w:rsid w:val="00151A41"/>
    <w:rPr>
      <w:b/>
      <w:bCs/>
    </w:rPr>
  </w:style>
  <w:style w:type="paragraph" w:styleId="a4">
    <w:name w:val="No Spacing"/>
    <w:uiPriority w:val="1"/>
    <w:qFormat/>
    <w:rsid w:val="00151A41"/>
    <w:rPr>
      <w:rFonts w:eastAsiaTheme="minorEastAsia"/>
      <w:lang w:eastAsia="ru-RU"/>
    </w:rPr>
  </w:style>
  <w:style w:type="paragraph" w:styleId="a5">
    <w:name w:val="List Paragraph"/>
    <w:basedOn w:val="a"/>
    <w:uiPriority w:val="34"/>
    <w:qFormat/>
    <w:rsid w:val="00151A41"/>
    <w:pPr>
      <w:ind w:left="720"/>
      <w:contextualSpacing/>
    </w:pPr>
  </w:style>
  <w:style w:type="paragraph" w:customStyle="1" w:styleId="ConsPlusNormal">
    <w:name w:val="ConsPlusNormal"/>
    <w:rsid w:val="00E45C46"/>
    <w:pPr>
      <w:autoSpaceDE w:val="0"/>
      <w:autoSpaceDN w:val="0"/>
      <w:adjustRightInd w:val="0"/>
    </w:pPr>
    <w:rPr>
      <w:rFonts w:ascii="Times New Roman" w:hAnsi="Times New Roman" w:cs="Times New Roman"/>
      <w:sz w:val="28"/>
      <w:szCs w:val="28"/>
    </w:rPr>
  </w:style>
  <w:style w:type="table" w:styleId="a6">
    <w:name w:val="Table Grid"/>
    <w:basedOn w:val="a1"/>
    <w:uiPriority w:val="59"/>
    <w:rsid w:val="00E4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C46"/>
    <w:pPr>
      <w:autoSpaceDE w:val="0"/>
      <w:autoSpaceDN w:val="0"/>
      <w:adjustRightInd w:val="0"/>
    </w:pPr>
    <w:rPr>
      <w:rFonts w:ascii="Times New Roman" w:hAnsi="Times New Roman" w:cs="Times New Roman"/>
      <w:color w:val="000000"/>
      <w:sz w:val="24"/>
      <w:szCs w:val="24"/>
    </w:rPr>
  </w:style>
  <w:style w:type="paragraph" w:styleId="a7">
    <w:name w:val="caption"/>
    <w:basedOn w:val="a"/>
    <w:next w:val="a"/>
    <w:uiPriority w:val="35"/>
    <w:unhideWhenUsed/>
    <w:qFormat/>
    <w:rsid w:val="00E45C46"/>
    <w:pPr>
      <w:spacing w:after="200"/>
    </w:pPr>
    <w:rPr>
      <w:b/>
      <w:bCs/>
      <w:color w:val="5B9BD5" w:themeColor="accent1"/>
      <w:sz w:val="18"/>
      <w:szCs w:val="18"/>
    </w:rPr>
  </w:style>
  <w:style w:type="paragraph" w:styleId="a8">
    <w:name w:val="Balloon Text"/>
    <w:basedOn w:val="a"/>
    <w:link w:val="a9"/>
    <w:uiPriority w:val="99"/>
    <w:semiHidden/>
    <w:unhideWhenUsed/>
    <w:rsid w:val="00E45C46"/>
    <w:rPr>
      <w:rFonts w:ascii="Tahoma" w:hAnsi="Tahoma" w:cs="Tahoma"/>
      <w:sz w:val="16"/>
      <w:szCs w:val="16"/>
    </w:rPr>
  </w:style>
  <w:style w:type="character" w:customStyle="1" w:styleId="a9">
    <w:name w:val="Текст выноски Знак"/>
    <w:basedOn w:val="a0"/>
    <w:link w:val="a8"/>
    <w:uiPriority w:val="99"/>
    <w:semiHidden/>
    <w:rsid w:val="00E45C46"/>
    <w:rPr>
      <w:rFonts w:ascii="Tahoma" w:hAnsi="Tahoma" w:cs="Tahoma"/>
      <w:sz w:val="16"/>
      <w:szCs w:val="16"/>
    </w:rPr>
  </w:style>
  <w:style w:type="paragraph" w:styleId="aa">
    <w:name w:val="footnote text"/>
    <w:basedOn w:val="a"/>
    <w:link w:val="ab"/>
    <w:uiPriority w:val="99"/>
    <w:semiHidden/>
    <w:unhideWhenUsed/>
    <w:rsid w:val="002E36B8"/>
    <w:rPr>
      <w:sz w:val="20"/>
      <w:szCs w:val="20"/>
    </w:rPr>
  </w:style>
  <w:style w:type="character" w:customStyle="1" w:styleId="ab">
    <w:name w:val="Текст сноски Знак"/>
    <w:basedOn w:val="a0"/>
    <w:link w:val="aa"/>
    <w:uiPriority w:val="99"/>
    <w:semiHidden/>
    <w:rsid w:val="002E36B8"/>
    <w:rPr>
      <w:sz w:val="20"/>
      <w:szCs w:val="20"/>
    </w:rPr>
  </w:style>
  <w:style w:type="character" w:styleId="ac">
    <w:name w:val="footnote reference"/>
    <w:basedOn w:val="a0"/>
    <w:uiPriority w:val="99"/>
    <w:semiHidden/>
    <w:unhideWhenUsed/>
    <w:rsid w:val="002E36B8"/>
    <w:rPr>
      <w:vertAlign w:val="superscript"/>
    </w:rPr>
  </w:style>
  <w:style w:type="character" w:styleId="ad">
    <w:name w:val="Hyperlink"/>
    <w:basedOn w:val="a0"/>
    <w:uiPriority w:val="99"/>
    <w:unhideWhenUsed/>
    <w:rsid w:val="008466B1"/>
    <w:rPr>
      <w:color w:val="0563C1" w:themeColor="hyperlink"/>
      <w:u w:val="single"/>
    </w:rPr>
  </w:style>
  <w:style w:type="character" w:customStyle="1" w:styleId="20">
    <w:name w:val="Заголовок 2 Знак"/>
    <w:basedOn w:val="a0"/>
    <w:link w:val="2"/>
    <w:uiPriority w:val="9"/>
    <w:semiHidden/>
    <w:rsid w:val="0089103E"/>
    <w:rPr>
      <w:rFonts w:asciiTheme="majorHAnsi" w:eastAsiaTheme="majorEastAsia" w:hAnsiTheme="majorHAnsi" w:cstheme="majorBidi"/>
      <w:b/>
      <w:bCs/>
      <w:color w:val="5B9BD5" w:themeColor="accent1"/>
      <w:sz w:val="26"/>
      <w:szCs w:val="26"/>
    </w:rPr>
  </w:style>
  <w:style w:type="paragraph" w:styleId="ae">
    <w:name w:val="footer"/>
    <w:basedOn w:val="a"/>
    <w:link w:val="af"/>
    <w:uiPriority w:val="99"/>
    <w:unhideWhenUsed/>
    <w:rsid w:val="00FA6EA8"/>
    <w:pPr>
      <w:tabs>
        <w:tab w:val="center" w:pos="4677"/>
        <w:tab w:val="right" w:pos="9355"/>
      </w:tabs>
    </w:pPr>
  </w:style>
  <w:style w:type="character" w:customStyle="1" w:styleId="af">
    <w:name w:val="Нижний колонтитул Знак"/>
    <w:basedOn w:val="a0"/>
    <w:link w:val="ae"/>
    <w:uiPriority w:val="99"/>
    <w:rsid w:val="00FA6EA8"/>
  </w:style>
  <w:style w:type="paragraph" w:styleId="af0">
    <w:name w:val="TOC Heading"/>
    <w:basedOn w:val="1"/>
    <w:next w:val="a"/>
    <w:uiPriority w:val="39"/>
    <w:semiHidden/>
    <w:unhideWhenUsed/>
    <w:qFormat/>
    <w:rsid w:val="001F7C0A"/>
    <w:pPr>
      <w:spacing w:before="480" w:line="276" w:lineRule="auto"/>
      <w:outlineLvl w:val="9"/>
    </w:pPr>
    <w:rPr>
      <w:b/>
      <w:bCs/>
      <w:sz w:val="28"/>
      <w:szCs w:val="28"/>
      <w:lang w:eastAsia="ru-RU"/>
    </w:rPr>
  </w:style>
  <w:style w:type="paragraph" w:styleId="11">
    <w:name w:val="toc 1"/>
    <w:basedOn w:val="a"/>
    <w:next w:val="a"/>
    <w:autoRedefine/>
    <w:uiPriority w:val="39"/>
    <w:unhideWhenUsed/>
    <w:rsid w:val="001F7C0A"/>
    <w:pPr>
      <w:spacing w:after="100"/>
    </w:pPr>
  </w:style>
  <w:style w:type="paragraph" w:styleId="21">
    <w:name w:val="toc 2"/>
    <w:basedOn w:val="a"/>
    <w:next w:val="a"/>
    <w:autoRedefine/>
    <w:uiPriority w:val="39"/>
    <w:unhideWhenUsed/>
    <w:rsid w:val="001F7C0A"/>
    <w:pPr>
      <w:spacing w:after="100"/>
      <w:ind w:left="220"/>
    </w:pPr>
  </w:style>
  <w:style w:type="paragraph" w:styleId="af1">
    <w:name w:val="header"/>
    <w:basedOn w:val="a"/>
    <w:link w:val="af2"/>
    <w:uiPriority w:val="99"/>
    <w:unhideWhenUsed/>
    <w:rsid w:val="00DB2DC8"/>
    <w:pPr>
      <w:tabs>
        <w:tab w:val="center" w:pos="4677"/>
        <w:tab w:val="right" w:pos="9355"/>
      </w:tabs>
    </w:pPr>
  </w:style>
  <w:style w:type="character" w:customStyle="1" w:styleId="af2">
    <w:name w:val="Верхний колонтитул Знак"/>
    <w:basedOn w:val="a0"/>
    <w:link w:val="af1"/>
    <w:uiPriority w:val="99"/>
    <w:rsid w:val="00DB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makarova@h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1076;&#1080;&#1089;&#1089;&#1077;&#1088;&#1090;&#1072;&#1094;&#1080;&#1103;%20&#1074;%20&#1088;&#1072;&#1073;&#1086;&#1090;&#1077;2\&#1082;&#1086;&#1088;&#1088;&#1077;&#1083;&#1103;&#1094;&#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дебиторская задолженность</c:v>
                </c:pt>
              </c:strCache>
            </c:strRef>
          </c:tx>
          <c:invertIfNegative val="0"/>
          <c:dLbls>
            <c:dLbl>
              <c:idx val="0"/>
              <c:layout>
                <c:manualLayout>
                  <c:x val="0"/>
                  <c:y val="2.75157283803288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Лист1!$B$2:$B$6</c:f>
              <c:numCache>
                <c:formatCode>#,##0</c:formatCode>
                <c:ptCount val="5"/>
                <c:pt idx="0">
                  <c:v>21797</c:v>
                </c:pt>
                <c:pt idx="1">
                  <c:v>22887</c:v>
                </c:pt>
                <c:pt idx="2">
                  <c:v>26264</c:v>
                </c:pt>
                <c:pt idx="3">
                  <c:v>31014</c:v>
                </c:pt>
                <c:pt idx="4">
                  <c:v>35736</c:v>
                </c:pt>
              </c:numCache>
            </c:numRef>
          </c:val>
        </c:ser>
        <c:ser>
          <c:idx val="1"/>
          <c:order val="1"/>
          <c:tx>
            <c:strRef>
              <c:f>Лист1!$C$1</c:f>
              <c:strCache>
                <c:ptCount val="1"/>
                <c:pt idx="0">
                  <c:v>кредиторская задолженность</c:v>
                </c:pt>
              </c:strCache>
            </c:strRef>
          </c:tx>
          <c:invertIfNegative val="0"/>
          <c:dLbls>
            <c:dLbl>
              <c:idx val="0"/>
              <c:layout>
                <c:manualLayout>
                  <c:x val="0"/>
                  <c:y val="-4.4025165408526239E-2"/>
                </c:manualLayout>
              </c:layout>
              <c:showLegendKey val="0"/>
              <c:showVal val="1"/>
              <c:showCatName val="0"/>
              <c:showSerName val="0"/>
              <c:showPercent val="0"/>
              <c:showBubbleSize val="0"/>
            </c:dLbl>
            <c:dLbl>
              <c:idx val="1"/>
              <c:layout>
                <c:manualLayout>
                  <c:x val="0"/>
                  <c:y val="-3.8522019732460458E-2"/>
                </c:manualLayout>
              </c:layout>
              <c:showLegendKey val="0"/>
              <c:showVal val="1"/>
              <c:showCatName val="0"/>
              <c:showSerName val="0"/>
              <c:showPercent val="0"/>
              <c:showBubbleSize val="0"/>
            </c:dLbl>
            <c:dLbl>
              <c:idx val="2"/>
              <c:layout>
                <c:manualLayout>
                  <c:x val="0"/>
                  <c:y val="-3.3018874056394705E-2"/>
                </c:manualLayout>
              </c:layout>
              <c:showLegendKey val="0"/>
              <c:showVal val="1"/>
              <c:showCatName val="0"/>
              <c:showSerName val="0"/>
              <c:showPercent val="0"/>
              <c:showBubbleSize val="0"/>
            </c:dLbl>
            <c:dLbl>
              <c:idx val="3"/>
              <c:layout>
                <c:manualLayout>
                  <c:x val="0"/>
                  <c:y val="-2.2012582704263119E-2"/>
                </c:manualLayout>
              </c:layout>
              <c:showLegendKey val="0"/>
              <c:showVal val="1"/>
              <c:showCatName val="0"/>
              <c:showSerName val="0"/>
              <c:showPercent val="0"/>
              <c:showBubbleSize val="0"/>
            </c:dLbl>
            <c:dLbl>
              <c:idx val="4"/>
              <c:layout>
                <c:manualLayout>
                  <c:x val="0"/>
                  <c:y val="-2.75157283803288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2011</c:v>
                </c:pt>
                <c:pt idx="1">
                  <c:v>2012</c:v>
                </c:pt>
                <c:pt idx="2">
                  <c:v>2013</c:v>
                </c:pt>
                <c:pt idx="3">
                  <c:v>2014</c:v>
                </c:pt>
                <c:pt idx="4">
                  <c:v>2015</c:v>
                </c:pt>
              </c:numCache>
            </c:numRef>
          </c:cat>
          <c:val>
            <c:numRef>
              <c:f>Лист1!$C$2:$C$6</c:f>
              <c:numCache>
                <c:formatCode>#,##0</c:formatCode>
                <c:ptCount val="5"/>
                <c:pt idx="0">
                  <c:v>20954</c:v>
                </c:pt>
                <c:pt idx="1">
                  <c:v>23632</c:v>
                </c:pt>
                <c:pt idx="2">
                  <c:v>27532</c:v>
                </c:pt>
                <c:pt idx="3">
                  <c:v>33174</c:v>
                </c:pt>
                <c:pt idx="4">
                  <c:v>38925</c:v>
                </c:pt>
              </c:numCache>
            </c:numRef>
          </c:val>
        </c:ser>
        <c:dLbls>
          <c:showLegendKey val="0"/>
          <c:showVal val="1"/>
          <c:showCatName val="0"/>
          <c:showSerName val="0"/>
          <c:showPercent val="0"/>
          <c:showBubbleSize val="0"/>
        </c:dLbls>
        <c:gapWidth val="75"/>
        <c:axId val="394201728"/>
        <c:axId val="364560768"/>
      </c:barChart>
      <c:catAx>
        <c:axId val="394201728"/>
        <c:scaling>
          <c:orientation val="minMax"/>
        </c:scaling>
        <c:delete val="0"/>
        <c:axPos val="b"/>
        <c:numFmt formatCode="General" sourceLinked="1"/>
        <c:majorTickMark val="none"/>
        <c:minorTickMark val="none"/>
        <c:tickLblPos val="nextTo"/>
        <c:crossAx val="364560768"/>
        <c:crosses val="autoZero"/>
        <c:auto val="1"/>
        <c:lblAlgn val="ctr"/>
        <c:lblOffset val="100"/>
        <c:noMultiLvlLbl val="0"/>
      </c:catAx>
      <c:valAx>
        <c:axId val="364560768"/>
        <c:scaling>
          <c:orientation val="minMax"/>
        </c:scaling>
        <c:delete val="0"/>
        <c:axPos val="l"/>
        <c:title>
          <c:tx>
            <c:rich>
              <a:bodyPr rot="-5400000" vert="horz"/>
              <a:lstStyle/>
              <a:p>
                <a:pPr>
                  <a:defRPr/>
                </a:pPr>
                <a:r>
                  <a:rPr lang="ru-RU"/>
                  <a:t>млрд. руб.</a:t>
                </a:r>
              </a:p>
            </c:rich>
          </c:tx>
          <c:layout>
            <c:manualLayout>
              <c:xMode val="edge"/>
              <c:yMode val="edge"/>
              <c:x val="4.1592399398383958E-3"/>
              <c:y val="0.25903951741860554"/>
            </c:manualLayout>
          </c:layout>
          <c:overlay val="0"/>
        </c:title>
        <c:numFmt formatCode="#,##0" sourceLinked="1"/>
        <c:majorTickMark val="none"/>
        <c:minorTickMark val="none"/>
        <c:tickLblPos val="nextTo"/>
        <c:crossAx val="394201728"/>
        <c:crosses val="autoZero"/>
        <c:crossBetween val="between"/>
      </c:valAx>
    </c:plotArea>
    <c:legend>
      <c:legendPos val="b"/>
      <c:overlay val="0"/>
      <c:txPr>
        <a:bodyPr/>
        <a:lstStyle/>
        <a:p>
          <a:pPr>
            <a:defRPr sz="1200"/>
          </a:pPr>
          <a:endParaRPr lang="ru-RU"/>
        </a:p>
      </c:txPr>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Количество обанкротившихся организаций в РФ за 2012 - 2015 гг.</c:v>
                </c:pt>
              </c:strCache>
            </c:strRef>
          </c:tx>
          <c:dLbls>
            <c:dLbl>
              <c:idx val="0"/>
              <c:layout>
                <c:manualLayout>
                  <c:x val="-2.0757851166860923E-3"/>
                  <c:y val="0.10253504774761101"/>
                </c:manualLayout>
              </c:layout>
              <c:showLegendKey val="0"/>
              <c:showVal val="1"/>
              <c:showCatName val="0"/>
              <c:showSerName val="0"/>
              <c:showPercent val="0"/>
              <c:showBubbleSize val="0"/>
            </c:dLbl>
            <c:dLbl>
              <c:idx val="1"/>
              <c:layout>
                <c:manualLayout>
                  <c:x val="-4.1515702333721847E-3"/>
                  <c:y val="5.6394498286769859E-2"/>
                </c:manualLayout>
              </c:layout>
              <c:showLegendKey val="0"/>
              <c:showVal val="1"/>
              <c:showCatName val="0"/>
              <c:showSerName val="0"/>
              <c:showPercent val="0"/>
              <c:showBubbleSize val="0"/>
            </c:dLbl>
            <c:dLbl>
              <c:idx val="2"/>
              <c:layout>
                <c:manualLayout>
                  <c:x val="7.6111241701597764E-17"/>
                  <c:y val="6.6648043429818921E-2"/>
                </c:manualLayout>
              </c:layout>
              <c:showLegendKey val="0"/>
              <c:showVal val="1"/>
              <c:showCatName val="0"/>
              <c:showSerName val="0"/>
              <c:showPercent val="0"/>
              <c:showBubbleSize val="0"/>
            </c:dLbl>
            <c:dLbl>
              <c:idx val="3"/>
              <c:layout>
                <c:manualLayout>
                  <c:x val="-1.5226163034778482E-16"/>
                  <c:y val="-5.6574922979775948E-2"/>
                </c:manualLayout>
              </c:layout>
              <c:showLegendKey val="0"/>
              <c:showVal val="1"/>
              <c:showCatName val="0"/>
              <c:showSerName val="0"/>
              <c:showPercent val="0"/>
              <c:showBubbleSize val="0"/>
            </c:dLbl>
            <c:dLbl>
              <c:idx val="4"/>
              <c:layout>
                <c:manualLayout>
                  <c:x val="0"/>
                  <c:y val="4.244282008960148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Лист1!$A$2:$A$6</c:f>
              <c:numCache>
                <c:formatCode>General</c:formatCode>
                <c:ptCount val="5"/>
                <c:pt idx="0">
                  <c:v>2012</c:v>
                </c:pt>
                <c:pt idx="1">
                  <c:v>2013</c:v>
                </c:pt>
                <c:pt idx="2">
                  <c:v>2014</c:v>
                </c:pt>
                <c:pt idx="3">
                  <c:v>2015</c:v>
                </c:pt>
                <c:pt idx="4">
                  <c:v>2016</c:v>
                </c:pt>
              </c:numCache>
            </c:numRef>
          </c:cat>
          <c:val>
            <c:numRef>
              <c:f>Лист1!$B$2:$B$6</c:f>
              <c:numCache>
                <c:formatCode>#,##0</c:formatCode>
                <c:ptCount val="5"/>
                <c:pt idx="0">
                  <c:v>9729</c:v>
                </c:pt>
                <c:pt idx="1">
                  <c:v>10580</c:v>
                </c:pt>
                <c:pt idx="2">
                  <c:v>12508</c:v>
                </c:pt>
                <c:pt idx="3">
                  <c:v>12591</c:v>
                </c:pt>
                <c:pt idx="4">
                  <c:v>12179</c:v>
                </c:pt>
              </c:numCache>
            </c:numRef>
          </c:val>
          <c:smooth val="0"/>
        </c:ser>
        <c:dLbls>
          <c:showLegendKey val="0"/>
          <c:showVal val="1"/>
          <c:showCatName val="0"/>
          <c:showSerName val="0"/>
          <c:showPercent val="0"/>
          <c:showBubbleSize val="0"/>
        </c:dLbls>
        <c:marker val="1"/>
        <c:smooth val="0"/>
        <c:axId val="364576128"/>
        <c:axId val="364853504"/>
      </c:lineChart>
      <c:catAx>
        <c:axId val="364576128"/>
        <c:scaling>
          <c:orientation val="minMax"/>
        </c:scaling>
        <c:delete val="0"/>
        <c:axPos val="b"/>
        <c:numFmt formatCode="General" sourceLinked="1"/>
        <c:majorTickMark val="none"/>
        <c:minorTickMark val="none"/>
        <c:tickLblPos val="nextTo"/>
        <c:crossAx val="364853504"/>
        <c:crosses val="autoZero"/>
        <c:auto val="1"/>
        <c:lblAlgn val="ctr"/>
        <c:lblOffset val="100"/>
        <c:noMultiLvlLbl val="0"/>
      </c:catAx>
      <c:valAx>
        <c:axId val="364853504"/>
        <c:scaling>
          <c:orientation val="minMax"/>
        </c:scaling>
        <c:delete val="0"/>
        <c:axPos val="l"/>
        <c:majorGridlines/>
        <c:numFmt formatCode="#,##0" sourceLinked="1"/>
        <c:majorTickMark val="none"/>
        <c:minorTickMark val="none"/>
        <c:tickLblPos val="nextTo"/>
        <c:crossAx val="36457612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6014451845997"/>
          <c:y val="5.3912219305920092E-2"/>
          <c:w val="0.77619961612284072"/>
          <c:h val="0.71590259550889468"/>
        </c:manualLayout>
      </c:layout>
      <c:scatterChart>
        <c:scatterStyle val="lineMarker"/>
        <c:varyColors val="0"/>
        <c:ser>
          <c:idx val="0"/>
          <c:order val="0"/>
          <c:tx>
            <c:strRef>
              <c:f>Лист1!$C$2</c:f>
              <c:strCache>
                <c:ptCount val="1"/>
                <c:pt idx="0">
                  <c:v>Количество баллов по критериальной оценке уровня финансового контроля</c:v>
                </c:pt>
              </c:strCache>
            </c:strRef>
          </c:tx>
          <c:spPr>
            <a:ln w="28575">
              <a:noFill/>
            </a:ln>
          </c:spPr>
          <c:dLbls>
            <c:dLbl>
              <c:idx val="2"/>
              <c:layout>
                <c:manualLayout>
                  <c:x val="-4.5172596666689234E-2"/>
                  <c:y val="-0.10138888888888889"/>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trendline>
            <c:trendlineType val="linear"/>
            <c:dispRSqr val="0"/>
            <c:dispEq val="0"/>
          </c:trendline>
          <c:xVal>
            <c:numRef>
              <c:f>Лист1!$B$3:$B$5</c:f>
              <c:numCache>
                <c:formatCode>General</c:formatCode>
                <c:ptCount val="3"/>
                <c:pt idx="0">
                  <c:v>257.8</c:v>
                </c:pt>
                <c:pt idx="1">
                  <c:v>114.1</c:v>
                </c:pt>
                <c:pt idx="2">
                  <c:v>25.2</c:v>
                </c:pt>
              </c:numCache>
            </c:numRef>
          </c:xVal>
          <c:yVal>
            <c:numRef>
              <c:f>Лист1!$C$3:$C$5</c:f>
              <c:numCache>
                <c:formatCode>General</c:formatCode>
                <c:ptCount val="3"/>
                <c:pt idx="0">
                  <c:v>60</c:v>
                </c:pt>
                <c:pt idx="1">
                  <c:v>49.6</c:v>
                </c:pt>
                <c:pt idx="2">
                  <c:v>32.200000000000003</c:v>
                </c:pt>
              </c:numCache>
            </c:numRef>
          </c:yVal>
          <c:smooth val="0"/>
        </c:ser>
        <c:dLbls>
          <c:dLblPos val="t"/>
          <c:showLegendKey val="0"/>
          <c:showVal val="1"/>
          <c:showCatName val="0"/>
          <c:showSerName val="0"/>
          <c:showPercent val="0"/>
          <c:showBubbleSize val="0"/>
        </c:dLbls>
        <c:axId val="364874368"/>
        <c:axId val="364876544"/>
      </c:scatterChart>
      <c:valAx>
        <c:axId val="364874368"/>
        <c:scaling>
          <c:orientation val="minMax"/>
        </c:scaling>
        <c:delete val="0"/>
        <c:axPos val="b"/>
        <c:title>
          <c:tx>
            <c:rich>
              <a:bodyPr/>
              <a:lstStyle/>
              <a:p>
                <a:pPr>
                  <a:defRPr b="0"/>
                </a:pPr>
                <a:r>
                  <a:rPr lang="ru-RU" b="0"/>
                  <a:t>капитализация компаний на 30.12.2015 г., млрд руб.</a:t>
                </a:r>
              </a:p>
            </c:rich>
          </c:tx>
          <c:overlay val="0"/>
        </c:title>
        <c:numFmt formatCode="General" sourceLinked="1"/>
        <c:majorTickMark val="out"/>
        <c:minorTickMark val="none"/>
        <c:tickLblPos val="nextTo"/>
        <c:crossAx val="364876544"/>
        <c:crosses val="autoZero"/>
        <c:crossBetween val="midCat"/>
      </c:valAx>
      <c:valAx>
        <c:axId val="364876544"/>
        <c:scaling>
          <c:orientation val="minMax"/>
        </c:scaling>
        <c:delete val="0"/>
        <c:axPos val="l"/>
        <c:majorGridlines/>
        <c:title>
          <c:tx>
            <c:rich>
              <a:bodyPr rot="-5400000" vert="horz"/>
              <a:lstStyle/>
              <a:p>
                <a:pPr>
                  <a:defRPr sz="1200" b="0"/>
                </a:pPr>
                <a:r>
                  <a:rPr lang="ru-RU" sz="1200" b="0"/>
                  <a:t>Баллы по критетериальной оценке уровня финансового контроля в компаниях</a:t>
                </a:r>
              </a:p>
            </c:rich>
          </c:tx>
          <c:overlay val="0"/>
        </c:title>
        <c:numFmt formatCode="General" sourceLinked="1"/>
        <c:majorTickMark val="out"/>
        <c:minorTickMark val="none"/>
        <c:tickLblPos val="nextTo"/>
        <c:crossAx val="364874368"/>
        <c:crosses val="autoZero"/>
        <c:crossBetween val="midCat"/>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0.16069</cdr:x>
      <cdr:y>0.46007</cdr:y>
    </cdr:from>
    <cdr:to>
      <cdr:x>0.36109</cdr:x>
      <cdr:y>0.56076</cdr:y>
    </cdr:to>
    <cdr:sp macro="" textlink="">
      <cdr:nvSpPr>
        <cdr:cNvPr id="2" name="TextBox 1"/>
        <cdr:cNvSpPr txBox="1"/>
      </cdr:nvSpPr>
      <cdr:spPr>
        <a:xfrm xmlns:a="http://schemas.openxmlformats.org/drawingml/2006/main">
          <a:off x="903768" y="1262064"/>
          <a:ext cx="1127051" cy="2762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a:latin typeface="Times New Roman" pitchFamily="18" charset="0"/>
              <a:cs typeface="Times New Roman" pitchFamily="18" charset="0"/>
            </a:rPr>
            <a:t>Компания</a:t>
          </a:r>
          <a:r>
            <a:rPr lang="ru-RU" sz="1200" baseline="0">
              <a:latin typeface="Times New Roman" pitchFamily="18" charset="0"/>
              <a:cs typeface="Times New Roman" pitchFamily="18" charset="0"/>
            </a:rPr>
            <a:t> 3</a:t>
          </a:r>
          <a:endParaRPr lang="ru-RU" sz="1200">
            <a:latin typeface="Times New Roman" pitchFamily="18" charset="0"/>
            <a:cs typeface="Times New Roman" pitchFamily="18" charset="0"/>
          </a:endParaRPr>
        </a:p>
      </cdr:txBody>
    </cdr:sp>
  </cdr:relSizeAnchor>
  <cdr:relSizeAnchor xmlns:cdr="http://schemas.openxmlformats.org/drawingml/2006/chartDrawing">
    <cdr:from>
      <cdr:x>0.39512</cdr:x>
      <cdr:y>0.26852</cdr:y>
    </cdr:from>
    <cdr:to>
      <cdr:x>0.61063</cdr:x>
      <cdr:y>0.36921</cdr:y>
    </cdr:to>
    <cdr:sp macro="" textlink="">
      <cdr:nvSpPr>
        <cdr:cNvPr id="3" name="TextBox 1"/>
        <cdr:cNvSpPr txBox="1"/>
      </cdr:nvSpPr>
      <cdr:spPr>
        <a:xfrm xmlns:a="http://schemas.openxmlformats.org/drawingml/2006/main">
          <a:off x="2222205" y="736604"/>
          <a:ext cx="1212111" cy="27621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200">
              <a:latin typeface="Times New Roman" pitchFamily="18" charset="0"/>
              <a:cs typeface="Times New Roman" pitchFamily="18" charset="0"/>
            </a:rPr>
            <a:t>Компания 2</a:t>
          </a:r>
        </a:p>
      </cdr:txBody>
    </cdr:sp>
  </cdr:relSizeAnchor>
  <cdr:relSizeAnchor xmlns:cdr="http://schemas.openxmlformats.org/drawingml/2006/chartDrawing">
    <cdr:from>
      <cdr:x>0.76748</cdr:x>
      <cdr:y>0.14699</cdr:y>
    </cdr:from>
    <cdr:to>
      <cdr:x>0.99831</cdr:x>
      <cdr:y>0.24769</cdr:y>
    </cdr:to>
    <cdr:sp macro="" textlink="">
      <cdr:nvSpPr>
        <cdr:cNvPr id="4" name="TextBox 1"/>
        <cdr:cNvSpPr txBox="1"/>
      </cdr:nvSpPr>
      <cdr:spPr>
        <a:xfrm xmlns:a="http://schemas.openxmlformats.org/drawingml/2006/main">
          <a:off x="4316720" y="403225"/>
          <a:ext cx="1298269" cy="2762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RU" sz="1200">
              <a:latin typeface="Times New Roman" pitchFamily="18" charset="0"/>
              <a:cs typeface="Times New Roman" pitchFamily="18" charset="0"/>
            </a:rPr>
            <a:t>Компания 1</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32D0-3EC9-4F87-911C-9CFD4420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33</Pages>
  <Words>7308</Words>
  <Characters>41658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Василиса</cp:lastModifiedBy>
  <cp:revision>7</cp:revision>
  <dcterms:created xsi:type="dcterms:W3CDTF">2017-10-07T08:37:00Z</dcterms:created>
  <dcterms:modified xsi:type="dcterms:W3CDTF">2017-11-14T09:34:00Z</dcterms:modified>
</cp:coreProperties>
</file>