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DF" w:rsidRPr="00705D20" w:rsidRDefault="00CB0746" w:rsidP="00BA75DF">
      <w:pPr>
        <w:jc w:val="center"/>
        <w:rPr>
          <w:b/>
        </w:rPr>
      </w:pPr>
      <w:r>
        <w:rPr>
          <w:b/>
        </w:rPr>
        <w:t>СИГНАЛИЗИРОВАНИЕ НА РЫНКАХ ПРОДУКТОВ ПИТАНИЯ: КОРПОРАТИВНАЯ СОЦИАЛЬНАЯ ОТВЕТСТВЕННОСТЬ</w:t>
      </w:r>
    </w:p>
    <w:p w:rsidR="00BA75DF" w:rsidRPr="00CB0746" w:rsidRDefault="00CB0746" w:rsidP="00BA75DF">
      <w:pPr>
        <w:jc w:val="right"/>
        <w:rPr>
          <w:b/>
          <w:i/>
        </w:rPr>
      </w:pPr>
      <w:r>
        <w:rPr>
          <w:b/>
          <w:i/>
        </w:rPr>
        <w:t>Козлович Елена Андреевна</w:t>
      </w:r>
    </w:p>
    <w:p w:rsidR="00F95B5A" w:rsidRPr="00F95B5A" w:rsidRDefault="00F95B5A" w:rsidP="00F95B5A">
      <w:pPr>
        <w:jc w:val="right"/>
        <w:rPr>
          <w:i/>
        </w:rPr>
      </w:pPr>
      <w:r>
        <w:rPr>
          <w:i/>
        </w:rPr>
        <w:t>бакалавр</w:t>
      </w:r>
      <w:r w:rsidRPr="00F95B5A">
        <w:rPr>
          <w:i/>
        </w:rPr>
        <w:t xml:space="preserve"> </w:t>
      </w:r>
      <w:r>
        <w:rPr>
          <w:i/>
        </w:rPr>
        <w:t>экономики</w:t>
      </w:r>
      <w:r w:rsidRPr="00F95B5A">
        <w:rPr>
          <w:i/>
        </w:rPr>
        <w:t>, П</w:t>
      </w:r>
      <w:r>
        <w:rPr>
          <w:i/>
        </w:rPr>
        <w:t xml:space="preserve">ермский </w:t>
      </w:r>
      <w:r w:rsidRPr="00F95B5A">
        <w:rPr>
          <w:i/>
        </w:rPr>
        <w:t>Ф</w:t>
      </w:r>
      <w:r>
        <w:rPr>
          <w:i/>
        </w:rPr>
        <w:t>илиал</w:t>
      </w:r>
      <w:r w:rsidRPr="00F95B5A">
        <w:rPr>
          <w:i/>
        </w:rPr>
        <w:t xml:space="preserve"> Н</w:t>
      </w:r>
      <w:r>
        <w:rPr>
          <w:i/>
        </w:rPr>
        <w:t>аучно-</w:t>
      </w:r>
      <w:r w:rsidRPr="00F95B5A">
        <w:rPr>
          <w:i/>
        </w:rPr>
        <w:t>И</w:t>
      </w:r>
      <w:r>
        <w:rPr>
          <w:i/>
        </w:rPr>
        <w:t xml:space="preserve">сследовательский </w:t>
      </w:r>
      <w:r w:rsidRPr="00F95B5A">
        <w:rPr>
          <w:i/>
        </w:rPr>
        <w:t>У</w:t>
      </w:r>
      <w:r>
        <w:rPr>
          <w:i/>
        </w:rPr>
        <w:t xml:space="preserve">ниверситет </w:t>
      </w:r>
      <w:r w:rsidRPr="00F95B5A">
        <w:rPr>
          <w:i/>
        </w:rPr>
        <w:t>В</w:t>
      </w:r>
      <w:r>
        <w:rPr>
          <w:i/>
        </w:rPr>
        <w:t xml:space="preserve">ысшая </w:t>
      </w:r>
      <w:r w:rsidRPr="00F95B5A">
        <w:rPr>
          <w:i/>
        </w:rPr>
        <w:t>Ш</w:t>
      </w:r>
      <w:r>
        <w:rPr>
          <w:i/>
        </w:rPr>
        <w:t xml:space="preserve">кола </w:t>
      </w:r>
      <w:r w:rsidRPr="00F95B5A">
        <w:rPr>
          <w:i/>
        </w:rPr>
        <w:t>Э</w:t>
      </w:r>
      <w:r>
        <w:rPr>
          <w:i/>
        </w:rPr>
        <w:t>кономики</w:t>
      </w:r>
      <w:r w:rsidRPr="00F95B5A">
        <w:rPr>
          <w:i/>
        </w:rPr>
        <w:t>, г. Пермь</w:t>
      </w:r>
    </w:p>
    <w:p w:rsidR="00BA75DF" w:rsidRDefault="00BA75DF" w:rsidP="00BA75DF">
      <w:pPr>
        <w:jc w:val="right"/>
        <w:rPr>
          <w:i/>
          <w:szCs w:val="28"/>
          <w:lang w:val="en-US"/>
        </w:rPr>
      </w:pPr>
      <w:r w:rsidRPr="00CB0746">
        <w:rPr>
          <w:i/>
        </w:rPr>
        <w:t>Е</w:t>
      </w:r>
      <w:r w:rsidRPr="00BE1AEE">
        <w:rPr>
          <w:i/>
          <w:lang w:val="en-US"/>
        </w:rPr>
        <w:t>-</w:t>
      </w:r>
      <w:r w:rsidRPr="00CB0746">
        <w:rPr>
          <w:i/>
          <w:lang w:val="en-US"/>
        </w:rPr>
        <w:t>mail</w:t>
      </w:r>
      <w:r w:rsidRPr="00BE1AEE">
        <w:rPr>
          <w:i/>
          <w:lang w:val="en-US"/>
        </w:rPr>
        <w:t xml:space="preserve">:  </w:t>
      </w:r>
      <w:hyperlink r:id="rId9" w:history="1">
        <w:r w:rsidR="00BE1AEE" w:rsidRPr="009E73BF">
          <w:rPr>
            <w:rStyle w:val="a3"/>
            <w:i/>
            <w:szCs w:val="28"/>
            <w:lang w:val="en-US"/>
          </w:rPr>
          <w:t>ElenaA_Kozlovich@mail.ru</w:t>
        </w:r>
      </w:hyperlink>
    </w:p>
    <w:p w:rsidR="00A837F4" w:rsidRDefault="004E12AB" w:rsidP="00BA75DF">
      <w:pPr>
        <w:jc w:val="right"/>
        <w:rPr>
          <w:b/>
          <w:i/>
        </w:rPr>
      </w:pPr>
      <w:r>
        <w:rPr>
          <w:b/>
          <w:i/>
        </w:rPr>
        <w:t>Шеина Марина Витальевна</w:t>
      </w:r>
    </w:p>
    <w:p w:rsidR="00CF63FF" w:rsidRDefault="00CF63FF" w:rsidP="00CF63FF">
      <w:pPr>
        <w:jc w:val="right"/>
        <w:rPr>
          <w:i/>
          <w:lang w:val="en-US"/>
        </w:rPr>
      </w:pPr>
      <w:r>
        <w:rPr>
          <w:rStyle w:val="a3"/>
          <w:i/>
          <w:color w:val="auto"/>
          <w:u w:val="none"/>
        </w:rPr>
        <w:t>канд</w:t>
      </w:r>
      <w:r w:rsidRPr="00EC2767">
        <w:rPr>
          <w:rStyle w:val="a3"/>
          <w:i/>
          <w:color w:val="auto"/>
          <w:u w:val="none"/>
        </w:rPr>
        <w:t>.</w:t>
      </w:r>
      <w:r>
        <w:rPr>
          <w:rStyle w:val="a3"/>
          <w:i/>
          <w:color w:val="auto"/>
          <w:u w:val="none"/>
        </w:rPr>
        <w:t xml:space="preserve"> физ</w:t>
      </w:r>
      <w:r w:rsidRPr="00EC2767">
        <w:rPr>
          <w:rStyle w:val="a3"/>
          <w:i/>
          <w:color w:val="auto"/>
          <w:u w:val="none"/>
        </w:rPr>
        <w:t>.-</w:t>
      </w:r>
      <w:r>
        <w:rPr>
          <w:rStyle w:val="a3"/>
          <w:i/>
          <w:color w:val="auto"/>
          <w:u w:val="none"/>
        </w:rPr>
        <w:t>мат. наук, доцент</w:t>
      </w:r>
      <w:r w:rsidRPr="00EC2767">
        <w:rPr>
          <w:rStyle w:val="a3"/>
          <w:i/>
          <w:color w:val="auto"/>
          <w:u w:val="none"/>
        </w:rPr>
        <w:t>,</w:t>
      </w:r>
      <w:r>
        <w:rPr>
          <w:rStyle w:val="a3"/>
          <w:i/>
          <w:color w:val="auto"/>
          <w:u w:val="none"/>
        </w:rPr>
        <w:t xml:space="preserve"> </w:t>
      </w:r>
      <w:r w:rsidRPr="00F95B5A">
        <w:rPr>
          <w:i/>
        </w:rPr>
        <w:t>Н</w:t>
      </w:r>
      <w:r>
        <w:rPr>
          <w:i/>
        </w:rPr>
        <w:t xml:space="preserve">ациональный </w:t>
      </w:r>
      <w:r w:rsidRPr="00F95B5A">
        <w:rPr>
          <w:i/>
        </w:rPr>
        <w:t>И</w:t>
      </w:r>
      <w:r>
        <w:rPr>
          <w:i/>
        </w:rPr>
        <w:t xml:space="preserve">сследовательский </w:t>
      </w:r>
      <w:r w:rsidRPr="00F95B5A">
        <w:rPr>
          <w:i/>
        </w:rPr>
        <w:t>У</w:t>
      </w:r>
      <w:r>
        <w:rPr>
          <w:i/>
        </w:rPr>
        <w:t xml:space="preserve">ниверситет </w:t>
      </w:r>
      <w:r w:rsidRPr="00F95B5A">
        <w:rPr>
          <w:i/>
        </w:rPr>
        <w:t>В</w:t>
      </w:r>
      <w:r>
        <w:rPr>
          <w:i/>
        </w:rPr>
        <w:t xml:space="preserve">ысшая </w:t>
      </w:r>
      <w:r w:rsidRPr="00F95B5A">
        <w:rPr>
          <w:i/>
        </w:rPr>
        <w:t>Ш</w:t>
      </w:r>
      <w:r>
        <w:rPr>
          <w:i/>
        </w:rPr>
        <w:t xml:space="preserve">кола </w:t>
      </w:r>
      <w:r w:rsidRPr="00F95B5A">
        <w:rPr>
          <w:i/>
        </w:rPr>
        <w:t>Э</w:t>
      </w:r>
      <w:r>
        <w:rPr>
          <w:i/>
        </w:rPr>
        <w:t>кономики</w:t>
      </w:r>
      <w:r w:rsidRPr="00F95B5A">
        <w:rPr>
          <w:i/>
        </w:rPr>
        <w:t>, г. Пермь</w:t>
      </w:r>
    </w:p>
    <w:p w:rsidR="002D6536" w:rsidRDefault="002D6536" w:rsidP="00CF63FF">
      <w:pPr>
        <w:jc w:val="right"/>
        <w:rPr>
          <w:i/>
          <w:lang w:val="en-US"/>
        </w:rPr>
      </w:pPr>
      <w:r>
        <w:rPr>
          <w:i/>
          <w:lang w:val="en-US"/>
        </w:rPr>
        <w:t xml:space="preserve">E-mail: </w:t>
      </w:r>
      <w:hyperlink r:id="rId10" w:history="1">
        <w:r w:rsidRPr="00565E14">
          <w:rPr>
            <w:rStyle w:val="a3"/>
            <w:i/>
            <w:lang w:val="en-US"/>
          </w:rPr>
          <w:t>msheina@hse.ru</w:t>
        </w:r>
      </w:hyperlink>
    </w:p>
    <w:p w:rsidR="00CF63FF" w:rsidRDefault="00CF63FF" w:rsidP="00CB0746">
      <w:pPr>
        <w:jc w:val="center"/>
        <w:rPr>
          <w:b/>
          <w:caps/>
        </w:rPr>
      </w:pPr>
    </w:p>
    <w:p w:rsidR="00BA75DF" w:rsidRPr="00CB0746" w:rsidRDefault="00CB0746" w:rsidP="00CB0746">
      <w:pPr>
        <w:jc w:val="center"/>
        <w:rPr>
          <w:b/>
          <w:caps/>
          <w:lang w:val="en-US"/>
        </w:rPr>
      </w:pPr>
      <w:r w:rsidRPr="00CB0746">
        <w:rPr>
          <w:b/>
          <w:caps/>
          <w:lang w:val="en-US"/>
        </w:rPr>
        <w:t>Signaling Corporate Social Responsibility in the food market</w:t>
      </w:r>
    </w:p>
    <w:p w:rsidR="00CB0746" w:rsidRPr="00F95B5A" w:rsidRDefault="00CB0746" w:rsidP="00CB0746">
      <w:pPr>
        <w:jc w:val="right"/>
        <w:rPr>
          <w:b/>
          <w:i/>
          <w:lang w:val="en-US"/>
        </w:rPr>
      </w:pPr>
      <w:r w:rsidRPr="00F95B5A">
        <w:rPr>
          <w:b/>
          <w:i/>
          <w:lang w:val="en-US"/>
        </w:rPr>
        <w:t xml:space="preserve">Elena Kozlovich </w:t>
      </w:r>
    </w:p>
    <w:p w:rsidR="00CB0746" w:rsidRPr="00F95B5A" w:rsidRDefault="00F95B5A" w:rsidP="00CB0746">
      <w:pPr>
        <w:jc w:val="right"/>
        <w:rPr>
          <w:i/>
          <w:lang w:val="en-US"/>
        </w:rPr>
      </w:pPr>
      <w:r w:rsidRPr="00F95B5A">
        <w:rPr>
          <w:rStyle w:val="A10"/>
          <w:i/>
          <w:sz w:val="28"/>
          <w:szCs w:val="28"/>
          <w:lang w:val="en-US"/>
        </w:rPr>
        <w:t>Bachelor of Economics</w:t>
      </w:r>
      <w:r w:rsidR="00CB0746" w:rsidRPr="00F95B5A">
        <w:rPr>
          <w:i/>
          <w:lang w:val="en-US"/>
        </w:rPr>
        <w:t xml:space="preserve">, </w:t>
      </w:r>
      <w:r>
        <w:rPr>
          <w:i/>
          <w:lang w:val="en-US"/>
        </w:rPr>
        <w:t>National Research University Higher School of Economics</w:t>
      </w:r>
      <w:r w:rsidR="00CB0746" w:rsidRPr="00F95B5A">
        <w:rPr>
          <w:i/>
          <w:lang w:val="en-US"/>
        </w:rPr>
        <w:t xml:space="preserve">, </w:t>
      </w:r>
      <w:r>
        <w:rPr>
          <w:i/>
          <w:lang w:val="en-US"/>
        </w:rPr>
        <w:t>Perm</w:t>
      </w:r>
    </w:p>
    <w:p w:rsidR="00BE1AEE" w:rsidRPr="00F916D3" w:rsidRDefault="00CB0746" w:rsidP="00BE1AEE">
      <w:pPr>
        <w:jc w:val="right"/>
        <w:rPr>
          <w:i/>
          <w:szCs w:val="28"/>
          <w:lang w:val="en-US"/>
        </w:rPr>
      </w:pPr>
      <w:r w:rsidRPr="00CB0746">
        <w:rPr>
          <w:i/>
        </w:rPr>
        <w:t>Е</w:t>
      </w:r>
      <w:r w:rsidRPr="00CF63FF">
        <w:rPr>
          <w:i/>
          <w:lang w:val="en-US"/>
        </w:rPr>
        <w:t>-</w:t>
      </w:r>
      <w:r w:rsidRPr="00CB0746">
        <w:rPr>
          <w:i/>
          <w:lang w:val="en-US"/>
        </w:rPr>
        <w:t>mail</w:t>
      </w:r>
      <w:r w:rsidRPr="00CF63FF">
        <w:rPr>
          <w:i/>
          <w:lang w:val="en-US"/>
        </w:rPr>
        <w:t xml:space="preserve">:  </w:t>
      </w:r>
      <w:hyperlink r:id="rId11" w:history="1">
        <w:r w:rsidR="00F916D3" w:rsidRPr="009E73BF">
          <w:rPr>
            <w:rStyle w:val="a3"/>
            <w:i/>
            <w:szCs w:val="28"/>
            <w:lang w:val="en-US"/>
          </w:rPr>
          <w:t>ElenaA_Kozlovich@mail.ru</w:t>
        </w:r>
      </w:hyperlink>
    </w:p>
    <w:p w:rsidR="004E12AB" w:rsidRPr="004E12AB" w:rsidRDefault="004E12AB" w:rsidP="00CB0746">
      <w:pPr>
        <w:jc w:val="right"/>
        <w:rPr>
          <w:b/>
          <w:i/>
          <w:lang w:val="en-US"/>
        </w:rPr>
      </w:pPr>
      <w:r w:rsidRPr="004E12AB">
        <w:rPr>
          <w:b/>
          <w:i/>
          <w:lang w:val="en-US"/>
        </w:rPr>
        <w:t>Marina Cheina</w:t>
      </w:r>
    </w:p>
    <w:p w:rsidR="00CF63FF" w:rsidRPr="000E4F81" w:rsidRDefault="00CF63FF" w:rsidP="00CF63FF">
      <w:pPr>
        <w:jc w:val="right"/>
        <w:rPr>
          <w:rFonts w:cs="Times New Roman"/>
          <w:i/>
          <w:szCs w:val="28"/>
          <w:lang w:val="en-US"/>
        </w:rPr>
      </w:pPr>
      <w:r w:rsidRPr="000E4F81">
        <w:rPr>
          <w:rFonts w:eastAsia="Times New Roman" w:cs="Times New Roman"/>
          <w:i/>
          <w:color w:val="000000"/>
          <w:szCs w:val="28"/>
          <w:lang w:val="en-US"/>
        </w:rPr>
        <w:t>Candidate of Sciences, Associate Professor,</w:t>
      </w:r>
      <w:r w:rsidR="00BE1AEE">
        <w:rPr>
          <w:rFonts w:eastAsia="Times New Roman" w:cs="Times New Roman"/>
          <w:i/>
          <w:color w:val="000000"/>
          <w:szCs w:val="28"/>
          <w:lang w:val="en-US"/>
        </w:rPr>
        <w:t xml:space="preserve"> </w:t>
      </w:r>
      <w:r w:rsidRPr="000E4F81">
        <w:rPr>
          <w:rFonts w:cs="Times New Roman"/>
          <w:i/>
          <w:szCs w:val="28"/>
          <w:lang w:val="en-US"/>
        </w:rPr>
        <w:t>National Research University Higher School of Economics, Perm</w:t>
      </w:r>
    </w:p>
    <w:p w:rsidR="002D6536" w:rsidRDefault="002D6536" w:rsidP="002D6536">
      <w:pPr>
        <w:jc w:val="right"/>
        <w:rPr>
          <w:i/>
          <w:lang w:val="en-US"/>
        </w:rPr>
      </w:pPr>
      <w:r>
        <w:rPr>
          <w:i/>
          <w:lang w:val="en-US"/>
        </w:rPr>
        <w:t xml:space="preserve">E-mail: </w:t>
      </w:r>
      <w:hyperlink r:id="rId12" w:history="1">
        <w:r w:rsidRPr="00565E14">
          <w:rPr>
            <w:rStyle w:val="a3"/>
            <w:i/>
            <w:lang w:val="en-US"/>
          </w:rPr>
          <w:t>msheina@hse.ru</w:t>
        </w:r>
      </w:hyperlink>
    </w:p>
    <w:p w:rsidR="00BA75DF" w:rsidRPr="00A837F4" w:rsidRDefault="00BA75DF" w:rsidP="00BA75DF">
      <w:pPr>
        <w:jc w:val="center"/>
        <w:rPr>
          <w:b/>
        </w:rPr>
      </w:pPr>
      <w:bookmarkStart w:id="0" w:name="_GoBack"/>
      <w:bookmarkEnd w:id="0"/>
      <w:r w:rsidRPr="00A837F4">
        <w:rPr>
          <w:b/>
        </w:rPr>
        <w:t>АННОТАЦИЯ</w:t>
      </w:r>
    </w:p>
    <w:p w:rsidR="00CF63FF" w:rsidRDefault="00CF63FF" w:rsidP="00CF63FF">
      <w:pPr>
        <w:ind w:firstLine="708"/>
      </w:pPr>
      <w:r>
        <w:t>На основе результатов теоретико</w:t>
      </w:r>
      <w:r w:rsidRPr="00FC124A">
        <w:t>-</w:t>
      </w:r>
      <w:r>
        <w:t>игрового моделирования сформулированы условия, в которых мо</w:t>
      </w:r>
      <w:r w:rsidR="00644FB4">
        <w:t>жет быть</w:t>
      </w:r>
      <w:r>
        <w:t xml:space="preserve"> использова</w:t>
      </w:r>
      <w:r w:rsidR="00644FB4">
        <w:t>на</w:t>
      </w:r>
      <w:r>
        <w:t xml:space="preserve"> практик</w:t>
      </w:r>
      <w:r w:rsidR="00644FB4">
        <w:t>а</w:t>
      </w:r>
      <w:r>
        <w:t xml:space="preserve"> корпоративной социальной ответственности (КСО) как сигнал качества. В основе – модель Курно; сегментация потребителей </w:t>
      </w:r>
      <w:r w:rsidR="00AB75C5">
        <w:t xml:space="preserve">по отношению к </w:t>
      </w:r>
      <w:r w:rsidR="0098128F">
        <w:t xml:space="preserve">риску ухудшения </w:t>
      </w:r>
      <w:r w:rsidR="00AB75C5">
        <w:t>здоровь</w:t>
      </w:r>
      <w:r w:rsidR="0098128F">
        <w:t>я</w:t>
      </w:r>
      <w:r>
        <w:t>; выбор или отказ от практики КСО производителями</w:t>
      </w:r>
      <w:r w:rsidR="00FF69C0" w:rsidRPr="00FF69C0">
        <w:t xml:space="preserve"> </w:t>
      </w:r>
      <w:r w:rsidR="00FF69C0">
        <w:t>продуктов с высоким или низким уровнем риска</w:t>
      </w:r>
      <w:r>
        <w:t xml:space="preserve">. </w:t>
      </w:r>
      <w:r w:rsidR="00AB75C5">
        <w:t xml:space="preserve">Выявлено, что </w:t>
      </w:r>
      <w:r>
        <w:t xml:space="preserve">низкая активность </w:t>
      </w:r>
      <w:r w:rsidR="00FD25B4">
        <w:t>применения</w:t>
      </w:r>
      <w:r>
        <w:t xml:space="preserve"> КСО в России может быть обусловлена низкой долей </w:t>
      </w:r>
      <w:r>
        <w:lastRenderedPageBreak/>
        <w:t xml:space="preserve">потребителей, заботящихся о своем здоровье, </w:t>
      </w:r>
      <w:r w:rsidR="00AB75C5">
        <w:t>и</w:t>
      </w:r>
      <w:r>
        <w:t xml:space="preserve"> отсутствием </w:t>
      </w:r>
      <w:r w:rsidR="00644FB4">
        <w:t>поддержки и регулирования</w:t>
      </w:r>
      <w:r>
        <w:t xml:space="preserve"> со стороны государства. </w:t>
      </w:r>
    </w:p>
    <w:p w:rsidR="00BA75DF" w:rsidRPr="00A837F4" w:rsidRDefault="00BA75DF" w:rsidP="00BA75DF">
      <w:pPr>
        <w:jc w:val="center"/>
        <w:rPr>
          <w:b/>
          <w:lang w:val="en-US"/>
        </w:rPr>
      </w:pPr>
      <w:r w:rsidRPr="00A837F4">
        <w:rPr>
          <w:b/>
          <w:lang w:val="en-US"/>
        </w:rPr>
        <w:t>ABSTRACT</w:t>
      </w:r>
    </w:p>
    <w:p w:rsidR="00A837F4" w:rsidRDefault="009A1E4B" w:rsidP="00DD3A97">
      <w:pPr>
        <w:ind w:firstLine="708"/>
        <w:rPr>
          <w:lang w:val="en-US"/>
        </w:rPr>
      </w:pPr>
      <w:r>
        <w:rPr>
          <w:lang w:val="en-US"/>
        </w:rPr>
        <w:t>The g</w:t>
      </w:r>
      <w:r w:rsidR="00DD3A97" w:rsidRPr="00DD3A97">
        <w:rPr>
          <w:lang w:val="en-US"/>
        </w:rPr>
        <w:t xml:space="preserve">ame-theoretic model </w:t>
      </w:r>
      <w:r w:rsidR="00693107">
        <w:rPr>
          <w:lang w:val="en-US"/>
        </w:rPr>
        <w:t xml:space="preserve">developed in this article </w:t>
      </w:r>
      <w:r w:rsidR="00DD3A97" w:rsidRPr="00DD3A97">
        <w:rPr>
          <w:lang w:val="en-US"/>
        </w:rPr>
        <w:t>formulate</w:t>
      </w:r>
      <w:r w:rsidR="00693107">
        <w:rPr>
          <w:lang w:val="en-US"/>
        </w:rPr>
        <w:t>s</w:t>
      </w:r>
      <w:r w:rsidR="00DD3A97" w:rsidRPr="00DD3A97">
        <w:rPr>
          <w:lang w:val="en-US"/>
        </w:rPr>
        <w:t xml:space="preserve"> the conditions </w:t>
      </w:r>
      <w:r w:rsidR="00A34052">
        <w:rPr>
          <w:lang w:val="en-US"/>
        </w:rPr>
        <w:t>required</w:t>
      </w:r>
      <w:r w:rsidR="00DD3A97" w:rsidRPr="00DD3A97">
        <w:rPr>
          <w:lang w:val="en-US"/>
        </w:rPr>
        <w:t xml:space="preserve"> </w:t>
      </w:r>
      <w:r w:rsidR="00BC0F5A">
        <w:rPr>
          <w:lang w:val="en-US"/>
        </w:rPr>
        <w:t xml:space="preserve">for the </w:t>
      </w:r>
      <w:r w:rsidR="00BC0F5A" w:rsidRPr="00BC0F5A">
        <w:rPr>
          <w:lang w:val="en-US"/>
        </w:rPr>
        <w:t>incorporat</w:t>
      </w:r>
      <w:r w:rsidR="00BC0F5A">
        <w:rPr>
          <w:lang w:val="en-US"/>
        </w:rPr>
        <w:t>ion</w:t>
      </w:r>
      <w:r w:rsidR="00BC0F5A" w:rsidRPr="00BC0F5A">
        <w:rPr>
          <w:lang w:val="en-US"/>
        </w:rPr>
        <w:t xml:space="preserve"> the </w:t>
      </w:r>
      <w:r w:rsidR="00BC0F5A" w:rsidRPr="00DD3A97">
        <w:rPr>
          <w:lang w:val="en-US"/>
        </w:rPr>
        <w:t xml:space="preserve">corporate social responsibility (CSR) </w:t>
      </w:r>
      <w:r w:rsidR="00BC0F5A">
        <w:rPr>
          <w:lang w:val="en-US"/>
        </w:rPr>
        <w:t>policy</w:t>
      </w:r>
      <w:r w:rsidR="00BC0F5A" w:rsidRPr="00BC0F5A">
        <w:rPr>
          <w:lang w:val="en-US"/>
        </w:rPr>
        <w:t xml:space="preserve"> into the business </w:t>
      </w:r>
      <w:r w:rsidR="00DD3A97" w:rsidRPr="00DD3A97">
        <w:rPr>
          <w:lang w:val="en-US"/>
        </w:rPr>
        <w:t xml:space="preserve">as a </w:t>
      </w:r>
      <w:r w:rsidR="00BC0F5A">
        <w:rPr>
          <w:lang w:val="en-US"/>
        </w:rPr>
        <w:t xml:space="preserve">mechanism of </w:t>
      </w:r>
      <w:r w:rsidR="00DD3A97" w:rsidRPr="00DD3A97">
        <w:rPr>
          <w:lang w:val="en-US"/>
        </w:rPr>
        <w:t>signal</w:t>
      </w:r>
      <w:r w:rsidR="00BC0F5A">
        <w:rPr>
          <w:lang w:val="en-US"/>
        </w:rPr>
        <w:t>ing.</w:t>
      </w:r>
      <w:r w:rsidR="00DD3A97" w:rsidRPr="00DD3A97">
        <w:rPr>
          <w:lang w:val="en-US"/>
        </w:rPr>
        <w:t xml:space="preserve"> </w:t>
      </w:r>
      <w:r w:rsidR="00246FD4">
        <w:rPr>
          <w:lang w:val="en-US"/>
        </w:rPr>
        <w:t>The model is based on the following principles: the</w:t>
      </w:r>
      <w:r w:rsidR="00DD3A97" w:rsidRPr="00DD3A97">
        <w:rPr>
          <w:lang w:val="en-US"/>
        </w:rPr>
        <w:t xml:space="preserve"> Cournot model, </w:t>
      </w:r>
      <w:r>
        <w:rPr>
          <w:lang w:val="en-US"/>
        </w:rPr>
        <w:t xml:space="preserve">the </w:t>
      </w:r>
      <w:r w:rsidR="00DD3A97" w:rsidRPr="00DD3A97">
        <w:rPr>
          <w:lang w:val="en-US"/>
        </w:rPr>
        <w:t xml:space="preserve">segmentation of consumers </w:t>
      </w:r>
      <w:r w:rsidR="006F6476">
        <w:rPr>
          <w:lang w:val="en-US"/>
        </w:rPr>
        <w:t>by their</w:t>
      </w:r>
      <w:r w:rsidR="00EF3A60">
        <w:rPr>
          <w:lang w:val="en-US"/>
        </w:rPr>
        <w:t xml:space="preserve"> </w:t>
      </w:r>
      <w:r w:rsidR="00EF3A60" w:rsidRPr="00EF3A60">
        <w:rPr>
          <w:lang w:val="en-US"/>
        </w:rPr>
        <w:t>health deterioration</w:t>
      </w:r>
      <w:r w:rsidR="006F6476">
        <w:rPr>
          <w:lang w:val="en-US"/>
        </w:rPr>
        <w:t xml:space="preserve"> </w:t>
      </w:r>
      <w:r w:rsidR="006F6476" w:rsidRPr="006F6476">
        <w:rPr>
          <w:lang w:val="en-US"/>
        </w:rPr>
        <w:t>risk attitude</w:t>
      </w:r>
      <w:r w:rsidR="00DD3A97" w:rsidRPr="00DD3A97">
        <w:rPr>
          <w:lang w:val="en-US"/>
        </w:rPr>
        <w:t xml:space="preserve">, the choice </w:t>
      </w:r>
      <w:r w:rsidR="00EF3A60">
        <w:rPr>
          <w:lang w:val="en-US"/>
        </w:rPr>
        <w:t>about</w:t>
      </w:r>
      <w:r w:rsidR="00DD3A97" w:rsidRPr="00DD3A97">
        <w:rPr>
          <w:lang w:val="en-US"/>
        </w:rPr>
        <w:t xml:space="preserve"> CSR </w:t>
      </w:r>
      <w:r w:rsidR="00EF3A60">
        <w:rPr>
          <w:lang w:val="en-US"/>
        </w:rPr>
        <w:t>strategy</w:t>
      </w:r>
      <w:r w:rsidR="00DD3A97" w:rsidRPr="00DD3A97">
        <w:rPr>
          <w:lang w:val="en-US"/>
        </w:rPr>
        <w:t xml:space="preserve"> by </w:t>
      </w:r>
      <w:r w:rsidR="00EF3A60">
        <w:rPr>
          <w:lang w:val="en-US"/>
        </w:rPr>
        <w:t>producers of low and high quality</w:t>
      </w:r>
      <w:r w:rsidR="0067595F">
        <w:rPr>
          <w:lang w:val="en-US"/>
        </w:rPr>
        <w:t xml:space="preserve"> of food</w:t>
      </w:r>
      <w:r w:rsidR="00EF3A60">
        <w:rPr>
          <w:lang w:val="en-US"/>
        </w:rPr>
        <w:t xml:space="preserve"> products</w:t>
      </w:r>
      <w:r w:rsidR="00DD3A97" w:rsidRPr="00DD3A97">
        <w:rPr>
          <w:lang w:val="en-US"/>
        </w:rPr>
        <w:t xml:space="preserve">. </w:t>
      </w:r>
      <w:r w:rsidR="00EF3A60">
        <w:rPr>
          <w:lang w:val="en-US"/>
        </w:rPr>
        <w:t xml:space="preserve">Results of </w:t>
      </w:r>
      <w:r>
        <w:rPr>
          <w:lang w:val="en-US"/>
        </w:rPr>
        <w:t xml:space="preserve">the </w:t>
      </w:r>
      <w:r w:rsidR="00EF3A60">
        <w:rPr>
          <w:lang w:val="en-US"/>
        </w:rPr>
        <w:t xml:space="preserve">model show that </w:t>
      </w:r>
      <w:r w:rsidR="00DD3A97" w:rsidRPr="00DD3A97">
        <w:rPr>
          <w:lang w:val="en-US"/>
        </w:rPr>
        <w:t>the</w:t>
      </w:r>
      <w:r w:rsidR="00640160">
        <w:rPr>
          <w:lang w:val="en-US"/>
        </w:rPr>
        <w:t xml:space="preserve"> non</w:t>
      </w:r>
      <w:r w:rsidR="00640160" w:rsidRPr="00640160">
        <w:rPr>
          <w:lang w:val="en-US"/>
        </w:rPr>
        <w:t>occurrence</w:t>
      </w:r>
      <w:r w:rsidR="00DD3A97" w:rsidRPr="00DD3A97">
        <w:rPr>
          <w:lang w:val="en-US"/>
        </w:rPr>
        <w:t xml:space="preserve"> </w:t>
      </w:r>
      <w:r w:rsidR="00640160">
        <w:rPr>
          <w:lang w:val="en-US"/>
        </w:rPr>
        <w:t xml:space="preserve">of </w:t>
      </w:r>
      <w:r w:rsidR="00DD3A97" w:rsidRPr="00DD3A97">
        <w:rPr>
          <w:lang w:val="en-US"/>
        </w:rPr>
        <w:t xml:space="preserve">CSR </w:t>
      </w:r>
      <w:r>
        <w:rPr>
          <w:lang w:val="en-US"/>
        </w:rPr>
        <w:t xml:space="preserve">in Russia </w:t>
      </w:r>
      <w:r w:rsidR="00640160">
        <w:rPr>
          <w:lang w:val="en-US"/>
        </w:rPr>
        <w:t>is subject</w:t>
      </w:r>
      <w:r w:rsidR="00DD3A97" w:rsidRPr="00DD3A97">
        <w:rPr>
          <w:lang w:val="en-US"/>
        </w:rPr>
        <w:t xml:space="preserve"> to </w:t>
      </w:r>
      <w:r>
        <w:rPr>
          <w:lang w:val="en-US"/>
        </w:rPr>
        <w:t>the</w:t>
      </w:r>
      <w:r w:rsidR="00DD3A97" w:rsidRPr="00DD3A97">
        <w:rPr>
          <w:lang w:val="en-US"/>
        </w:rPr>
        <w:t xml:space="preserve"> </w:t>
      </w:r>
      <w:r>
        <w:rPr>
          <w:lang w:val="en-US"/>
        </w:rPr>
        <w:t>small share</w:t>
      </w:r>
      <w:r w:rsidR="00DD3A97" w:rsidRPr="00DD3A97">
        <w:rPr>
          <w:lang w:val="en-US"/>
        </w:rPr>
        <w:t xml:space="preserve"> of </w:t>
      </w:r>
      <w:r>
        <w:rPr>
          <w:lang w:val="en-US"/>
        </w:rPr>
        <w:t xml:space="preserve">health-conscious </w:t>
      </w:r>
      <w:r w:rsidR="00DD3A97" w:rsidRPr="00DD3A97">
        <w:rPr>
          <w:lang w:val="en-US"/>
        </w:rPr>
        <w:t xml:space="preserve">consumers and the lack of support and regulation </w:t>
      </w:r>
      <w:r>
        <w:rPr>
          <w:lang w:val="en-US"/>
        </w:rPr>
        <w:t>of</w:t>
      </w:r>
      <w:r w:rsidR="00DD3A97" w:rsidRPr="00DD3A97">
        <w:rPr>
          <w:lang w:val="en-US"/>
        </w:rPr>
        <w:t xml:space="preserve"> the state.</w:t>
      </w:r>
    </w:p>
    <w:p w:rsidR="00DD3A97" w:rsidRPr="00F649A4" w:rsidRDefault="00DD3A97" w:rsidP="00BA75DF">
      <w:pPr>
        <w:rPr>
          <w:lang w:val="en-US"/>
        </w:rPr>
      </w:pPr>
    </w:p>
    <w:p w:rsidR="0098128F" w:rsidRPr="00790E01" w:rsidRDefault="00BA75DF" w:rsidP="0098128F">
      <w:r w:rsidRPr="00790E01">
        <w:t xml:space="preserve">Ключевые слова: </w:t>
      </w:r>
      <w:r w:rsidR="0098128F">
        <w:t>корпоративная социальная ответственность, риск ухудшения здоровья, качество продуктов питания, неблагоприятный отбор, сигнализирование.</w:t>
      </w:r>
    </w:p>
    <w:p w:rsidR="00BA75DF" w:rsidRPr="002115DA" w:rsidRDefault="00BA75DF" w:rsidP="00BA75DF">
      <w:pPr>
        <w:rPr>
          <w:rFonts w:cs="Times New Roman"/>
          <w:szCs w:val="28"/>
          <w:lang w:val="en-US"/>
        </w:rPr>
      </w:pPr>
      <w:r w:rsidRPr="002115DA">
        <w:rPr>
          <w:rFonts w:cs="Times New Roman"/>
          <w:szCs w:val="28"/>
          <w:lang w:val="en-US"/>
        </w:rPr>
        <w:t xml:space="preserve">Keywords: </w:t>
      </w:r>
      <w:r w:rsidR="0067595F" w:rsidRPr="002115DA">
        <w:rPr>
          <w:rFonts w:cs="Times New Roman"/>
          <w:szCs w:val="28"/>
          <w:lang w:val="en-US"/>
        </w:rPr>
        <w:t>corporate social responsibility, health deterioration risk, quality of food products</w:t>
      </w:r>
      <w:r w:rsidR="00420C0A" w:rsidRPr="002115DA">
        <w:rPr>
          <w:rFonts w:cs="Times New Roman"/>
          <w:szCs w:val="28"/>
          <w:lang w:val="en-US"/>
        </w:rPr>
        <w:t>, adverse selection, signaling.</w:t>
      </w:r>
    </w:p>
    <w:p w:rsidR="00BA75DF" w:rsidRPr="0067595F" w:rsidRDefault="00BA75DF" w:rsidP="00BA75DF">
      <w:pPr>
        <w:rPr>
          <w:lang w:val="en-US"/>
        </w:rPr>
      </w:pPr>
    </w:p>
    <w:p w:rsidR="00E41F07" w:rsidRDefault="00E41F07" w:rsidP="00E41F07">
      <w:pPr>
        <w:ind w:firstLine="708"/>
        <w:rPr>
          <w:szCs w:val="28"/>
        </w:rPr>
      </w:pPr>
      <w:r>
        <w:t>Особенность продуктов питания состоит в том, что они обладают экспериментальными или доверительными качествами. Экспериментальные качества могут быть выявлены потребителем только в процессе потребления продукта, с ним могут быть связаны риски ухудшения здоровья в процессе потребления или непосредственно после потребления продукта питания (краткосрочные риски, например, отравления, аллергические реакции, головные боли, кишечные расстройства и пр.). Издержки измерения доверительных качеств для потребителя запредельно высоки как в процессе потребления, так и после потребления продукта (долгосрочные риски, например, развитие хронических желудочно-кишечных заболеваний, астмы,  снижение детородных функций, раковые заболевания и др.)</w:t>
      </w:r>
      <w:r w:rsidRPr="00B47EBE">
        <w:t>.</w:t>
      </w:r>
      <w:r>
        <w:t xml:space="preserve"> </w:t>
      </w:r>
      <w:r w:rsidRPr="00004125">
        <w:rPr>
          <w:szCs w:val="28"/>
        </w:rPr>
        <w:t>Высокая дисперсия качественных характеристик</w:t>
      </w:r>
      <w:r>
        <w:rPr>
          <w:szCs w:val="28"/>
        </w:rPr>
        <w:t>,</w:t>
      </w:r>
      <w:r w:rsidRPr="00B47EBE">
        <w:rPr>
          <w:szCs w:val="28"/>
        </w:rPr>
        <w:t xml:space="preserve"> </w:t>
      </w:r>
      <w:r w:rsidRPr="00004125">
        <w:rPr>
          <w:szCs w:val="28"/>
        </w:rPr>
        <w:t>асимметри</w:t>
      </w:r>
      <w:r>
        <w:rPr>
          <w:szCs w:val="28"/>
        </w:rPr>
        <w:t>я</w:t>
      </w:r>
      <w:r w:rsidRPr="00004125">
        <w:rPr>
          <w:szCs w:val="28"/>
        </w:rPr>
        <w:t xml:space="preserve"> информации</w:t>
      </w:r>
      <w:r>
        <w:rPr>
          <w:szCs w:val="28"/>
        </w:rPr>
        <w:t xml:space="preserve">, </w:t>
      </w:r>
      <w:r w:rsidRPr="00004125">
        <w:rPr>
          <w:szCs w:val="28"/>
        </w:rPr>
        <w:t>высоки</w:t>
      </w:r>
      <w:r>
        <w:rPr>
          <w:szCs w:val="28"/>
        </w:rPr>
        <w:t>е</w:t>
      </w:r>
      <w:r w:rsidRPr="00004125">
        <w:rPr>
          <w:szCs w:val="28"/>
        </w:rPr>
        <w:t xml:space="preserve"> издерж</w:t>
      </w:r>
      <w:r>
        <w:rPr>
          <w:szCs w:val="28"/>
        </w:rPr>
        <w:t>ки</w:t>
      </w:r>
      <w:r w:rsidRPr="00004125">
        <w:rPr>
          <w:szCs w:val="28"/>
        </w:rPr>
        <w:t xml:space="preserve"> измерения </w:t>
      </w:r>
      <w:r>
        <w:rPr>
          <w:szCs w:val="28"/>
        </w:rPr>
        <w:t xml:space="preserve">способствуют </w:t>
      </w:r>
      <w:r w:rsidRPr="00004125">
        <w:rPr>
          <w:szCs w:val="28"/>
        </w:rPr>
        <w:t>возникновени</w:t>
      </w:r>
      <w:r>
        <w:rPr>
          <w:szCs w:val="28"/>
        </w:rPr>
        <w:t>ю</w:t>
      </w:r>
      <w:r w:rsidRPr="00004125">
        <w:rPr>
          <w:szCs w:val="28"/>
        </w:rPr>
        <w:t xml:space="preserve"> проблемы неблагоприятного отбора</w:t>
      </w:r>
      <w:r w:rsidRPr="00B47EBE">
        <w:rPr>
          <w:szCs w:val="28"/>
        </w:rPr>
        <w:t xml:space="preserve"> </w:t>
      </w:r>
      <w:r w:rsidRPr="00004125">
        <w:rPr>
          <w:szCs w:val="28"/>
        </w:rPr>
        <w:t xml:space="preserve">– наличия большого количества продуктов питания с </w:t>
      </w:r>
      <w:r>
        <w:rPr>
          <w:szCs w:val="28"/>
        </w:rPr>
        <w:t xml:space="preserve">достаточно </w:t>
      </w:r>
      <w:r w:rsidRPr="00004125">
        <w:rPr>
          <w:szCs w:val="28"/>
        </w:rPr>
        <w:t>высоким уровнем риска ухудшения здоровья</w:t>
      </w:r>
      <w:r>
        <w:rPr>
          <w:szCs w:val="28"/>
        </w:rPr>
        <w:t xml:space="preserve">. Решение проблемы неблагоприятного отбора на рынке продуктов питания берет на себя государство, вводя различные механизмы регулирования. В российской практике это механизмы стандартизации, лицензирования, сертификации, технические регламенты, а также законы «О защите прав потребителей», </w:t>
      </w:r>
      <w:r w:rsidRPr="00B47EBE">
        <w:rPr>
          <w:szCs w:val="28"/>
        </w:rPr>
        <w:t xml:space="preserve">«О качестве и безопасности </w:t>
      </w:r>
      <w:r>
        <w:rPr>
          <w:szCs w:val="28"/>
        </w:rPr>
        <w:t>пищевых продуктов</w:t>
      </w:r>
      <w:r w:rsidRPr="00B47EBE">
        <w:rPr>
          <w:szCs w:val="28"/>
        </w:rPr>
        <w:t>» и</w:t>
      </w:r>
      <w:r>
        <w:rPr>
          <w:szCs w:val="28"/>
        </w:rPr>
        <w:t xml:space="preserve"> др.</w:t>
      </w:r>
    </w:p>
    <w:p w:rsidR="00877490" w:rsidRDefault="00E41F07" w:rsidP="00763A35">
      <w:pPr>
        <w:ind w:firstLine="708"/>
      </w:pPr>
      <w:r>
        <w:t>Однако в</w:t>
      </w:r>
      <w:r w:rsidR="00763A35" w:rsidRPr="004F4424">
        <w:t xml:space="preserve"> сложившейся на российском рынке ситуации трудно говорить о фактическом наличии стимулов к производству безопасной пищевой продукции. </w:t>
      </w:r>
      <w:r w:rsidR="00763A35">
        <w:t>Н</w:t>
      </w:r>
      <w:r w:rsidR="00763A35" w:rsidRPr="00A56504">
        <w:t>едооценка рисков и низкий уровень понимания информации о качестве продуктов питания</w:t>
      </w:r>
      <w:r w:rsidR="00763A35">
        <w:t xml:space="preserve"> со стороны потребителей</w:t>
      </w:r>
      <w:r w:rsidR="004B4E20">
        <w:t xml:space="preserve"> </w:t>
      </w:r>
      <w:r w:rsidR="004B4E20" w:rsidRPr="004B4E20">
        <w:t>[5]</w:t>
      </w:r>
      <w:r w:rsidR="00763A35" w:rsidRPr="00A56504">
        <w:t xml:space="preserve">, слабость используемых государственных механизмов </w:t>
      </w:r>
      <w:r>
        <w:t>контроля качества</w:t>
      </w:r>
      <w:r w:rsidR="004B4E20" w:rsidRPr="004B4E20">
        <w:t xml:space="preserve"> [7] [3]</w:t>
      </w:r>
      <w:r>
        <w:t xml:space="preserve">, </w:t>
      </w:r>
      <w:r w:rsidR="00763A35" w:rsidRPr="00A56504">
        <w:t>недобросовестное поведение производителей</w:t>
      </w:r>
      <w:r w:rsidR="00466492">
        <w:t>, о чем свидетельствует наличие фальсифицированной продукции на рынке</w:t>
      </w:r>
      <w:r w:rsidR="007B2324">
        <w:t>,</w:t>
      </w:r>
      <w:r w:rsidR="00763A35" w:rsidRPr="00A56504">
        <w:t xml:space="preserve"> не способствуют решению проблемы неблагоприятного отбора на рынке пищевой продукции.</w:t>
      </w:r>
      <w:r w:rsidR="00763A35">
        <w:t xml:space="preserve"> </w:t>
      </w:r>
    </w:p>
    <w:p w:rsidR="00763A35" w:rsidRPr="004F4424" w:rsidRDefault="00E41F07" w:rsidP="00763A35">
      <w:pPr>
        <w:ind w:firstLine="708"/>
      </w:pPr>
      <w:r>
        <w:rPr>
          <w:szCs w:val="28"/>
        </w:rPr>
        <w:t>П</w:t>
      </w:r>
      <w:r w:rsidRPr="004F4424">
        <w:rPr>
          <w:szCs w:val="28"/>
        </w:rPr>
        <w:t>редставляет</w:t>
      </w:r>
      <w:r>
        <w:rPr>
          <w:szCs w:val="28"/>
        </w:rPr>
        <w:t>ся</w:t>
      </w:r>
      <w:r w:rsidRPr="004F4424">
        <w:rPr>
          <w:szCs w:val="28"/>
        </w:rPr>
        <w:t xml:space="preserve"> актуальн</w:t>
      </w:r>
      <w:r>
        <w:rPr>
          <w:szCs w:val="28"/>
        </w:rPr>
        <w:t>ым</w:t>
      </w:r>
      <w:r w:rsidRPr="004F4424">
        <w:rPr>
          <w:szCs w:val="28"/>
        </w:rPr>
        <w:t xml:space="preserve"> поиск механизмов, способствующих </w:t>
      </w:r>
      <w:r>
        <w:rPr>
          <w:szCs w:val="28"/>
        </w:rPr>
        <w:t>формированию</w:t>
      </w:r>
      <w:r w:rsidRPr="004F4424">
        <w:rPr>
          <w:szCs w:val="28"/>
        </w:rPr>
        <w:t xml:space="preserve"> у производителей стимулов к производству </w:t>
      </w:r>
      <w:r>
        <w:rPr>
          <w:szCs w:val="28"/>
        </w:rPr>
        <w:t xml:space="preserve">безопасных </w:t>
      </w:r>
      <w:r w:rsidRPr="004F4424">
        <w:rPr>
          <w:szCs w:val="28"/>
        </w:rPr>
        <w:t xml:space="preserve">продуктов питания, </w:t>
      </w:r>
      <w:r>
        <w:rPr>
          <w:szCs w:val="28"/>
        </w:rPr>
        <w:t xml:space="preserve">способствующих </w:t>
      </w:r>
      <w:r w:rsidRPr="00334E0B">
        <w:rPr>
          <w:szCs w:val="28"/>
        </w:rPr>
        <w:t>для потребителей сниж</w:t>
      </w:r>
      <w:r>
        <w:rPr>
          <w:szCs w:val="28"/>
        </w:rPr>
        <w:t>ению</w:t>
      </w:r>
      <w:r w:rsidRPr="00334E0B">
        <w:rPr>
          <w:szCs w:val="28"/>
        </w:rPr>
        <w:t xml:space="preserve"> издерж</w:t>
      </w:r>
      <w:r>
        <w:rPr>
          <w:szCs w:val="28"/>
        </w:rPr>
        <w:t>е</w:t>
      </w:r>
      <w:r w:rsidRPr="00334E0B">
        <w:rPr>
          <w:szCs w:val="28"/>
        </w:rPr>
        <w:t>к измерения качества</w:t>
      </w:r>
      <w:r>
        <w:rPr>
          <w:szCs w:val="28"/>
        </w:rPr>
        <w:t xml:space="preserve"> данной</w:t>
      </w:r>
      <w:r w:rsidRPr="00334E0B">
        <w:rPr>
          <w:szCs w:val="28"/>
        </w:rPr>
        <w:t xml:space="preserve"> продукции</w:t>
      </w:r>
      <w:r>
        <w:rPr>
          <w:szCs w:val="28"/>
        </w:rPr>
        <w:t>, и как результат, повышению уровня безопасности продуктов питания</w:t>
      </w:r>
      <w:r w:rsidRPr="00334E0B">
        <w:rPr>
          <w:szCs w:val="28"/>
        </w:rPr>
        <w:t xml:space="preserve">. </w:t>
      </w:r>
      <w:r w:rsidR="00763A35" w:rsidRPr="004F4424">
        <w:rPr>
          <w:szCs w:val="28"/>
        </w:rPr>
        <w:t xml:space="preserve">В качестве одного из таких механизмов можно рассматривать корпоративную социальную ответственность (КСО) или социальную ответственность бизнеса как механизм сигнализирования </w:t>
      </w:r>
      <w:r w:rsidR="00763A35">
        <w:rPr>
          <w:szCs w:val="28"/>
        </w:rPr>
        <w:t xml:space="preserve">на </w:t>
      </w:r>
      <w:r w:rsidR="00763A35" w:rsidRPr="004F4424">
        <w:rPr>
          <w:szCs w:val="28"/>
        </w:rPr>
        <w:t>рынк</w:t>
      </w:r>
      <w:r w:rsidR="00763A35">
        <w:rPr>
          <w:szCs w:val="28"/>
        </w:rPr>
        <w:t>е</w:t>
      </w:r>
      <w:r w:rsidR="00763A35" w:rsidRPr="004F4424">
        <w:rPr>
          <w:szCs w:val="28"/>
        </w:rPr>
        <w:t xml:space="preserve"> пищевой продукции.</w:t>
      </w:r>
    </w:p>
    <w:p w:rsidR="00DE615C" w:rsidRPr="00E33AEF" w:rsidRDefault="00DE615C" w:rsidP="00DE615C">
      <w:pPr>
        <w:ind w:firstLine="708"/>
      </w:pPr>
      <w:r w:rsidRPr="008156B0">
        <w:t>Понятие КСО закреплено в международных стандартах, однако в России, по оценкам самих производителей, пока нет четкого понимания данного термина</w:t>
      </w:r>
      <w:r w:rsidR="004B4E20" w:rsidRPr="004B4E20">
        <w:t xml:space="preserve"> [4]</w:t>
      </w:r>
      <w:r w:rsidRPr="008156B0">
        <w:t>. В международной практике КСО определяют как «</w:t>
      </w:r>
      <w:r w:rsidRPr="008156B0">
        <w:rPr>
          <w:rFonts w:eastAsiaTheme="minorHAnsi"/>
          <w:lang w:eastAsia="en-US"/>
        </w:rPr>
        <w:t>совокупность обязательств и мероприятий компании сверх законодательно определяемого минимума, повышающих благосостояние общества</w:t>
      </w:r>
      <w:r w:rsidRPr="008156B0">
        <w:t>».</w:t>
      </w:r>
      <w:r>
        <w:t xml:space="preserve"> </w:t>
      </w:r>
      <w:r>
        <w:rPr>
          <w:bCs/>
        </w:rPr>
        <w:t>Повышение благосостояния общества в рамках КСО возможно через решение проблем по таким направлениям как соблюдение прав человека, охрана окружающей среды, добросовестные деловые практики, проблем, связанных с</w:t>
      </w:r>
      <w:r w:rsidR="00E41F07">
        <w:rPr>
          <w:bCs/>
        </w:rPr>
        <w:t xml:space="preserve"> защитой здоровья и безопасности</w:t>
      </w:r>
      <w:r>
        <w:rPr>
          <w:bCs/>
        </w:rPr>
        <w:t xml:space="preserve"> потребител</w:t>
      </w:r>
      <w:r w:rsidR="00E41F07">
        <w:rPr>
          <w:bCs/>
        </w:rPr>
        <w:t>ей</w:t>
      </w:r>
      <w:r>
        <w:rPr>
          <w:bCs/>
        </w:rPr>
        <w:t xml:space="preserve"> и другие</w:t>
      </w:r>
      <w:r w:rsidR="004B4E20" w:rsidRPr="004B4E20">
        <w:rPr>
          <w:bCs/>
        </w:rPr>
        <w:t xml:space="preserve"> [2]</w:t>
      </w:r>
      <w:r>
        <w:rPr>
          <w:bCs/>
        </w:rPr>
        <w:t>.</w:t>
      </w:r>
    </w:p>
    <w:p w:rsidR="00253C37" w:rsidRDefault="00253C37" w:rsidP="00253C37">
      <w:pPr>
        <w:ind w:firstLine="708"/>
      </w:pPr>
      <w:r>
        <w:t xml:space="preserve">Практики КСО в США, Европе, Великобритании используются уже достаточно давно. </w:t>
      </w:r>
      <w:r w:rsidR="00DE615C">
        <w:t>Было проведено множество исследований, подтверждающих положительное влияние КСО на репутацию фирмы и ее экономические показатели</w:t>
      </w:r>
      <w:r w:rsidR="004B4E20" w:rsidRPr="004B4E20">
        <w:t xml:space="preserve"> [8] [9] [10]</w:t>
      </w:r>
      <w:r w:rsidR="00DE615C">
        <w:t xml:space="preserve">. </w:t>
      </w:r>
      <w:r>
        <w:t>Однако в России данная практика не имеет распространения и используется в основном компаниями международного уровня в целях повышения конкурентоспособности на международных рынках. В ряде исследований утверждается, что сельское хозяйство в России имеет наилучшую перспективу развития КСО</w:t>
      </w:r>
      <w:r w:rsidR="004B4E20" w:rsidRPr="004B4E20">
        <w:t xml:space="preserve"> [1] [6]</w:t>
      </w:r>
      <w:r>
        <w:t>.</w:t>
      </w:r>
      <w:r w:rsidR="00466492" w:rsidRPr="00466492">
        <w:t xml:space="preserve"> </w:t>
      </w:r>
      <w:r>
        <w:t xml:space="preserve">В данной работе исследуются условия, способствующие применению практики КСО производителями продуктов питания. </w:t>
      </w:r>
    </w:p>
    <w:p w:rsidR="00253C37" w:rsidRPr="00843CD5" w:rsidRDefault="00253C37" w:rsidP="00253C37">
      <w:pPr>
        <w:ind w:firstLine="708"/>
      </w:pPr>
      <w:r>
        <w:t xml:space="preserve">С целью формирования предпосылок теоретико-игровой модели был проведен пилотный опрос потребителей таких продуктов питания, как молоко, питьевая вода, куриные яйца, мясо курицы, зерновые культуры (греча, рис). </w:t>
      </w:r>
      <w:r w:rsidRPr="00843CD5">
        <w:t>П</w:t>
      </w:r>
      <w:r w:rsidRPr="00843CD5">
        <w:rPr>
          <w:rFonts w:eastAsia="MS Mincho"/>
          <w:szCs w:val="28"/>
        </w:rPr>
        <w:t>олучили эмпирическое подтверждение следующие гипотезы:</w:t>
      </w:r>
    </w:p>
    <w:p w:rsidR="00253C37" w:rsidRPr="00843CD5" w:rsidRDefault="00253C37" w:rsidP="00253C37">
      <w:pPr>
        <w:pStyle w:val="a8"/>
        <w:numPr>
          <w:ilvl w:val="0"/>
          <w:numId w:val="6"/>
        </w:numPr>
        <w:spacing w:line="360" w:lineRule="auto"/>
        <w:ind w:left="425" w:hanging="425"/>
        <w:jc w:val="both"/>
        <w:rPr>
          <w:rFonts w:eastAsia="MS Mincho"/>
          <w:sz w:val="28"/>
          <w:szCs w:val="28"/>
        </w:rPr>
      </w:pPr>
      <w:r w:rsidRPr="00843CD5">
        <w:rPr>
          <w:rFonts w:eastAsia="MS Mincho"/>
          <w:sz w:val="28"/>
          <w:szCs w:val="28"/>
        </w:rPr>
        <w:t>ряд продуктов питания (например, куриные яйца, зерновые культуры, питьевая вода)</w:t>
      </w:r>
      <w:r>
        <w:rPr>
          <w:rFonts w:eastAsia="MS Mincho"/>
          <w:sz w:val="28"/>
          <w:szCs w:val="28"/>
        </w:rPr>
        <w:t xml:space="preserve"> </w:t>
      </w:r>
      <w:r w:rsidRPr="00843CD5">
        <w:rPr>
          <w:rFonts w:eastAsia="MS Mincho"/>
          <w:sz w:val="28"/>
          <w:szCs w:val="28"/>
        </w:rPr>
        <w:t>воспринимаются большой частью российских потребителей</w:t>
      </w:r>
      <w:r>
        <w:rPr>
          <w:rFonts w:eastAsia="MS Mincho"/>
          <w:sz w:val="28"/>
          <w:szCs w:val="28"/>
        </w:rPr>
        <w:t xml:space="preserve"> </w:t>
      </w:r>
      <w:r w:rsidRPr="00843CD5">
        <w:rPr>
          <w:rFonts w:eastAsia="MS Mincho"/>
          <w:sz w:val="28"/>
          <w:szCs w:val="28"/>
        </w:rPr>
        <w:t xml:space="preserve">как однородные </w:t>
      </w:r>
    </w:p>
    <w:p w:rsidR="00253C37" w:rsidRPr="00843CD5" w:rsidRDefault="00253C37" w:rsidP="00253C37">
      <w:pPr>
        <w:pStyle w:val="a8"/>
        <w:numPr>
          <w:ilvl w:val="0"/>
          <w:numId w:val="6"/>
        </w:numPr>
        <w:spacing w:line="360" w:lineRule="auto"/>
        <w:ind w:left="425" w:hanging="425"/>
        <w:jc w:val="both"/>
        <w:rPr>
          <w:rFonts w:eastAsia="MS Mincho"/>
          <w:sz w:val="28"/>
          <w:szCs w:val="28"/>
        </w:rPr>
      </w:pPr>
      <w:r w:rsidRPr="00843CD5">
        <w:rPr>
          <w:rFonts w:eastAsia="MS Mincho"/>
          <w:sz w:val="28"/>
          <w:szCs w:val="28"/>
        </w:rPr>
        <w:t xml:space="preserve">потребители готовы воспринимать репутацию производителя как сигнал качества продукции </w:t>
      </w:r>
    </w:p>
    <w:p w:rsidR="00253C37" w:rsidRPr="00843CD5" w:rsidRDefault="00253C37" w:rsidP="00253C37">
      <w:pPr>
        <w:pStyle w:val="a8"/>
        <w:numPr>
          <w:ilvl w:val="0"/>
          <w:numId w:val="6"/>
        </w:numPr>
        <w:spacing w:line="360" w:lineRule="auto"/>
        <w:ind w:left="425" w:hanging="425"/>
        <w:jc w:val="both"/>
        <w:rPr>
          <w:rFonts w:eastAsia="MS Mincho"/>
          <w:sz w:val="28"/>
          <w:szCs w:val="28"/>
        </w:rPr>
      </w:pPr>
      <w:r w:rsidRPr="00843CD5">
        <w:rPr>
          <w:rFonts w:eastAsia="MS Mincho"/>
          <w:sz w:val="28"/>
          <w:szCs w:val="28"/>
        </w:rPr>
        <w:t>практика КСО положительно влияет на склонность потребителей к покупке товара конкретного производителя</w:t>
      </w:r>
    </w:p>
    <w:p w:rsidR="00E57598" w:rsidRDefault="00253C37" w:rsidP="00E57598">
      <w:pPr>
        <w:widowControl w:val="0"/>
        <w:autoSpaceDE w:val="0"/>
        <w:autoSpaceDN w:val="0"/>
        <w:adjustRightInd w:val="0"/>
        <w:ind w:firstLine="708"/>
        <w:rPr>
          <w:rFonts w:cs="AdvPS6F00"/>
          <w:szCs w:val="28"/>
        </w:rPr>
      </w:pPr>
      <w:r>
        <w:t xml:space="preserve">В качестве модели взаимодействия производителей была выбрана модель Курно с разными издержками производства продуктов питания с высоким и с низким уровнями риска ухудшения здоровья. </w:t>
      </w:r>
      <w:r w:rsidR="00E57598" w:rsidRPr="004B3344">
        <w:rPr>
          <w:rFonts w:cs="AdvPS6F00"/>
          <w:szCs w:val="28"/>
        </w:rPr>
        <w:t xml:space="preserve">В разработанной теоретико-игровой модели </w:t>
      </w:r>
      <w:r w:rsidR="00E57598">
        <w:rPr>
          <w:rFonts w:cs="AdvPS6F00"/>
          <w:szCs w:val="28"/>
        </w:rPr>
        <w:t xml:space="preserve">были </w:t>
      </w:r>
      <w:r w:rsidR="00E57598" w:rsidRPr="004B3344">
        <w:rPr>
          <w:rFonts w:cs="AdvPS6F00"/>
          <w:szCs w:val="28"/>
        </w:rPr>
        <w:t>рассм</w:t>
      </w:r>
      <w:r w:rsidR="00E57598">
        <w:rPr>
          <w:rFonts w:cs="AdvPS6F00"/>
          <w:szCs w:val="28"/>
        </w:rPr>
        <w:t xml:space="preserve">отрены </w:t>
      </w:r>
      <w:r w:rsidR="00E57598" w:rsidRPr="001147A6">
        <w:rPr>
          <w:rFonts w:cs="AdvPS6F00"/>
          <w:szCs w:val="28"/>
        </w:rPr>
        <w:t xml:space="preserve">стратегии поведения производителей </w:t>
      </w:r>
      <w:r w:rsidR="00E57598">
        <w:rPr>
          <w:rFonts w:cs="AdvPS6F00"/>
          <w:szCs w:val="28"/>
        </w:rPr>
        <w:t>продуктов питания: использовать или не использовать практику КСО. Величина выигрыша производителя зависит от типа товара, от реакции потребителей, обусловленной типом потребителя, от издержек на реализацию КСО и от политики государства в отношении поддержки практики КСО. Тип потребителя определяется его отношением к собственному здоровью и учетом уровня риска ухудшения здоровья (выступает ли безопасность продукции фактором спроса)</w:t>
      </w:r>
      <w:r w:rsidR="00E57598" w:rsidRPr="008156B0">
        <w:rPr>
          <w:rFonts w:cs="AdvPS6F00"/>
          <w:szCs w:val="28"/>
        </w:rPr>
        <w:t>.</w:t>
      </w:r>
      <w:r w:rsidR="00E57598">
        <w:rPr>
          <w:rFonts w:cs="AdvPS6F00"/>
          <w:szCs w:val="28"/>
        </w:rPr>
        <w:t xml:space="preserve"> Предполагается, что потребители, учитывающие риск ухудшения здоровья, приобретают продукт питания только в случае, если производитель использует практику КСО, так как потребитель данного типа воспринимает КСО как сигнал о безопасности данного продукта. Потребители, не учитывающие риск ухудшения здоровья, не меняют своих предпочтений в зависимости от стратегий, выбираемых производителями.</w:t>
      </w:r>
    </w:p>
    <w:p w:rsidR="004B3344" w:rsidRDefault="0066470E" w:rsidP="00E57598">
      <w:pPr>
        <w:widowControl w:val="0"/>
        <w:autoSpaceDE w:val="0"/>
        <w:autoSpaceDN w:val="0"/>
        <w:adjustRightInd w:val="0"/>
        <w:ind w:firstLine="708"/>
      </w:pPr>
      <w:r>
        <w:t xml:space="preserve">Анализ модели </w:t>
      </w:r>
      <w:r w:rsidRPr="008156B0">
        <w:t xml:space="preserve">в предположении, что на рынке действуют две фирмы, </w:t>
      </w:r>
      <w:r>
        <w:t xml:space="preserve">приводит к формулированию условий, при которых сложится то или иное равновесие Нэша. </w:t>
      </w:r>
      <w:r w:rsidR="000655B0">
        <w:t>Далее представлены профили стратегий и условия их равновесия:</w:t>
      </w:r>
    </w:p>
    <w:p w:rsidR="004B3344" w:rsidRDefault="008B794B" w:rsidP="008B794B">
      <w:pPr>
        <w:tabs>
          <w:tab w:val="left" w:pos="709"/>
        </w:tabs>
        <w:jc w:val="right"/>
        <w:rPr>
          <w:position w:val="-12"/>
        </w:rPr>
      </w:pPr>
      <w:r w:rsidRPr="008B794B">
        <w:rPr>
          <w:position w:val="-12"/>
        </w:rPr>
        <w:t>&lt;</w:t>
      </w:r>
      <w:r>
        <w:rPr>
          <w:position w:val="-12"/>
        </w:rPr>
        <w:t>КСО; КСО</w:t>
      </w:r>
      <w:r w:rsidRPr="008B794B">
        <w:rPr>
          <w:position w:val="-12"/>
        </w:rPr>
        <w:t>&gt;</w:t>
      </w:r>
      <w:r>
        <w:rPr>
          <w:position w:val="-12"/>
        </w:rPr>
        <w:t xml:space="preserve">: </w:t>
      </w:r>
      <w:r w:rsidR="00D850F6" w:rsidRPr="000304BE">
        <w:rPr>
          <w:position w:val="-12"/>
        </w:rPr>
        <w:object w:dxaOrig="1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.75pt" o:ole="">
            <v:imagedata r:id="rId13" o:title=""/>
          </v:shape>
          <o:OLEObject Type="Embed" ProgID="Equation.3" ShapeID="_x0000_i1025" DrawAspect="Content" ObjectID="_1488267256" r:id="rId14"/>
        </w:object>
      </w:r>
      <w:r>
        <w:rPr>
          <w:position w:val="-12"/>
        </w:rPr>
        <w:t xml:space="preserve">                                        (1)</w:t>
      </w:r>
    </w:p>
    <w:p w:rsidR="008B794B" w:rsidRDefault="008B794B" w:rsidP="008B794B">
      <w:pPr>
        <w:tabs>
          <w:tab w:val="left" w:pos="709"/>
        </w:tabs>
        <w:jc w:val="right"/>
        <w:rPr>
          <w:position w:val="-12"/>
        </w:rPr>
      </w:pPr>
      <w:r w:rsidRPr="008B794B">
        <w:rPr>
          <w:position w:val="-12"/>
        </w:rPr>
        <w:t>&lt;</w:t>
      </w:r>
      <w:r>
        <w:rPr>
          <w:position w:val="-12"/>
        </w:rPr>
        <w:t>КСО; НеКСО</w:t>
      </w:r>
      <w:r w:rsidRPr="008B794B">
        <w:rPr>
          <w:position w:val="-12"/>
        </w:rPr>
        <w:t>&gt;</w:t>
      </w:r>
      <w:r>
        <w:rPr>
          <w:position w:val="-12"/>
        </w:rPr>
        <w:t xml:space="preserve">: </w:t>
      </w:r>
      <w:r w:rsidR="00912E87" w:rsidRPr="00774AE1">
        <w:rPr>
          <w:position w:val="-12"/>
        </w:rPr>
        <w:object w:dxaOrig="2340" w:dyaOrig="380">
          <v:shape id="_x0000_i1026" type="#_x0000_t75" style="width:117pt;height:18.75pt" o:ole="">
            <v:imagedata r:id="rId15" o:title=""/>
          </v:shape>
          <o:OLEObject Type="Embed" ProgID="Equation.3" ShapeID="_x0000_i1026" DrawAspect="Content" ObjectID="_1488267257" r:id="rId16"/>
        </w:object>
      </w:r>
      <w:r>
        <w:rPr>
          <w:position w:val="-12"/>
        </w:rPr>
        <w:t xml:space="preserve">                           (2)</w:t>
      </w:r>
    </w:p>
    <w:p w:rsidR="008B794B" w:rsidRDefault="008B794B" w:rsidP="008B794B">
      <w:pPr>
        <w:tabs>
          <w:tab w:val="left" w:pos="709"/>
        </w:tabs>
        <w:jc w:val="right"/>
      </w:pPr>
      <w:r w:rsidRPr="008B794B">
        <w:rPr>
          <w:position w:val="-12"/>
        </w:rPr>
        <w:t>&lt;</w:t>
      </w:r>
      <w:r>
        <w:rPr>
          <w:position w:val="-12"/>
        </w:rPr>
        <w:t>НеКСО; НеКСО</w:t>
      </w:r>
      <w:r w:rsidRPr="008B794B">
        <w:rPr>
          <w:position w:val="-12"/>
        </w:rPr>
        <w:t>&gt;</w:t>
      </w:r>
      <w:r>
        <w:rPr>
          <w:position w:val="-12"/>
        </w:rPr>
        <w:t xml:space="preserve">: </w:t>
      </w:r>
      <w:r w:rsidRPr="000304BE">
        <w:rPr>
          <w:position w:val="-12"/>
        </w:rPr>
        <w:object w:dxaOrig="1460" w:dyaOrig="380">
          <v:shape id="_x0000_i1027" type="#_x0000_t75" style="width:75pt;height:18.75pt" o:ole="">
            <v:imagedata r:id="rId17" o:title=""/>
          </v:shape>
          <o:OLEObject Type="Embed" ProgID="Equation.3" ShapeID="_x0000_i1027" DrawAspect="Content" ObjectID="_1488267258" r:id="rId18"/>
        </w:object>
      </w:r>
      <w:r>
        <w:rPr>
          <w:position w:val="-12"/>
        </w:rPr>
        <w:t xml:space="preserve">                                       (3)</w:t>
      </w:r>
    </w:p>
    <w:p w:rsidR="00E57598" w:rsidRDefault="00D8089E" w:rsidP="00E57598">
      <w:pPr>
        <w:tabs>
          <w:tab w:val="left" w:pos="709"/>
        </w:tabs>
      </w:pPr>
      <w:r>
        <w:t xml:space="preserve">где:    </w:t>
      </w:r>
      <w:r w:rsidR="00E57598">
        <w:t>КСО – стратегия использования практики КСО;</w:t>
      </w:r>
    </w:p>
    <w:p w:rsidR="00E57598" w:rsidRDefault="00E57598" w:rsidP="00E57598">
      <w:pPr>
        <w:tabs>
          <w:tab w:val="left" w:pos="709"/>
        </w:tabs>
      </w:pPr>
      <w:r>
        <w:rPr>
          <w:position w:val="-12"/>
        </w:rPr>
        <w:tab/>
        <w:t>НеКСО – стратегия отказа от практики КСО;</w:t>
      </w:r>
    </w:p>
    <w:p w:rsidR="00D8089E" w:rsidRPr="00D8089E" w:rsidRDefault="00E57598" w:rsidP="00D8089E">
      <w:pPr>
        <w:tabs>
          <w:tab w:val="left" w:pos="709"/>
        </w:tabs>
      </w:pPr>
      <w:r>
        <w:tab/>
      </w:r>
      <w:r w:rsidR="00D8089E" w:rsidRPr="00D8089E">
        <w:t>α – доля потребителей, заботящихся о своем здоровье</w:t>
      </w:r>
      <w:r>
        <w:t>;</w:t>
      </w:r>
    </w:p>
    <w:p w:rsidR="00D8089E" w:rsidRDefault="00D8089E" w:rsidP="00D8089E">
      <w:pPr>
        <w:tabs>
          <w:tab w:val="left" w:pos="709"/>
        </w:tabs>
      </w:pPr>
      <w:r>
        <w:tab/>
      </w:r>
      <w:r w:rsidRPr="00D8089E">
        <w:t>С</w:t>
      </w:r>
      <w:r w:rsidRPr="00D8089E">
        <w:rPr>
          <w:vertAlign w:val="subscript"/>
          <w:lang w:val="en-US"/>
        </w:rPr>
        <w:t>CSR</w:t>
      </w:r>
      <w:r w:rsidRPr="00D8089E">
        <w:t xml:space="preserve"> – издержки на проведение политики КСО</w:t>
      </w:r>
      <w:r w:rsidR="00E57598">
        <w:t>;</w:t>
      </w:r>
      <w:r w:rsidRPr="00D8089E">
        <w:t xml:space="preserve"> </w:t>
      </w:r>
    </w:p>
    <w:p w:rsidR="00CD0177" w:rsidRPr="00CD0177" w:rsidRDefault="00CD0177" w:rsidP="00D8089E">
      <w:pPr>
        <w:tabs>
          <w:tab w:val="left" w:pos="709"/>
        </w:tabs>
      </w:pPr>
      <w:r>
        <w:tab/>
      </w:r>
      <w:r w:rsidRPr="00D8089E">
        <w:t>С</w:t>
      </w:r>
      <w:r>
        <w:rPr>
          <w:vertAlign w:val="subscript"/>
          <w:lang w:val="en-US"/>
        </w:rPr>
        <w:t>P</w:t>
      </w:r>
      <w:r w:rsidRPr="00CF63FF">
        <w:t xml:space="preserve"> – </w:t>
      </w:r>
      <w:r>
        <w:t>издержки на производство</w:t>
      </w:r>
      <w:r w:rsidR="00E57598">
        <w:t>;</w:t>
      </w:r>
    </w:p>
    <w:p w:rsidR="00D8089E" w:rsidRDefault="00D8089E" w:rsidP="00D8089E">
      <w:pPr>
        <w:tabs>
          <w:tab w:val="left" w:pos="709"/>
        </w:tabs>
        <w:ind w:firstLine="708"/>
        <w:rPr>
          <w:position w:val="-24"/>
        </w:rPr>
      </w:pPr>
      <w:r w:rsidRPr="000304BE">
        <w:rPr>
          <w:position w:val="-24"/>
        </w:rPr>
        <w:object w:dxaOrig="4320" w:dyaOrig="680">
          <v:shape id="_x0000_i1028" type="#_x0000_t75" style="width:3in;height:34.5pt" o:ole="">
            <v:imagedata r:id="rId19" o:title=""/>
          </v:shape>
          <o:OLEObject Type="Embed" ProgID="Equation.3" ShapeID="_x0000_i1028" DrawAspect="Content" ObjectID="_1488267259" r:id="rId20"/>
        </w:object>
      </w:r>
      <w:r w:rsidR="00E57598">
        <w:rPr>
          <w:position w:val="-24"/>
        </w:rPr>
        <w:t>;</w:t>
      </w:r>
    </w:p>
    <w:p w:rsidR="00D8089E" w:rsidRPr="00D8089E" w:rsidRDefault="00D8089E" w:rsidP="00D8089E">
      <w:pPr>
        <w:tabs>
          <w:tab w:val="left" w:pos="709"/>
        </w:tabs>
        <w:ind w:firstLine="708"/>
      </w:pPr>
      <w:r w:rsidRPr="000304BE">
        <w:rPr>
          <w:position w:val="-24"/>
        </w:rPr>
        <w:object w:dxaOrig="4380" w:dyaOrig="680">
          <v:shape id="_x0000_i1029" type="#_x0000_t75" style="width:219.75pt;height:34.5pt" o:ole="">
            <v:imagedata r:id="rId21" o:title=""/>
          </v:shape>
          <o:OLEObject Type="Embed" ProgID="Equation.3" ShapeID="_x0000_i1029" DrawAspect="Content" ObjectID="_1488267260" r:id="rId22"/>
        </w:object>
      </w:r>
      <w:r w:rsidR="00CD0177">
        <w:rPr>
          <w:position w:val="-24"/>
        </w:rPr>
        <w:t>.</w:t>
      </w:r>
    </w:p>
    <w:p w:rsidR="0066470E" w:rsidRDefault="004B3344" w:rsidP="0066470E">
      <w:pPr>
        <w:tabs>
          <w:tab w:val="left" w:pos="709"/>
        </w:tabs>
      </w:pPr>
      <w:r>
        <w:tab/>
      </w:r>
      <w:r w:rsidR="0066470E" w:rsidRPr="00541877">
        <w:t>На выбор производителя</w:t>
      </w:r>
      <w:r w:rsidR="0066470E">
        <w:t xml:space="preserve"> </w:t>
      </w:r>
      <w:r w:rsidR="0066470E" w:rsidRPr="00541877">
        <w:t xml:space="preserve">в этом случае оказывают влияние величина производственных издержек, издержек на проведение политики КСО и доля потребителей, заботящихся о своем здоровье. Чем выше издержки на производство, тем ниже прибыль. Это приводит к уменьшению диапазона величин возможных издержек на проведение КСО, следовательно, </w:t>
      </w:r>
      <w:r w:rsidR="007B2324">
        <w:t xml:space="preserve">при </w:t>
      </w:r>
      <w:r w:rsidR="0066470E" w:rsidRPr="00541877">
        <w:t>определенных</w:t>
      </w:r>
      <w:r w:rsidR="0066470E">
        <w:t xml:space="preserve"> </w:t>
      </w:r>
      <w:r w:rsidR="0066470E" w:rsidRPr="00541877">
        <w:t>условиях производители не будут использовать политику</w:t>
      </w:r>
      <w:r w:rsidR="0066470E">
        <w:t xml:space="preserve"> </w:t>
      </w:r>
      <w:r w:rsidR="0066470E" w:rsidRPr="00541877">
        <w:t xml:space="preserve">КСО. Наоборот, увеличение доли потребителей </w:t>
      </w:r>
      <w:r w:rsidR="0066470E" w:rsidRPr="00541877">
        <w:rPr>
          <w:rFonts w:ascii="Calibri" w:hAnsi="Calibri"/>
        </w:rPr>
        <w:t>α</w:t>
      </w:r>
      <w:r w:rsidR="0066470E" w:rsidRPr="00541877">
        <w:t xml:space="preserve">, которые заботятся о своем здоровье, стимулирует производителей к применению КСО. Таким образом, учитывая низкий уровень </w:t>
      </w:r>
      <w:r w:rsidR="0066470E" w:rsidRPr="00541877">
        <w:rPr>
          <w:rFonts w:ascii="Calibri" w:hAnsi="Calibri"/>
        </w:rPr>
        <w:t>α</w:t>
      </w:r>
      <w:r w:rsidR="0066470E" w:rsidRPr="00541877">
        <w:t xml:space="preserve"> для России, в однопериодной игре к проведению политики КСО будут создаваться стимулы и у производителей продукции низкого качества.</w:t>
      </w:r>
    </w:p>
    <w:p w:rsidR="002F225A" w:rsidRDefault="002F225A" w:rsidP="002F225A">
      <w:pPr>
        <w:tabs>
          <w:tab w:val="left" w:pos="709"/>
        </w:tabs>
      </w:pPr>
      <w:r>
        <w:tab/>
      </w:r>
      <w:r w:rsidR="00912E87">
        <w:t xml:space="preserve">Учитывая, что в основе политики </w:t>
      </w:r>
      <w:r w:rsidR="00912E87" w:rsidRPr="00541877">
        <w:t>КСО</w:t>
      </w:r>
      <w:r w:rsidR="00912E87">
        <w:t xml:space="preserve"> лежит репутация</w:t>
      </w:r>
      <w:r w:rsidR="00912E87" w:rsidRPr="00541877">
        <w:t>,</w:t>
      </w:r>
      <w:r w:rsidR="00912E87">
        <w:t xml:space="preserve"> рассмотрим выбор стратегий поведения производителями в </w:t>
      </w:r>
      <w:r w:rsidR="00912E87" w:rsidRPr="00541877">
        <w:t>долгосрочн</w:t>
      </w:r>
      <w:r w:rsidR="00912E87">
        <w:t>ой перспективе</w:t>
      </w:r>
      <w:r w:rsidR="00912E87" w:rsidRPr="00541877">
        <w:t xml:space="preserve">. </w:t>
      </w:r>
      <w:r w:rsidRPr="00541877">
        <w:t>Так, модель из однопериодной игры переходит в формат бесконечно повторяющейся. Смысл рассмотрения долгосрочного периода заключается еще и в том, что начиная со второго периода</w:t>
      </w:r>
      <w:r>
        <w:t xml:space="preserve"> </w:t>
      </w:r>
      <w:r w:rsidRPr="00541877">
        <w:t>возможно изменение реакции потребителей, заботящихся о своем здоровье, на продукцию с высоким у</w:t>
      </w:r>
      <w:r>
        <w:t xml:space="preserve">ровнем риска (низким качеством). Кроме этого, </w:t>
      </w:r>
      <w:r w:rsidRPr="00541877">
        <w:t>возможно изменение реакции государства на проведение политики, приводящей к положительным эффектам на общественное благосостояние</w:t>
      </w:r>
      <w:r>
        <w:t>. В связи с этим вводится предпосылка о поддержке со стороны государства фирмам, которые проводят  политику КСО и выпускают высококачественную продукцию.</w:t>
      </w:r>
    </w:p>
    <w:p w:rsidR="007F5F25" w:rsidRDefault="000A0224" w:rsidP="007F5F25">
      <w:pPr>
        <w:widowControl w:val="0"/>
        <w:autoSpaceDE w:val="0"/>
        <w:autoSpaceDN w:val="0"/>
        <w:adjustRightInd w:val="0"/>
        <w:ind w:firstLine="709"/>
        <w:rPr>
          <w:rFonts w:cs="AdvPS6F00"/>
          <w:szCs w:val="28"/>
        </w:rPr>
      </w:pPr>
      <w:r>
        <w:rPr>
          <w:rFonts w:cs="AdvPS6F00"/>
          <w:szCs w:val="28"/>
        </w:rPr>
        <w:t xml:space="preserve">Таким образом, для выбора производителями продукции высокого качества стратегии «КСО» необходимо выполнение следующих условий: </w:t>
      </w:r>
    </w:p>
    <w:p w:rsidR="000A0224" w:rsidRPr="000A0224" w:rsidRDefault="000A0224" w:rsidP="000A022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AdvPS6F00"/>
          <w:sz w:val="28"/>
          <w:szCs w:val="28"/>
        </w:rPr>
      </w:pPr>
      <w:r>
        <w:rPr>
          <w:rFonts w:cs="AdvPS6F00"/>
          <w:sz w:val="28"/>
          <w:szCs w:val="28"/>
        </w:rPr>
        <w:t xml:space="preserve">Если соперник отказывается от проведения КСО при любом уровне продукции: </w:t>
      </w:r>
    </w:p>
    <w:p w:rsidR="00763A35" w:rsidRDefault="00F5454E" w:rsidP="00F5454E">
      <w:pPr>
        <w:jc w:val="right"/>
        <w:rPr>
          <w:position w:val="-12"/>
        </w:rPr>
      </w:pPr>
      <w:r w:rsidRPr="00437216">
        <w:rPr>
          <w:position w:val="-12"/>
        </w:rPr>
        <w:object w:dxaOrig="2400" w:dyaOrig="380">
          <v:shape id="_x0000_i1030" type="#_x0000_t75" style="width:118.5pt;height:18.75pt" o:ole="">
            <v:imagedata r:id="rId23" o:title=""/>
          </v:shape>
          <o:OLEObject Type="Embed" ProgID="Equation.3" ShapeID="_x0000_i1030" DrawAspect="Content" ObjectID="_1488267261" r:id="rId24"/>
        </w:object>
      </w:r>
      <w:r>
        <w:rPr>
          <w:position w:val="-12"/>
        </w:rPr>
        <w:t xml:space="preserve">                                           (4)</w:t>
      </w:r>
    </w:p>
    <w:p w:rsidR="00F5454E" w:rsidRPr="00F5454E" w:rsidRDefault="00F5454E" w:rsidP="00F5454E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5454E">
        <w:rPr>
          <w:position w:val="-12"/>
          <w:sz w:val="28"/>
          <w:szCs w:val="28"/>
        </w:rPr>
        <w:t>Если соперник выбирает стратегию «КСО» и выпускает продукцию низкого качества:</w:t>
      </w:r>
    </w:p>
    <w:p w:rsidR="00193ACC" w:rsidRDefault="00F5454E" w:rsidP="00F5454E">
      <w:pPr>
        <w:jc w:val="right"/>
        <w:rPr>
          <w:position w:val="-12"/>
        </w:rPr>
      </w:pPr>
      <w:r w:rsidRPr="00B66072">
        <w:rPr>
          <w:position w:val="-12"/>
        </w:rPr>
        <w:object w:dxaOrig="4480" w:dyaOrig="380">
          <v:shape id="_x0000_i1031" type="#_x0000_t75" style="width:223.5pt;height:18.75pt" o:ole="">
            <v:imagedata r:id="rId25" o:title=""/>
          </v:shape>
          <o:OLEObject Type="Embed" ProgID="Equation.3" ShapeID="_x0000_i1031" DrawAspect="Content" ObjectID="_1488267262" r:id="rId26"/>
        </w:object>
      </w:r>
      <w:r>
        <w:rPr>
          <w:position w:val="-12"/>
        </w:rPr>
        <w:t xml:space="preserve">                             (5)</w:t>
      </w:r>
    </w:p>
    <w:p w:rsidR="00F5454E" w:rsidRPr="00F5454E" w:rsidRDefault="00F5454E" w:rsidP="00F5454E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5454E">
        <w:rPr>
          <w:position w:val="-12"/>
          <w:sz w:val="28"/>
          <w:szCs w:val="28"/>
        </w:rPr>
        <w:t>Если стратегии идентичны:</w:t>
      </w:r>
    </w:p>
    <w:p w:rsidR="00193ACC" w:rsidRDefault="00F5454E" w:rsidP="00F5454E">
      <w:pPr>
        <w:jc w:val="right"/>
        <w:rPr>
          <w:position w:val="-12"/>
        </w:rPr>
      </w:pPr>
      <w:r w:rsidRPr="00F5454E">
        <w:rPr>
          <w:position w:val="-12"/>
        </w:rPr>
        <w:object w:dxaOrig="2420" w:dyaOrig="380">
          <v:shape id="_x0000_i1032" type="#_x0000_t75" style="width:120.75pt;height:18.75pt" o:ole="">
            <v:imagedata r:id="rId27" o:title=""/>
          </v:shape>
          <o:OLEObject Type="Embed" ProgID="Equation.3" ShapeID="_x0000_i1032" DrawAspect="Content" ObjectID="_1488267263" r:id="rId28"/>
        </w:object>
      </w:r>
      <w:r>
        <w:rPr>
          <w:position w:val="-12"/>
        </w:rPr>
        <w:t xml:space="preserve">                                       </w:t>
      </w:r>
      <w:r w:rsidRPr="00F5454E">
        <w:rPr>
          <w:position w:val="-12"/>
        </w:rPr>
        <w:t xml:space="preserve"> (6)</w:t>
      </w:r>
    </w:p>
    <w:p w:rsidR="00F5454E" w:rsidRPr="00D8089E" w:rsidRDefault="00F5454E" w:rsidP="00F5454E">
      <w:pPr>
        <w:tabs>
          <w:tab w:val="left" w:pos="709"/>
        </w:tabs>
      </w:pPr>
      <w:r>
        <w:rPr>
          <w:position w:val="-12"/>
        </w:rPr>
        <w:t xml:space="preserve">где:    </w:t>
      </w:r>
      <w:r w:rsidRPr="00D8089E">
        <w:t>α – доля потребителей, заботящихся о своем здоровье</w:t>
      </w:r>
      <w:r>
        <w:t>,</w:t>
      </w:r>
    </w:p>
    <w:p w:rsidR="00F5454E" w:rsidRDefault="00F5454E" w:rsidP="00F5454E">
      <w:pPr>
        <w:tabs>
          <w:tab w:val="left" w:pos="709"/>
        </w:tabs>
      </w:pPr>
      <w:r>
        <w:tab/>
      </w:r>
      <w:r w:rsidRPr="00D8089E">
        <w:t>С</w:t>
      </w:r>
      <w:r w:rsidRPr="00D8089E">
        <w:rPr>
          <w:vertAlign w:val="subscript"/>
          <w:lang w:val="en-US"/>
        </w:rPr>
        <w:t>CSR</w:t>
      </w:r>
      <w:r w:rsidRPr="00D8089E">
        <w:t xml:space="preserve"> – издержки на проведение политики КСО, </w:t>
      </w:r>
    </w:p>
    <w:p w:rsidR="00F5454E" w:rsidRPr="00CD0177" w:rsidRDefault="00F5454E" w:rsidP="00F5454E">
      <w:pPr>
        <w:tabs>
          <w:tab w:val="left" w:pos="709"/>
        </w:tabs>
      </w:pPr>
      <w:r>
        <w:tab/>
      </w:r>
      <w:r w:rsidRPr="00D8089E">
        <w:t>С</w:t>
      </w:r>
      <w:r>
        <w:rPr>
          <w:vertAlign w:val="subscript"/>
          <w:lang w:val="en-US"/>
        </w:rPr>
        <w:t>P</w:t>
      </w:r>
      <w:r w:rsidRPr="00F5454E">
        <w:t xml:space="preserve"> – </w:t>
      </w:r>
      <w:r>
        <w:t>издержки на производство,</w:t>
      </w:r>
    </w:p>
    <w:p w:rsidR="00F5454E" w:rsidRDefault="00F5454E" w:rsidP="00F5454E">
      <w:pPr>
        <w:ind w:firstLine="708"/>
      </w:pPr>
      <w:r w:rsidRPr="00F5454E">
        <w:rPr>
          <w:lang w:val="el-GR"/>
        </w:rPr>
        <w:t>λ</w:t>
      </w:r>
      <w:r w:rsidRPr="00F5454E">
        <w:t xml:space="preserve"> – доля С</w:t>
      </w:r>
      <w:r w:rsidRPr="00F5454E">
        <w:rPr>
          <w:vertAlign w:val="subscript"/>
          <w:lang w:val="en-US"/>
        </w:rPr>
        <w:t>CSR</w:t>
      </w:r>
      <w:r w:rsidRPr="00F5454E">
        <w:t>, выдаваемая в виде государственного поощрения</w:t>
      </w:r>
      <w:r>
        <w:t>,</w:t>
      </w:r>
    </w:p>
    <w:p w:rsidR="00F5454E" w:rsidRDefault="00F5454E" w:rsidP="00F5454E">
      <w:pPr>
        <w:ind w:firstLine="708"/>
      </w:pPr>
      <w:r>
        <w:rPr>
          <w:rFonts w:cs="Times New Roman"/>
        </w:rPr>
        <w:t>δ</w:t>
      </w:r>
      <w:r w:rsidRPr="00F5454E">
        <w:t xml:space="preserve"> – дисконт</w:t>
      </w:r>
      <w:r>
        <w:t xml:space="preserve">ирующий </w:t>
      </w:r>
      <w:r w:rsidRPr="00F5454E">
        <w:t>фактор</w:t>
      </w:r>
      <w:r>
        <w:t>,</w:t>
      </w:r>
    </w:p>
    <w:p w:rsidR="00F5454E" w:rsidRPr="00F5454E" w:rsidRDefault="00F5454E" w:rsidP="00F5454E">
      <w:pPr>
        <w:pStyle w:val="a8"/>
        <w:tabs>
          <w:tab w:val="left" w:pos="709"/>
          <w:tab w:val="left" w:pos="993"/>
        </w:tabs>
        <w:ind w:left="708"/>
        <w:jc w:val="both"/>
        <w:rPr>
          <w:sz w:val="28"/>
          <w:szCs w:val="28"/>
        </w:rPr>
      </w:pPr>
      <w:r w:rsidRPr="00F5454E">
        <w:rPr>
          <w:sz w:val="28"/>
          <w:szCs w:val="28"/>
          <w:lang w:val="en-US"/>
        </w:rPr>
        <w:t>π</w:t>
      </w:r>
      <w:r w:rsidRPr="00F5454E">
        <w:rPr>
          <w:sz w:val="28"/>
          <w:szCs w:val="28"/>
          <w:vertAlign w:val="subscript"/>
        </w:rPr>
        <w:t>1</w:t>
      </w:r>
      <w:r w:rsidRPr="00F5454E">
        <w:rPr>
          <w:sz w:val="28"/>
          <w:szCs w:val="28"/>
          <w:vertAlign w:val="superscript"/>
          <w:lang w:val="en-US"/>
        </w:rPr>
        <w:t>m</w:t>
      </w:r>
      <w:r w:rsidRPr="00F5454E">
        <w:rPr>
          <w:sz w:val="28"/>
          <w:szCs w:val="28"/>
        </w:rPr>
        <w:t xml:space="preserve"> - монопольная прибыль первого производителя на всем</w:t>
      </w:r>
      <w:r>
        <w:rPr>
          <w:sz w:val="28"/>
          <w:szCs w:val="28"/>
        </w:rPr>
        <w:t xml:space="preserve"> </w:t>
      </w:r>
      <w:r w:rsidRPr="00F5454E">
        <w:rPr>
          <w:sz w:val="28"/>
          <w:szCs w:val="28"/>
        </w:rPr>
        <w:t xml:space="preserve">рынке, </w:t>
      </w:r>
      <w:r>
        <w:rPr>
          <w:sz w:val="28"/>
          <w:szCs w:val="28"/>
        </w:rPr>
        <w:t xml:space="preserve">  </w:t>
      </w:r>
      <w:r w:rsidRPr="00F5454E">
        <w:rPr>
          <w:position w:val="-24"/>
          <w:sz w:val="28"/>
          <w:szCs w:val="28"/>
        </w:rPr>
        <w:object w:dxaOrig="1620" w:dyaOrig="680">
          <v:shape id="_x0000_i1033" type="#_x0000_t75" style="width:80.25pt;height:34.5pt" o:ole="">
            <v:imagedata r:id="rId29" o:title=""/>
          </v:shape>
          <o:OLEObject Type="Embed" ProgID="Equation.3" ShapeID="_x0000_i1033" DrawAspect="Content" ObjectID="_1488267264" r:id="rId30"/>
        </w:object>
      </w:r>
      <w:r w:rsidR="006D7716">
        <w:rPr>
          <w:position w:val="-24"/>
          <w:sz w:val="28"/>
          <w:szCs w:val="28"/>
        </w:rPr>
        <w:t>,</w:t>
      </w:r>
    </w:p>
    <w:p w:rsidR="00F5454E" w:rsidRPr="00F5454E" w:rsidRDefault="00F5454E" w:rsidP="00F5454E">
      <w:pPr>
        <w:tabs>
          <w:tab w:val="left" w:pos="709"/>
          <w:tab w:val="left" w:pos="993"/>
        </w:tabs>
        <w:ind w:left="708"/>
        <w:rPr>
          <w:szCs w:val="28"/>
        </w:rPr>
      </w:pPr>
      <w:r>
        <w:rPr>
          <w:szCs w:val="28"/>
        </w:rPr>
        <w:tab/>
      </w:r>
      <w:r w:rsidRPr="00F5454E">
        <w:rPr>
          <w:szCs w:val="28"/>
          <w:lang w:val="en-US"/>
        </w:rPr>
        <w:t>π</w:t>
      </w:r>
      <w:r w:rsidRPr="00F5454E">
        <w:rPr>
          <w:szCs w:val="28"/>
          <w:vertAlign w:val="subscript"/>
        </w:rPr>
        <w:t>1</w:t>
      </w:r>
      <w:r w:rsidRPr="00F5454E">
        <w:rPr>
          <w:szCs w:val="28"/>
          <w:vertAlign w:val="superscript"/>
          <w:lang w:val="en-US"/>
        </w:rPr>
        <w:t>K</w:t>
      </w:r>
      <w:r w:rsidRPr="00F5454E">
        <w:rPr>
          <w:szCs w:val="28"/>
        </w:rPr>
        <w:t xml:space="preserve"> – прибыль по Курно пе</w:t>
      </w:r>
      <w:r>
        <w:rPr>
          <w:szCs w:val="28"/>
        </w:rPr>
        <w:t xml:space="preserve">рвого производителя (при разных </w:t>
      </w:r>
      <w:r w:rsidRPr="00F5454E">
        <w:rPr>
          <w:szCs w:val="28"/>
        </w:rPr>
        <w:t xml:space="preserve">издержках), </w:t>
      </w:r>
      <w:r w:rsidRPr="00F5454E">
        <w:rPr>
          <w:szCs w:val="28"/>
          <w:lang w:val="en-US"/>
        </w:rPr>
        <w:t>π</w:t>
      </w:r>
      <w:r w:rsidRPr="00F5454E">
        <w:rPr>
          <w:szCs w:val="28"/>
          <w:vertAlign w:val="subscript"/>
        </w:rPr>
        <w:t>1</w:t>
      </w:r>
      <w:r w:rsidRPr="00F5454E">
        <w:rPr>
          <w:szCs w:val="28"/>
          <w:vertAlign w:val="superscript"/>
          <w:lang w:val="en-US"/>
        </w:rPr>
        <w:t>K</w:t>
      </w:r>
      <w:r w:rsidRPr="00F5454E">
        <w:rPr>
          <w:szCs w:val="28"/>
        </w:rPr>
        <w:t xml:space="preserve">= </w:t>
      </w:r>
      <w:r w:rsidRPr="00F5454E">
        <w:rPr>
          <w:position w:val="-24"/>
          <w:szCs w:val="28"/>
        </w:rPr>
        <w:object w:dxaOrig="1820" w:dyaOrig="680">
          <v:shape id="_x0000_i1034" type="#_x0000_t75" style="width:91.5pt;height:34.5pt" o:ole="">
            <v:imagedata r:id="rId31" o:title=""/>
          </v:shape>
          <o:OLEObject Type="Embed" ProgID="Equation.3" ShapeID="_x0000_i1034" DrawAspect="Content" ObjectID="_1488267265" r:id="rId32"/>
        </w:object>
      </w:r>
      <w:r w:rsidR="006D7716">
        <w:rPr>
          <w:position w:val="-24"/>
          <w:szCs w:val="28"/>
        </w:rPr>
        <w:t>.</w:t>
      </w:r>
    </w:p>
    <w:p w:rsidR="00F5454E" w:rsidRDefault="008479E7" w:rsidP="00F5454E">
      <w:pPr>
        <w:ind w:firstLine="708"/>
      </w:pPr>
      <w:r>
        <w:t>Как видно из условий, ограничения для выбора производителями продукции высокого качества стратегии КСО смягчены поддержкой государства и фактором времени. Чем выше уровень государственных поощрений, компенсирующих часть издержек на проведение КСО, тем выше вероятность выполнения ограничений. Таким образом, государственные поощрения могут частично компенсировать низкую долю потребителей, заботящихся о своем здоровье.</w:t>
      </w:r>
    </w:p>
    <w:p w:rsidR="00DC1175" w:rsidRDefault="00DC1175" w:rsidP="00DC1175">
      <w:pPr>
        <w:ind w:firstLine="708"/>
      </w:pPr>
      <w:r w:rsidRPr="008E75A9">
        <w:t xml:space="preserve">Анализ данных условий приводит к следующим интересным выводам: </w:t>
      </w:r>
      <w:r>
        <w:t>при условии близости производственных издержек обоих производителей, выполнение неравенства (5) приводит к выполнению неравенства (4)</w:t>
      </w:r>
      <w:r w:rsidRPr="008E75A9">
        <w:t xml:space="preserve">, </w:t>
      </w:r>
      <w:r>
        <w:t>э</w:t>
      </w:r>
      <w:r w:rsidRPr="008E75A9">
        <w:t xml:space="preserve">то означает, что выполнение </w:t>
      </w:r>
      <w:r>
        <w:t xml:space="preserve">данного </w:t>
      </w:r>
      <w:r w:rsidRPr="008E75A9">
        <w:t>неравенства (</w:t>
      </w:r>
      <w:r>
        <w:t>5</w:t>
      </w:r>
      <w:r w:rsidRPr="008E75A9">
        <w:t xml:space="preserve">) гарантирует выбор стратегии КСО первым производителем во всех случаях, кроме одного – когда второй производитель выпускает продукцию высокого качества и проводит политику КСО. В этом случае первый производитель будет проводить политику КСО только при относительно невысоких издержках на ее проведение. </w:t>
      </w:r>
      <w:r>
        <w:t>В таком случае п</w:t>
      </w:r>
      <w:r w:rsidRPr="008E75A9">
        <w:t>редставляет интерес анализ условий, при которых будет складываться устойчивое равновесие при выборе стратегий проведения КСО и производстве продуктов высокого качества.</w:t>
      </w:r>
    </w:p>
    <w:p w:rsidR="00217643" w:rsidRDefault="00DC1175" w:rsidP="00DC1175">
      <w:pPr>
        <w:ind w:firstLine="708"/>
      </w:pPr>
      <w:r w:rsidRPr="00B66D02">
        <w:t xml:space="preserve">Исследование устойчивости равновесий в повторяющейся игре </w:t>
      </w:r>
      <w:r w:rsidR="00217643">
        <w:t>проведем</w:t>
      </w:r>
      <w:r w:rsidRPr="00B66D02">
        <w:t xml:space="preserve"> на основе анализа уравнения эволюционной динамики. Предположим, что на рынке две группы игроков, выпускающих продукцию с низким уровнем риска и они имеют возможность проводить политику КСО. Рассмотрим симметричную игру: в обеих группах доля р игроков НЕ проводит политику КСО. </w:t>
      </w:r>
    </w:p>
    <w:p w:rsidR="00217643" w:rsidRDefault="00217643" w:rsidP="00DC1175">
      <w:pPr>
        <w:ind w:firstLine="708"/>
      </w:pPr>
    </w:p>
    <w:p w:rsidR="00217643" w:rsidRDefault="00217643" w:rsidP="00DC1175">
      <w:pPr>
        <w:ind w:firstLine="708"/>
      </w:pPr>
      <w:r>
        <w:rPr>
          <w:noProof/>
        </w:rPr>
        <w:drawing>
          <wp:inline distT="0" distB="0" distL="0" distR="0">
            <wp:extent cx="5491317" cy="2167608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3510" t="32500" r="8519"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17" cy="21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43" w:rsidRPr="00217643" w:rsidRDefault="00217643" w:rsidP="00217643">
      <w:pPr>
        <w:ind w:firstLine="708"/>
        <w:jc w:val="center"/>
        <w:rPr>
          <w:i/>
        </w:rPr>
      </w:pPr>
      <w:r w:rsidRPr="00217643">
        <w:rPr>
          <w:i/>
        </w:rPr>
        <w:t>Рисунок 1. Фазовая диаграмма условий устойчивости равновесий</w:t>
      </w:r>
    </w:p>
    <w:p w:rsidR="00217643" w:rsidRDefault="00217643" w:rsidP="00217643">
      <w:pPr>
        <w:rPr>
          <w:position w:val="-24"/>
        </w:rPr>
      </w:pPr>
      <w:r>
        <w:t xml:space="preserve">где:    </w:t>
      </w:r>
      <w:r w:rsidR="008A4A42" w:rsidRPr="00F41CE0">
        <w:rPr>
          <w:position w:val="-24"/>
        </w:rPr>
        <w:object w:dxaOrig="1880" w:dyaOrig="680">
          <v:shape id="_x0000_i1035" type="#_x0000_t75" style="width:93.75pt;height:33.75pt" o:ole="">
            <v:imagedata r:id="rId34" o:title=""/>
          </v:shape>
          <o:OLEObject Type="Embed" ProgID="Equation.3" ShapeID="_x0000_i1035" DrawAspect="Content" ObjectID="_1488267266" r:id="rId35"/>
        </w:object>
      </w:r>
    </w:p>
    <w:p w:rsidR="00217643" w:rsidRDefault="008A4A42" w:rsidP="00217643">
      <w:pPr>
        <w:ind w:firstLine="708"/>
      </w:pPr>
      <w:r w:rsidRPr="007B6D00">
        <w:rPr>
          <w:position w:val="-12"/>
        </w:rPr>
        <w:object w:dxaOrig="2060" w:dyaOrig="360">
          <v:shape id="_x0000_i1036" type="#_x0000_t75" style="width:102.75pt;height:18.75pt" o:ole="">
            <v:imagedata r:id="rId36" o:title=""/>
          </v:shape>
          <o:OLEObject Type="Embed" ProgID="Equation.3" ShapeID="_x0000_i1036" DrawAspect="Content" ObjectID="_1488267267" r:id="rId37"/>
        </w:object>
      </w:r>
    </w:p>
    <w:p w:rsidR="00217643" w:rsidRDefault="008A4A42" w:rsidP="00217643">
      <w:pPr>
        <w:ind w:firstLine="708"/>
      </w:pPr>
      <w:r w:rsidRPr="007B6D00">
        <w:rPr>
          <w:position w:val="-24"/>
        </w:rPr>
        <w:object w:dxaOrig="980" w:dyaOrig="620">
          <v:shape id="_x0000_i1037" type="#_x0000_t75" style="width:49.5pt;height:30.75pt" o:ole="">
            <v:imagedata r:id="rId38" o:title=""/>
          </v:shape>
          <o:OLEObject Type="Embed" ProgID="Equation.3" ShapeID="_x0000_i1037" DrawAspect="Content" ObjectID="_1488267268" r:id="rId39"/>
        </w:object>
      </w:r>
      <w:r>
        <w:t>.</w:t>
      </w:r>
    </w:p>
    <w:p w:rsidR="00912E87" w:rsidRDefault="00912E87" w:rsidP="00912E87">
      <w:pPr>
        <w:ind w:firstLine="708"/>
      </w:pPr>
      <w:r w:rsidRPr="00912E87">
        <w:t>Равновесие &lt;</w:t>
      </w:r>
      <w:r>
        <w:t>КСО,НеКСО</w:t>
      </w:r>
      <w:r w:rsidRPr="00912E87">
        <w:t>&gt; устойчиво при выполнении неравенства:</w:t>
      </w:r>
    </w:p>
    <w:p w:rsidR="008A4A42" w:rsidRDefault="008A4A42" w:rsidP="00912E87">
      <w:pPr>
        <w:ind w:firstLine="708"/>
        <w:jc w:val="right"/>
      </w:pPr>
      <w:r w:rsidRPr="008A4A42">
        <w:rPr>
          <w:position w:val="-24"/>
        </w:rPr>
        <w:object w:dxaOrig="3460" w:dyaOrig="620">
          <v:shape id="_x0000_i1038" type="#_x0000_t75" style="width:173.25pt;height:30.75pt" o:ole="">
            <v:imagedata r:id="rId40" o:title=""/>
          </v:shape>
          <o:OLEObject Type="Embed" ProgID="Equation.3" ShapeID="_x0000_i1038" DrawAspect="Content" ObjectID="_1488267269" r:id="rId41"/>
        </w:object>
      </w:r>
      <w:r w:rsidR="0059706B">
        <w:t xml:space="preserve">                                          (7)</w:t>
      </w:r>
    </w:p>
    <w:p w:rsidR="00DC1175" w:rsidRDefault="00DC1175" w:rsidP="00DC1175">
      <w:pPr>
        <w:ind w:firstLine="708"/>
      </w:pPr>
      <w:r w:rsidRPr="00B66D02">
        <w:t>Анализ неравенства (</w:t>
      </w:r>
      <w:r w:rsidR="0059706B">
        <w:t>7</w:t>
      </w:r>
      <w:r w:rsidRPr="00B66D02">
        <w:t>) позволяет сформулировать условия, при которых возможно формирование устойчивых равновесий с использованием политики КСО всеми производителями</w:t>
      </w:r>
      <w:r w:rsidR="00912E87">
        <w:t xml:space="preserve"> (</w:t>
      </w:r>
      <w:r w:rsidR="00912E87">
        <w:rPr>
          <w:lang w:val="en-US"/>
        </w:rPr>
        <w:t>p</w:t>
      </w:r>
      <w:r w:rsidR="00912E87" w:rsidRPr="00912E87">
        <w:t>=0</w:t>
      </w:r>
      <w:r w:rsidR="00912E87">
        <w:t>)</w:t>
      </w:r>
      <w:r w:rsidRPr="00B66D02">
        <w:t xml:space="preserve"> </w:t>
      </w:r>
      <w:r w:rsidR="0059706B">
        <w:t xml:space="preserve">(8) </w:t>
      </w:r>
      <w:r w:rsidRPr="00B66D02">
        <w:t>и при неиспользовании КСО всеми производителями</w:t>
      </w:r>
      <w:r w:rsidR="00912E87" w:rsidRPr="00912E87">
        <w:t xml:space="preserve"> (</w:t>
      </w:r>
      <w:r w:rsidR="00912E87">
        <w:rPr>
          <w:lang w:val="en-US"/>
        </w:rPr>
        <w:t>p</w:t>
      </w:r>
      <w:r w:rsidR="00912E87" w:rsidRPr="00912E87">
        <w:t>=1)</w:t>
      </w:r>
      <w:r w:rsidR="0059706B">
        <w:t xml:space="preserve"> (9):</w:t>
      </w:r>
    </w:p>
    <w:p w:rsidR="0059706B" w:rsidRDefault="0059706B" w:rsidP="0059706B">
      <w:pPr>
        <w:jc w:val="right"/>
      </w:pPr>
      <w:r w:rsidRPr="007B6D00">
        <w:rPr>
          <w:position w:val="-12"/>
        </w:rPr>
        <w:object w:dxaOrig="2380" w:dyaOrig="380">
          <v:shape id="_x0000_i1039" type="#_x0000_t75" style="width:118.5pt;height:19.5pt" o:ole="">
            <v:imagedata r:id="rId42" o:title=""/>
          </v:shape>
          <o:OLEObject Type="Embed" ProgID="Equation.3" ShapeID="_x0000_i1039" DrawAspect="Content" ObjectID="_1488267270" r:id="rId43"/>
        </w:object>
      </w:r>
      <w:r>
        <w:t xml:space="preserve">                                                (8)</w:t>
      </w:r>
    </w:p>
    <w:p w:rsidR="0059706B" w:rsidRDefault="0059706B" w:rsidP="0059706B">
      <w:pPr>
        <w:jc w:val="right"/>
      </w:pPr>
      <w:r w:rsidRPr="007B6D00">
        <w:rPr>
          <w:position w:val="-12"/>
        </w:rPr>
        <w:object w:dxaOrig="2920" w:dyaOrig="380">
          <v:shape id="_x0000_i1040" type="#_x0000_t75" style="width:145.5pt;height:19.5pt" o:ole="">
            <v:imagedata r:id="rId44" o:title=""/>
          </v:shape>
          <o:OLEObject Type="Embed" ProgID="Equation.3" ShapeID="_x0000_i1040" DrawAspect="Content" ObjectID="_1488267271" r:id="rId45"/>
        </w:object>
      </w:r>
      <w:r>
        <w:t xml:space="preserve">                                            (9)</w:t>
      </w:r>
    </w:p>
    <w:p w:rsidR="00DC1175" w:rsidRDefault="00DC1175" w:rsidP="0059706B">
      <w:pPr>
        <w:ind w:firstLine="708"/>
      </w:pPr>
      <w:r>
        <w:t>Как и во всех предыдущих случаях, увеличение доли производителей</w:t>
      </w:r>
      <w:r w:rsidR="0059706B">
        <w:t>, выбирающих КСО,</w:t>
      </w:r>
      <w:r>
        <w:t xml:space="preserve"> может быть обусловлено сильной государственной поддержкой и высокой долей потребителей, заботящихся о своем здоровье.</w:t>
      </w:r>
    </w:p>
    <w:p w:rsidR="00DC1175" w:rsidRDefault="0059706B" w:rsidP="00DC1175">
      <w:pPr>
        <w:tabs>
          <w:tab w:val="left" w:pos="709"/>
        </w:tabs>
      </w:pPr>
      <w:r>
        <w:tab/>
      </w:r>
      <w:r w:rsidR="00DC1175">
        <w:t xml:space="preserve">Итак, </w:t>
      </w:r>
      <w:r>
        <w:t xml:space="preserve">по построенной теоретико-игровой модели можно сделать следующие выводы: </w:t>
      </w:r>
      <w:r w:rsidR="00DC1175">
        <w:t>даже если в первом периоде не было условий для реализации политики КСО, в долгосрочной перспективе такие условия могут сложиться. Это зависит от доли потребителей α, которые заботятся о своем здоровье, поддержки со стороны государства и величины дисконт-фактора.</w:t>
      </w:r>
    </w:p>
    <w:p w:rsidR="00DC1175" w:rsidRDefault="0059706B" w:rsidP="00DC1175">
      <w:pPr>
        <w:tabs>
          <w:tab w:val="left" w:pos="709"/>
        </w:tabs>
      </w:pPr>
      <w:r>
        <w:tab/>
      </w:r>
      <w:r w:rsidR="00DC1175">
        <w:t xml:space="preserve">Устойчивое равновесие, в котором все производители будут проводить политику КСО, сложится при относительно невысоких издержках на проведение КСО. Если издержки на проведение КСО достаточно велики, то устойчивым будет равновесие, в котором фирмы не будут использовать КСО. Возможно </w:t>
      </w:r>
      <w:r>
        <w:t xml:space="preserve">также </w:t>
      </w:r>
      <w:r w:rsidR="00DC1175">
        <w:t>формирование устойчивого равновесия, в котором только часть фирм будет проводить политику КСО.</w:t>
      </w:r>
    </w:p>
    <w:p w:rsidR="00DC1175" w:rsidRDefault="0059706B" w:rsidP="0059706B">
      <w:pPr>
        <w:ind w:firstLine="708"/>
      </w:pPr>
      <w:r w:rsidRPr="0075478C">
        <w:rPr>
          <w:highlight w:val="yellow"/>
        </w:rPr>
        <w:t>Таким образом, н</w:t>
      </w:r>
      <w:r w:rsidR="00DC1175" w:rsidRPr="0075478C">
        <w:rPr>
          <w:highlight w:val="yellow"/>
        </w:rPr>
        <w:t xml:space="preserve">изкая активность в проведении политики КСО в России в рамках рассматриваемой модели может быть обусловлена отсутствием четкого государственной регулирования и поддержки и малой долей потребителей, для которых здоровье является фактором спроса. </w:t>
      </w:r>
      <w:r w:rsidRPr="0075478C">
        <w:rPr>
          <w:highlight w:val="yellow"/>
        </w:rPr>
        <w:t>Р</w:t>
      </w:r>
      <w:r w:rsidR="00DC1175" w:rsidRPr="0075478C">
        <w:rPr>
          <w:highlight w:val="yellow"/>
        </w:rPr>
        <w:t xml:space="preserve">еализация </w:t>
      </w:r>
      <w:r w:rsidRPr="0075478C">
        <w:rPr>
          <w:highlight w:val="yellow"/>
        </w:rPr>
        <w:t>таких</w:t>
      </w:r>
      <w:r w:rsidR="00DC1175" w:rsidRPr="0075478C">
        <w:rPr>
          <w:highlight w:val="yellow"/>
        </w:rPr>
        <w:t xml:space="preserve"> мер</w:t>
      </w:r>
      <w:r w:rsidRPr="0075478C">
        <w:rPr>
          <w:highlight w:val="yellow"/>
        </w:rPr>
        <w:t xml:space="preserve">, как </w:t>
      </w:r>
      <w:r w:rsidR="00FC772E" w:rsidRPr="0075478C">
        <w:rPr>
          <w:highlight w:val="yellow"/>
        </w:rPr>
        <w:t>повышени</w:t>
      </w:r>
      <w:r w:rsidRPr="0075478C">
        <w:rPr>
          <w:highlight w:val="yellow"/>
        </w:rPr>
        <w:t>е</w:t>
      </w:r>
      <w:r w:rsidR="00FC772E" w:rsidRPr="0075478C">
        <w:rPr>
          <w:highlight w:val="yellow"/>
        </w:rPr>
        <w:t xml:space="preserve"> заинтересованности населения в здоровом образе жизни</w:t>
      </w:r>
      <w:r w:rsidRPr="0075478C">
        <w:rPr>
          <w:highlight w:val="yellow"/>
        </w:rPr>
        <w:t>, повышение</w:t>
      </w:r>
      <w:r w:rsidR="00FC772E" w:rsidRPr="0075478C">
        <w:rPr>
          <w:highlight w:val="yellow"/>
        </w:rPr>
        <w:t xml:space="preserve"> грамотности населения в отношении качества продуктов питания</w:t>
      </w:r>
      <w:r w:rsidRPr="0075478C">
        <w:rPr>
          <w:highlight w:val="yellow"/>
        </w:rPr>
        <w:t xml:space="preserve"> и р</w:t>
      </w:r>
      <w:r w:rsidR="00FC772E" w:rsidRPr="0075478C">
        <w:rPr>
          <w:highlight w:val="yellow"/>
        </w:rPr>
        <w:t>азработка мер государственного стимулирования производителей к использованию политики КСО</w:t>
      </w:r>
      <w:r w:rsidRPr="0075478C">
        <w:rPr>
          <w:highlight w:val="yellow"/>
        </w:rPr>
        <w:t xml:space="preserve"> </w:t>
      </w:r>
      <w:r w:rsidR="00DC1175" w:rsidRPr="0075478C">
        <w:rPr>
          <w:highlight w:val="yellow"/>
        </w:rPr>
        <w:t xml:space="preserve">может подтолкнуть производителей к применению </w:t>
      </w:r>
      <w:r w:rsidRPr="0075478C">
        <w:rPr>
          <w:highlight w:val="yellow"/>
        </w:rPr>
        <w:t xml:space="preserve">данной </w:t>
      </w:r>
      <w:r w:rsidR="00DC1175" w:rsidRPr="0075478C">
        <w:rPr>
          <w:highlight w:val="yellow"/>
        </w:rPr>
        <w:t>политики</w:t>
      </w:r>
      <w:r w:rsidRPr="0075478C">
        <w:rPr>
          <w:highlight w:val="yellow"/>
        </w:rPr>
        <w:t>.</w:t>
      </w:r>
      <w:r w:rsidR="00DC1175" w:rsidRPr="0075478C">
        <w:rPr>
          <w:highlight w:val="yellow"/>
        </w:rPr>
        <w:t xml:space="preserve"> </w:t>
      </w:r>
      <w:r w:rsidRPr="0075478C">
        <w:rPr>
          <w:highlight w:val="yellow"/>
        </w:rPr>
        <w:t>Эт</w:t>
      </w:r>
      <w:r w:rsidR="00DC1175" w:rsidRPr="0075478C">
        <w:rPr>
          <w:highlight w:val="yellow"/>
        </w:rPr>
        <w:t>о</w:t>
      </w:r>
      <w:r w:rsidRPr="0075478C">
        <w:rPr>
          <w:highlight w:val="yellow"/>
        </w:rPr>
        <w:t>, в свою очередь,</w:t>
      </w:r>
      <w:r w:rsidR="00DC1175" w:rsidRPr="0075478C">
        <w:rPr>
          <w:highlight w:val="yellow"/>
        </w:rPr>
        <w:t xml:space="preserve"> может позволить снизить проблему неблагоприятного отбора хотя бы на отдельных российских рынках продуктов питания.</w:t>
      </w:r>
      <w:r w:rsidR="00DC1175">
        <w:t xml:space="preserve"> </w:t>
      </w:r>
    </w:p>
    <w:p w:rsidR="00DC1175" w:rsidRPr="00F5454E" w:rsidRDefault="00DC1175" w:rsidP="00F5454E">
      <w:pPr>
        <w:ind w:firstLine="708"/>
      </w:pPr>
    </w:p>
    <w:p w:rsidR="00BA75DF" w:rsidRPr="00A837F4" w:rsidRDefault="00BA75DF" w:rsidP="00BA75DF">
      <w:pPr>
        <w:rPr>
          <w:b/>
        </w:rPr>
      </w:pPr>
      <w:r w:rsidRPr="00A837F4">
        <w:rPr>
          <w:b/>
        </w:rPr>
        <w:t>Список литературы:</w:t>
      </w:r>
    </w:p>
    <w:p w:rsidR="00AF3AE7" w:rsidRPr="003542F1" w:rsidRDefault="00AF3AE7" w:rsidP="00AF3AE7">
      <w:pPr>
        <w:pStyle w:val="a8"/>
        <w:numPr>
          <w:ilvl w:val="0"/>
          <w:numId w:val="7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3542F1">
        <w:rPr>
          <w:sz w:val="28"/>
          <w:szCs w:val="28"/>
        </w:rPr>
        <w:t xml:space="preserve">Веревкин Л. П. Социальная ответственность бизнеса // Мониторинг общественного мнения: экономические и социальные перемены. </w:t>
      </w:r>
      <w:r w:rsidR="009431E5" w:rsidRPr="003542F1">
        <w:rPr>
          <w:sz w:val="28"/>
          <w:szCs w:val="28"/>
        </w:rPr>
        <w:t xml:space="preserve">– </w:t>
      </w:r>
      <w:r w:rsidRPr="003542F1">
        <w:rPr>
          <w:sz w:val="28"/>
          <w:szCs w:val="28"/>
        </w:rPr>
        <w:t xml:space="preserve">2010. </w:t>
      </w:r>
      <w:r w:rsidR="009431E5" w:rsidRPr="003542F1">
        <w:rPr>
          <w:sz w:val="28"/>
          <w:szCs w:val="28"/>
        </w:rPr>
        <w:t xml:space="preserve">– </w:t>
      </w:r>
      <w:r w:rsidRPr="003542F1">
        <w:rPr>
          <w:sz w:val="28"/>
          <w:szCs w:val="28"/>
        </w:rPr>
        <w:t xml:space="preserve">№ 1 (95). </w:t>
      </w:r>
      <w:r w:rsidR="003542F1">
        <w:rPr>
          <w:sz w:val="28"/>
          <w:szCs w:val="28"/>
        </w:rPr>
        <w:t>–</w:t>
      </w:r>
      <w:r w:rsidR="003542F1" w:rsidRPr="003542F1">
        <w:rPr>
          <w:sz w:val="28"/>
          <w:szCs w:val="28"/>
        </w:rPr>
        <w:t xml:space="preserve"> </w:t>
      </w:r>
      <w:r w:rsidR="003542F1">
        <w:rPr>
          <w:sz w:val="28"/>
          <w:szCs w:val="28"/>
          <w:lang w:val="en-US"/>
        </w:rPr>
        <w:t>C</w:t>
      </w:r>
      <w:r w:rsidR="003542F1" w:rsidRPr="003542F1">
        <w:rPr>
          <w:sz w:val="28"/>
          <w:szCs w:val="28"/>
        </w:rPr>
        <w:t>.37-48</w:t>
      </w:r>
    </w:p>
    <w:p w:rsidR="00AF3AE7" w:rsidRPr="00761907" w:rsidRDefault="00AF3AE7" w:rsidP="00AF3AE7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1907">
        <w:rPr>
          <w:sz w:val="28"/>
          <w:szCs w:val="28"/>
        </w:rPr>
        <w:t>Международный стандарт ISO 26000:2010 «Guidance on social responsibility» «Руководство</w:t>
      </w:r>
      <w:r w:rsidR="00761907">
        <w:rPr>
          <w:sz w:val="28"/>
          <w:szCs w:val="28"/>
        </w:rPr>
        <w:t xml:space="preserve"> по социальной ответственности».</w:t>
      </w:r>
    </w:p>
    <w:p w:rsidR="00AF3AE7" w:rsidRPr="009431E5" w:rsidRDefault="00AF3AE7" w:rsidP="00AF3AE7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1907">
        <w:rPr>
          <w:sz w:val="28"/>
          <w:szCs w:val="28"/>
        </w:rPr>
        <w:t>Монастырский О. Продовольственная безопасность России: вчера, сегодня, завтра / Олег Монастырский // Экос-Информ.</w:t>
      </w:r>
      <w:r w:rsidR="000A0D6B" w:rsidRPr="00761907">
        <w:rPr>
          <w:sz w:val="28"/>
          <w:szCs w:val="28"/>
        </w:rPr>
        <w:t xml:space="preserve"> – </w:t>
      </w:r>
      <w:r w:rsidRPr="00761907">
        <w:rPr>
          <w:sz w:val="28"/>
          <w:szCs w:val="28"/>
        </w:rPr>
        <w:t xml:space="preserve"> 2004. </w:t>
      </w:r>
      <w:r w:rsidR="000A0D6B" w:rsidRPr="00761907">
        <w:rPr>
          <w:sz w:val="28"/>
          <w:szCs w:val="28"/>
        </w:rPr>
        <w:t xml:space="preserve">– </w:t>
      </w:r>
      <w:r w:rsidRPr="00761907">
        <w:rPr>
          <w:sz w:val="28"/>
          <w:szCs w:val="28"/>
        </w:rPr>
        <w:t>№ 4.</w:t>
      </w:r>
    </w:p>
    <w:p w:rsidR="001563FD" w:rsidRPr="009431E5" w:rsidRDefault="001563FD" w:rsidP="001563FD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31E5">
        <w:rPr>
          <w:sz w:val="28"/>
          <w:szCs w:val="28"/>
        </w:rPr>
        <w:t xml:space="preserve">Новостной дайджест национального форума КСО. Май 2012. [Эл. ресурс]. </w:t>
      </w:r>
      <w:r w:rsidR="000A0D6B">
        <w:rPr>
          <w:sz w:val="28"/>
          <w:szCs w:val="28"/>
        </w:rPr>
        <w:t xml:space="preserve">– </w:t>
      </w:r>
      <w:r w:rsidRPr="009431E5">
        <w:rPr>
          <w:sz w:val="28"/>
          <w:szCs w:val="28"/>
        </w:rPr>
        <w:t xml:space="preserve">Режим доступа:. </w:t>
      </w:r>
      <w:hyperlink r:id="rId46" w:history="1">
        <w:r w:rsidRPr="009431E5">
          <w:rPr>
            <w:rStyle w:val="a3"/>
            <w:sz w:val="28"/>
            <w:szCs w:val="28"/>
          </w:rPr>
          <w:t>http://www.csrforum.ru/Admin/Files/FileDownload.aspx?id=2307</w:t>
        </w:r>
      </w:hyperlink>
    </w:p>
    <w:p w:rsidR="001563FD" w:rsidRPr="009431E5" w:rsidRDefault="001563FD" w:rsidP="001563FD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31E5">
        <w:rPr>
          <w:iCs/>
          <w:sz w:val="28"/>
          <w:szCs w:val="28"/>
        </w:rPr>
        <w:t xml:space="preserve">Паутов И. С. </w:t>
      </w:r>
      <w:r w:rsidRPr="009431E5">
        <w:rPr>
          <w:sz w:val="28"/>
          <w:szCs w:val="28"/>
        </w:rPr>
        <w:t xml:space="preserve">Восприятие рисков ухудшения здоровья населением России и механизмы его формирования // Вестник Удмуртского университета. </w:t>
      </w:r>
      <w:r w:rsidR="000A0D6B">
        <w:rPr>
          <w:sz w:val="28"/>
          <w:szCs w:val="28"/>
        </w:rPr>
        <w:t xml:space="preserve">– </w:t>
      </w:r>
      <w:r w:rsidRPr="009431E5">
        <w:rPr>
          <w:sz w:val="28"/>
          <w:szCs w:val="28"/>
        </w:rPr>
        <w:t xml:space="preserve">2010. </w:t>
      </w:r>
      <w:r w:rsidR="000A0D6B">
        <w:rPr>
          <w:sz w:val="28"/>
          <w:szCs w:val="28"/>
        </w:rPr>
        <w:t xml:space="preserve">– </w:t>
      </w:r>
      <w:r w:rsidRPr="009431E5">
        <w:rPr>
          <w:sz w:val="28"/>
          <w:szCs w:val="28"/>
        </w:rPr>
        <w:t>Вып.2.</w:t>
      </w:r>
      <w:r w:rsidR="00D16197" w:rsidRPr="00D16197">
        <w:rPr>
          <w:sz w:val="28"/>
          <w:szCs w:val="28"/>
        </w:rPr>
        <w:t xml:space="preserve"> </w:t>
      </w:r>
      <w:r w:rsidR="00D16197">
        <w:rPr>
          <w:sz w:val="28"/>
          <w:szCs w:val="28"/>
        </w:rPr>
        <w:t>– С.119-128</w:t>
      </w:r>
    </w:p>
    <w:p w:rsidR="00AF3AE7" w:rsidRPr="009431E5" w:rsidRDefault="00AF3AE7" w:rsidP="00AF3AE7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31E5">
        <w:rPr>
          <w:sz w:val="28"/>
          <w:szCs w:val="28"/>
        </w:rPr>
        <w:t>Птичников. А. «</w:t>
      </w:r>
      <w:r w:rsidR="003542F1">
        <w:rPr>
          <w:sz w:val="28"/>
          <w:szCs w:val="28"/>
        </w:rPr>
        <w:t xml:space="preserve">Об использовании опыта развития </w:t>
      </w:r>
      <w:r w:rsidRPr="009431E5">
        <w:rPr>
          <w:rFonts w:eastAsiaTheme="minorHAnsi"/>
          <w:sz w:val="28"/>
          <w:szCs w:val="28"/>
          <w:lang w:eastAsia="en-US"/>
        </w:rPr>
        <w:t>добровольной лесной сертификации в других отраслях народного хозяйства России</w:t>
      </w:r>
      <w:r w:rsidRPr="009431E5">
        <w:rPr>
          <w:sz w:val="28"/>
          <w:szCs w:val="28"/>
        </w:rPr>
        <w:t xml:space="preserve">» // Устойчивое лесопользование. </w:t>
      </w:r>
      <w:r w:rsidR="003542F1">
        <w:rPr>
          <w:sz w:val="28"/>
          <w:szCs w:val="28"/>
        </w:rPr>
        <w:t xml:space="preserve">– </w:t>
      </w:r>
      <w:r w:rsidRPr="009431E5">
        <w:rPr>
          <w:sz w:val="28"/>
          <w:szCs w:val="28"/>
        </w:rPr>
        <w:t>2007.</w:t>
      </w:r>
      <w:r w:rsidRPr="003542F1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 xml:space="preserve">– </w:t>
      </w:r>
      <w:r w:rsidRPr="009431E5">
        <w:rPr>
          <w:sz w:val="28"/>
          <w:szCs w:val="28"/>
        </w:rPr>
        <w:t>№2(14).</w:t>
      </w:r>
    </w:p>
    <w:p w:rsidR="009431E5" w:rsidRPr="009431E5" w:rsidRDefault="001563FD" w:rsidP="009431E5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31E5">
        <w:rPr>
          <w:sz w:val="28"/>
          <w:szCs w:val="28"/>
        </w:rPr>
        <w:t xml:space="preserve">Чернова О. А. Организационно-правовые проблемы обеспечения стратегических национальных приоритетов Российской Федерации в продовольственной сфере // Российская юстиция. </w:t>
      </w:r>
      <w:r w:rsidR="003542F1">
        <w:rPr>
          <w:sz w:val="28"/>
          <w:szCs w:val="28"/>
        </w:rPr>
        <w:t xml:space="preserve">– </w:t>
      </w:r>
      <w:r w:rsidRPr="009431E5">
        <w:rPr>
          <w:sz w:val="28"/>
          <w:szCs w:val="28"/>
        </w:rPr>
        <w:t xml:space="preserve">2011. </w:t>
      </w:r>
      <w:r w:rsidR="003542F1">
        <w:rPr>
          <w:sz w:val="28"/>
          <w:szCs w:val="28"/>
        </w:rPr>
        <w:t xml:space="preserve"> – </w:t>
      </w:r>
      <w:r w:rsidRPr="009431E5">
        <w:rPr>
          <w:sz w:val="28"/>
          <w:szCs w:val="28"/>
        </w:rPr>
        <w:t>№ 12.</w:t>
      </w:r>
      <w:r w:rsidR="00D16197">
        <w:rPr>
          <w:sz w:val="28"/>
          <w:szCs w:val="28"/>
        </w:rPr>
        <w:t xml:space="preserve"> – С.98-105</w:t>
      </w:r>
    </w:p>
    <w:p w:rsidR="009431E5" w:rsidRPr="009431E5" w:rsidRDefault="009431E5" w:rsidP="009431E5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31E5">
        <w:rPr>
          <w:sz w:val="28"/>
          <w:szCs w:val="28"/>
          <w:lang w:val="en-US"/>
        </w:rPr>
        <w:t>Margolis J. D. et al. Does it pay to be good? An analysis and redirection of research on the relatinship between corporate social and financial performance // Working Paper. Cambridge, UK: Harvard University. 2007.</w:t>
      </w:r>
    </w:p>
    <w:p w:rsidR="009431E5" w:rsidRPr="009431E5" w:rsidRDefault="009431E5" w:rsidP="009431E5">
      <w:pPr>
        <w:pStyle w:val="a8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9431E5">
        <w:rPr>
          <w:sz w:val="28"/>
          <w:szCs w:val="28"/>
          <w:lang w:val="en-US"/>
        </w:rPr>
        <w:t>Orlitzky M.</w:t>
      </w:r>
      <w:r w:rsidRPr="009431E5">
        <w:rPr>
          <w:rFonts w:eastAsiaTheme="minorHAnsi"/>
          <w:sz w:val="28"/>
          <w:szCs w:val="28"/>
          <w:lang w:val="en-US" w:eastAsia="en-US"/>
        </w:rPr>
        <w:t xml:space="preserve"> et al. </w:t>
      </w:r>
      <w:r w:rsidRPr="009431E5">
        <w:rPr>
          <w:sz w:val="28"/>
          <w:szCs w:val="28"/>
          <w:lang w:val="en-US"/>
        </w:rPr>
        <w:t xml:space="preserve">Corporate social and financial performance: a meta-analysis // Organization Studies. </w:t>
      </w:r>
      <w:r w:rsidR="003542F1">
        <w:rPr>
          <w:sz w:val="28"/>
          <w:szCs w:val="28"/>
          <w:lang w:val="en-US"/>
        </w:rPr>
        <w:t>–</w:t>
      </w:r>
      <w:r w:rsidR="003542F1" w:rsidRPr="003542F1">
        <w:rPr>
          <w:sz w:val="28"/>
          <w:szCs w:val="28"/>
          <w:lang w:val="en-US"/>
        </w:rPr>
        <w:t xml:space="preserve"> </w:t>
      </w:r>
      <w:r w:rsidRPr="009431E5">
        <w:rPr>
          <w:sz w:val="28"/>
          <w:szCs w:val="28"/>
          <w:lang w:val="en-US"/>
        </w:rPr>
        <w:t>2003.</w:t>
      </w:r>
      <w:r w:rsidR="003542F1" w:rsidRPr="003542F1">
        <w:rPr>
          <w:sz w:val="28"/>
          <w:szCs w:val="28"/>
          <w:lang w:val="en-US"/>
        </w:rPr>
        <w:t xml:space="preserve"> – </w:t>
      </w:r>
      <w:r w:rsidRPr="009431E5">
        <w:rPr>
          <w:sz w:val="28"/>
          <w:szCs w:val="28"/>
          <w:lang w:val="en-US"/>
        </w:rPr>
        <w:t xml:space="preserve"> </w:t>
      </w:r>
      <w:r w:rsidR="003542F1" w:rsidRPr="003542F1">
        <w:rPr>
          <w:sz w:val="28"/>
          <w:szCs w:val="28"/>
          <w:lang w:val="en-US"/>
        </w:rPr>
        <w:t>№</w:t>
      </w:r>
      <w:r w:rsidR="003542F1" w:rsidRPr="009431E5">
        <w:rPr>
          <w:sz w:val="28"/>
          <w:szCs w:val="28"/>
          <w:lang w:val="en-US"/>
        </w:rPr>
        <w:t xml:space="preserve">24 </w:t>
      </w:r>
      <w:r w:rsidR="003542F1" w:rsidRPr="003542F1">
        <w:rPr>
          <w:sz w:val="28"/>
          <w:szCs w:val="28"/>
          <w:lang w:val="en-US"/>
        </w:rPr>
        <w:t xml:space="preserve"> - </w:t>
      </w:r>
      <w:r w:rsidRPr="009431E5">
        <w:rPr>
          <w:sz w:val="28"/>
          <w:szCs w:val="28"/>
          <w:lang w:val="en-US"/>
        </w:rPr>
        <w:t>P. 403–441.</w:t>
      </w:r>
    </w:p>
    <w:p w:rsidR="009431E5" w:rsidRPr="009431E5" w:rsidRDefault="009431E5" w:rsidP="009431E5">
      <w:pPr>
        <w:pStyle w:val="a8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9431E5">
        <w:rPr>
          <w:sz w:val="28"/>
          <w:szCs w:val="28"/>
          <w:lang w:val="en-US"/>
        </w:rPr>
        <w:t>Siegel D. S., Vitaliano D. F. An empirical analysis of the strategic use of corporate social responsibility // Journal of Economics and Management Strategy.</w:t>
      </w:r>
      <w:r w:rsidR="000A0D6B" w:rsidRPr="000A0D6B">
        <w:rPr>
          <w:sz w:val="28"/>
          <w:szCs w:val="28"/>
          <w:lang w:val="en-US"/>
        </w:rPr>
        <w:t xml:space="preserve">– </w:t>
      </w:r>
      <w:r w:rsidRPr="009431E5">
        <w:rPr>
          <w:sz w:val="28"/>
          <w:szCs w:val="28"/>
          <w:lang w:val="en-US"/>
        </w:rPr>
        <w:t>2007.</w:t>
      </w:r>
      <w:r w:rsidR="000A0D6B">
        <w:rPr>
          <w:sz w:val="28"/>
          <w:szCs w:val="28"/>
        </w:rPr>
        <w:t xml:space="preserve"> – </w:t>
      </w:r>
      <w:r w:rsidRPr="009431E5">
        <w:rPr>
          <w:sz w:val="28"/>
          <w:szCs w:val="28"/>
          <w:lang w:val="en-US"/>
        </w:rPr>
        <w:t xml:space="preserve"> </w:t>
      </w:r>
      <w:r w:rsidR="000A0D6B">
        <w:rPr>
          <w:sz w:val="28"/>
          <w:szCs w:val="28"/>
        </w:rPr>
        <w:t>№</w:t>
      </w:r>
      <w:r w:rsidR="000A0D6B" w:rsidRPr="009431E5">
        <w:rPr>
          <w:sz w:val="28"/>
          <w:szCs w:val="28"/>
          <w:lang w:val="en-US"/>
        </w:rPr>
        <w:t>16</w:t>
      </w:r>
      <w:r w:rsidR="000A0D6B">
        <w:rPr>
          <w:sz w:val="28"/>
          <w:szCs w:val="28"/>
        </w:rPr>
        <w:t xml:space="preserve"> – </w:t>
      </w:r>
      <w:r w:rsidRPr="009431E5">
        <w:rPr>
          <w:sz w:val="28"/>
          <w:szCs w:val="28"/>
          <w:lang w:val="en-US"/>
        </w:rPr>
        <w:t>P. 773–792.</w:t>
      </w:r>
    </w:p>
    <w:p w:rsidR="001563FD" w:rsidRPr="009431E5" w:rsidRDefault="001563FD" w:rsidP="009431E5">
      <w:pPr>
        <w:ind w:left="360"/>
        <w:rPr>
          <w:lang w:val="en-US"/>
        </w:rPr>
      </w:pPr>
    </w:p>
    <w:p w:rsidR="00117886" w:rsidRDefault="00117886" w:rsidP="00BA75DF"/>
    <w:sectPr w:rsidR="00117886" w:rsidSect="00BA75DF">
      <w:footerReference w:type="default" r:id="rId4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A4" w:rsidRDefault="004814A4" w:rsidP="00145A0D">
      <w:pPr>
        <w:spacing w:line="240" w:lineRule="auto"/>
      </w:pPr>
      <w:r>
        <w:separator/>
      </w:r>
    </w:p>
  </w:endnote>
  <w:endnote w:type="continuationSeparator" w:id="0">
    <w:p w:rsidR="004814A4" w:rsidRDefault="004814A4" w:rsidP="00145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S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3247"/>
      <w:docPartObj>
        <w:docPartGallery w:val="Page Numbers (Bottom of Page)"/>
        <w:docPartUnique/>
      </w:docPartObj>
    </w:sdtPr>
    <w:sdtEndPr/>
    <w:sdtContent>
      <w:p w:rsidR="00912E87" w:rsidRDefault="004170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E87" w:rsidRDefault="00912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A4" w:rsidRDefault="004814A4" w:rsidP="00145A0D">
      <w:pPr>
        <w:spacing w:line="240" w:lineRule="auto"/>
      </w:pPr>
      <w:r>
        <w:separator/>
      </w:r>
    </w:p>
  </w:footnote>
  <w:footnote w:type="continuationSeparator" w:id="0">
    <w:p w:rsidR="004814A4" w:rsidRDefault="004814A4" w:rsidP="00145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95"/>
    <w:multiLevelType w:val="hybridMultilevel"/>
    <w:tmpl w:val="E126EDD4"/>
    <w:lvl w:ilvl="0" w:tplc="B570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5E4F"/>
    <w:multiLevelType w:val="hybridMultilevel"/>
    <w:tmpl w:val="74B2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F3F"/>
    <w:multiLevelType w:val="hybridMultilevel"/>
    <w:tmpl w:val="2C30B824"/>
    <w:lvl w:ilvl="0" w:tplc="FC167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0CD8"/>
    <w:multiLevelType w:val="hybridMultilevel"/>
    <w:tmpl w:val="384C3B7E"/>
    <w:lvl w:ilvl="0" w:tplc="B570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263DF"/>
    <w:multiLevelType w:val="hybridMultilevel"/>
    <w:tmpl w:val="50145EC6"/>
    <w:lvl w:ilvl="0" w:tplc="4C5E36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25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AB5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28A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808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CAA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C34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E35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C88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316FC"/>
    <w:multiLevelType w:val="hybridMultilevel"/>
    <w:tmpl w:val="F3E6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4206A"/>
    <w:multiLevelType w:val="hybridMultilevel"/>
    <w:tmpl w:val="384C3B7E"/>
    <w:lvl w:ilvl="0" w:tplc="B570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82D50"/>
    <w:multiLevelType w:val="hybridMultilevel"/>
    <w:tmpl w:val="40AA1A90"/>
    <w:lvl w:ilvl="0" w:tplc="55064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CF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03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C9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07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4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C6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5A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63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66328"/>
    <w:multiLevelType w:val="hybridMultilevel"/>
    <w:tmpl w:val="BAC0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5DF"/>
    <w:rsid w:val="000655B0"/>
    <w:rsid w:val="000A0224"/>
    <w:rsid w:val="000A0D6B"/>
    <w:rsid w:val="00117886"/>
    <w:rsid w:val="00145A0D"/>
    <w:rsid w:val="001563FD"/>
    <w:rsid w:val="00180084"/>
    <w:rsid w:val="00193ACC"/>
    <w:rsid w:val="002115DA"/>
    <w:rsid w:val="00217643"/>
    <w:rsid w:val="00246FD4"/>
    <w:rsid w:val="00253C37"/>
    <w:rsid w:val="002D6536"/>
    <w:rsid w:val="002F225A"/>
    <w:rsid w:val="003542F1"/>
    <w:rsid w:val="00392530"/>
    <w:rsid w:val="003F1CE9"/>
    <w:rsid w:val="004170C7"/>
    <w:rsid w:val="00420C0A"/>
    <w:rsid w:val="00466492"/>
    <w:rsid w:val="004814A4"/>
    <w:rsid w:val="004B3344"/>
    <w:rsid w:val="004B4E20"/>
    <w:rsid w:val="004D54A9"/>
    <w:rsid w:val="004E12AB"/>
    <w:rsid w:val="0050328A"/>
    <w:rsid w:val="0059706B"/>
    <w:rsid w:val="005D1439"/>
    <w:rsid w:val="006055DB"/>
    <w:rsid w:val="00640160"/>
    <w:rsid w:val="00644FB4"/>
    <w:rsid w:val="0066470E"/>
    <w:rsid w:val="0067595F"/>
    <w:rsid w:val="00693107"/>
    <w:rsid w:val="006D7716"/>
    <w:rsid w:val="006F6476"/>
    <w:rsid w:val="00705D20"/>
    <w:rsid w:val="0075478C"/>
    <w:rsid w:val="00761907"/>
    <w:rsid w:val="00761FD5"/>
    <w:rsid w:val="00763A35"/>
    <w:rsid w:val="00790E01"/>
    <w:rsid w:val="00795063"/>
    <w:rsid w:val="007B2324"/>
    <w:rsid w:val="007D07B5"/>
    <w:rsid w:val="007D64EA"/>
    <w:rsid w:val="007D6995"/>
    <w:rsid w:val="007F5F25"/>
    <w:rsid w:val="008479E7"/>
    <w:rsid w:val="00877490"/>
    <w:rsid w:val="008A4A42"/>
    <w:rsid w:val="008B794B"/>
    <w:rsid w:val="00912E87"/>
    <w:rsid w:val="009431E5"/>
    <w:rsid w:val="0098128F"/>
    <w:rsid w:val="009A1E4B"/>
    <w:rsid w:val="009D3DD1"/>
    <w:rsid w:val="009F426A"/>
    <w:rsid w:val="00A34052"/>
    <w:rsid w:val="00A837F4"/>
    <w:rsid w:val="00A86928"/>
    <w:rsid w:val="00AB75C5"/>
    <w:rsid w:val="00AF3AE7"/>
    <w:rsid w:val="00B15BBB"/>
    <w:rsid w:val="00B45D0C"/>
    <w:rsid w:val="00B64FDC"/>
    <w:rsid w:val="00BA75DF"/>
    <w:rsid w:val="00BC0F5A"/>
    <w:rsid w:val="00BE1AEE"/>
    <w:rsid w:val="00C87FFC"/>
    <w:rsid w:val="00CB0746"/>
    <w:rsid w:val="00CD0177"/>
    <w:rsid w:val="00CF63FF"/>
    <w:rsid w:val="00D11A23"/>
    <w:rsid w:val="00D16197"/>
    <w:rsid w:val="00D8089E"/>
    <w:rsid w:val="00D850F6"/>
    <w:rsid w:val="00DC1175"/>
    <w:rsid w:val="00DD3A97"/>
    <w:rsid w:val="00DE615C"/>
    <w:rsid w:val="00E41F07"/>
    <w:rsid w:val="00E57598"/>
    <w:rsid w:val="00EA57A6"/>
    <w:rsid w:val="00EF3A60"/>
    <w:rsid w:val="00EF795A"/>
    <w:rsid w:val="00F27551"/>
    <w:rsid w:val="00F43B6E"/>
    <w:rsid w:val="00F5454E"/>
    <w:rsid w:val="00F649A4"/>
    <w:rsid w:val="00F916D3"/>
    <w:rsid w:val="00F93BEE"/>
    <w:rsid w:val="00F95B5A"/>
    <w:rsid w:val="00FC772E"/>
    <w:rsid w:val="00FD25B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7F4"/>
    <w:rPr>
      <w:color w:val="0000FF" w:themeColor="hyperlink"/>
      <w:u w:val="single"/>
    </w:rPr>
  </w:style>
  <w:style w:type="character" w:customStyle="1" w:styleId="A10">
    <w:name w:val="A1"/>
    <w:uiPriority w:val="99"/>
    <w:rsid w:val="00F95B5A"/>
    <w:rPr>
      <w:rFonts w:cs="Myriad Pro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45A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A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5A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A0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4B3344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808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7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64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F426A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F426A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F426A"/>
    <w:rPr>
      <w:vertAlign w:val="superscript"/>
    </w:rPr>
  </w:style>
  <w:style w:type="character" w:customStyle="1" w:styleId="hps">
    <w:name w:val="hps"/>
    <w:basedOn w:val="a0"/>
    <w:rsid w:val="00466492"/>
  </w:style>
  <w:style w:type="character" w:styleId="af">
    <w:name w:val="FollowedHyperlink"/>
    <w:basedOn w:val="a0"/>
    <w:uiPriority w:val="99"/>
    <w:semiHidden/>
    <w:unhideWhenUsed/>
    <w:rsid w:val="00354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6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8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sheina@hse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png"/><Relationship Id="rId38" Type="http://schemas.openxmlformats.org/officeDocument/2006/relationships/image" Target="media/image14.wmf"/><Relationship Id="rId46" Type="http://schemas.openxmlformats.org/officeDocument/2006/relationships/hyperlink" Target="http://www.csrforum.ru/Admin/Files/FileDownload.aspx?id=2307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A_Kozlovich@mail.ru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hyperlink" Target="mailto:msheina@hse.ru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hyperlink" Target="mailto:ElenaA_Kozlovich@mail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EB4F-881B-44C1-AA0E-910712AA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10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AS5738G</cp:lastModifiedBy>
  <cp:revision>72</cp:revision>
  <dcterms:created xsi:type="dcterms:W3CDTF">2013-06-17T17:24:00Z</dcterms:created>
  <dcterms:modified xsi:type="dcterms:W3CDTF">2015-03-19T05:47:00Z</dcterms:modified>
</cp:coreProperties>
</file>