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C0" w:rsidRPr="00DE651F" w:rsidRDefault="00284E99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Анализ практик бюджетного финанс</w:t>
      </w:r>
      <w:r w:rsidR="00141EC0">
        <w:rPr>
          <w:b/>
          <w:bCs/>
          <w:lang w:val="ru-RU"/>
        </w:rPr>
        <w:t>ирования НКО в Санкт-Петербурге</w:t>
      </w:r>
    </w:p>
    <w:p w:rsidR="00284E99" w:rsidRDefault="00284E99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 материалам реестра СО НКО, получающих государственную поддержку</w:t>
      </w:r>
    </w:p>
    <w:p w:rsidR="00284E99" w:rsidRDefault="00284E99">
      <w:pPr>
        <w:pStyle w:val="Standard"/>
        <w:jc w:val="center"/>
        <w:rPr>
          <w:b/>
          <w:bCs/>
          <w:lang w:val="ru-RU"/>
        </w:rPr>
      </w:pPr>
    </w:p>
    <w:p w:rsidR="00284E99" w:rsidRDefault="00284E99">
      <w:pPr>
        <w:pStyle w:val="Standard"/>
        <w:rPr>
          <w:lang w:val="ru-RU"/>
        </w:rPr>
      </w:pPr>
      <w:r>
        <w:rPr>
          <w:lang w:val="ru-RU"/>
        </w:rPr>
        <w:t>Анна Тарасенко</w:t>
      </w:r>
    </w:p>
    <w:p w:rsidR="00284E99" w:rsidRDefault="00284E99">
      <w:pPr>
        <w:pStyle w:val="Standard"/>
        <w:rPr>
          <w:lang w:val="ru-RU"/>
        </w:rPr>
      </w:pPr>
      <w:r>
        <w:rPr>
          <w:lang w:val="ru-RU"/>
        </w:rPr>
        <w:t>К.полит</w:t>
      </w:r>
      <w:proofErr w:type="gramStart"/>
      <w:r>
        <w:rPr>
          <w:lang w:val="ru-RU"/>
        </w:rPr>
        <w:t>.н</w:t>
      </w:r>
      <w:proofErr w:type="gramEnd"/>
      <w:r>
        <w:rPr>
          <w:lang w:val="ru-RU"/>
        </w:rPr>
        <w:t>.</w:t>
      </w:r>
    </w:p>
    <w:p w:rsidR="00284E99" w:rsidRDefault="00284E99">
      <w:pPr>
        <w:pStyle w:val="Standard"/>
        <w:rPr>
          <w:lang w:val="ru-RU"/>
        </w:rPr>
      </w:pPr>
      <w:r>
        <w:rPr>
          <w:lang w:val="ru-RU"/>
        </w:rPr>
        <w:t>Доцент кафедры прикладной политологии</w:t>
      </w:r>
    </w:p>
    <w:p w:rsidR="00284E99" w:rsidRDefault="00284E99">
      <w:pPr>
        <w:pStyle w:val="Standard"/>
        <w:rPr>
          <w:lang w:val="ru-RU"/>
        </w:rPr>
      </w:pPr>
      <w:r>
        <w:rPr>
          <w:lang w:val="ru-RU"/>
        </w:rPr>
        <w:t>НИУ «Высшая школа экономики — Санкт-Петербург»</w:t>
      </w:r>
    </w:p>
    <w:p w:rsidR="00284E99" w:rsidRDefault="00284E99">
      <w:pPr>
        <w:pStyle w:val="Standard"/>
        <w:rPr>
          <w:lang w:val="ru-RU"/>
        </w:rPr>
      </w:pPr>
    </w:p>
    <w:p w:rsidR="00284E99" w:rsidRDefault="00284E99">
      <w:pPr>
        <w:pStyle w:val="Standard"/>
        <w:jc w:val="both"/>
        <w:rPr>
          <w:lang w:val="ru-RU"/>
        </w:rPr>
      </w:pPr>
      <w:r>
        <w:rPr>
          <w:lang w:val="ru-RU"/>
        </w:rPr>
        <w:t xml:space="preserve">Новые возможности государственной поддержки некоммерческих организаций (НКО) стали частью реальности для организаций «третьего» сектора и новой составляющей политики региональных властей. </w:t>
      </w:r>
      <w:r w:rsidR="00C509FA">
        <w:rPr>
          <w:lang w:val="ru-RU"/>
        </w:rPr>
        <w:t xml:space="preserve">Федеральные и региональные программы поддержки социально ориентированных НКО (СО НКО), конкурсы в виде субсидий, государственный заказ и федеральные конкурсы представляют собой </w:t>
      </w:r>
      <w:r w:rsidR="005731C3">
        <w:rPr>
          <w:lang w:val="ru-RU"/>
        </w:rPr>
        <w:t xml:space="preserve">чрезвычайно </w:t>
      </w:r>
      <w:r w:rsidR="00C509FA">
        <w:rPr>
          <w:lang w:val="ru-RU"/>
        </w:rPr>
        <w:t>разнообразную палитру практик. М</w:t>
      </w:r>
      <w:r>
        <w:rPr>
          <w:lang w:val="ru-RU"/>
        </w:rPr>
        <w:t>ногие эксперты</w:t>
      </w:r>
      <w:r w:rsidR="00C509FA">
        <w:rPr>
          <w:lang w:val="ru-RU"/>
        </w:rPr>
        <w:t>, однако,</w:t>
      </w:r>
      <w:r>
        <w:rPr>
          <w:lang w:val="ru-RU"/>
        </w:rPr>
        <w:t xml:space="preserve"> интерпретируют появление новых схем финансирования как очередной виток вливания средств в «свои» </w:t>
      </w:r>
      <w:r w:rsidRPr="001A17C0">
        <w:rPr>
          <w:lang w:val="ru-RU"/>
        </w:rPr>
        <w:t>организаци</w:t>
      </w:r>
      <w:r>
        <w:rPr>
          <w:lang w:val="ru-RU"/>
        </w:rPr>
        <w:t>и</w:t>
      </w:r>
      <w:r w:rsidRPr="001A17C0">
        <w:rPr>
          <w:lang w:val="ru-RU"/>
        </w:rPr>
        <w:t>.</w:t>
      </w:r>
      <w:r>
        <w:rPr>
          <w:lang w:val="ru-RU"/>
        </w:rPr>
        <w:t xml:space="preserve"> </w:t>
      </w:r>
      <w:r w:rsidR="00C509FA">
        <w:rPr>
          <w:lang w:val="ru-RU"/>
        </w:rPr>
        <w:t>А</w:t>
      </w:r>
      <w:r>
        <w:rPr>
          <w:lang w:val="ru-RU"/>
        </w:rPr>
        <w:t xml:space="preserve">нализ существующих практик финансирования НКО </w:t>
      </w:r>
      <w:r w:rsidR="00C509FA">
        <w:rPr>
          <w:lang w:val="ru-RU"/>
        </w:rPr>
        <w:t xml:space="preserve">на примере Санкт-Петербурга </w:t>
      </w:r>
      <w:r>
        <w:rPr>
          <w:lang w:val="ru-RU"/>
        </w:rPr>
        <w:t>усложняет эту упрощенную картину и делает её еще более интересной и содержательной в контексте опыта европейских стран.</w:t>
      </w:r>
    </w:p>
    <w:p w:rsidR="00284E99" w:rsidRDefault="00284E99">
      <w:pPr>
        <w:pStyle w:val="Standard"/>
        <w:jc w:val="both"/>
        <w:rPr>
          <w:lang w:val="ru-RU"/>
        </w:rPr>
      </w:pPr>
    </w:p>
    <w:p w:rsidR="002C353A" w:rsidRDefault="00284E99" w:rsidP="002C353A">
      <w:pPr>
        <w:pStyle w:val="Standard"/>
        <w:jc w:val="both"/>
        <w:rPr>
          <w:lang w:val="ru-RU"/>
        </w:rPr>
      </w:pPr>
      <w:r>
        <w:rPr>
          <w:lang w:val="ru-RU"/>
        </w:rPr>
        <w:t xml:space="preserve">Основной источник информации — это созданный комитетом по социальной политике администрации Санкт-Петербурга реестр социально-ориентированных НКО, </w:t>
      </w:r>
      <w:r w:rsidRPr="002C353A">
        <w:rPr>
          <w:lang w:val="ru-RU"/>
        </w:rPr>
        <w:t>получающих государственную поддержку</w:t>
      </w:r>
      <w:r w:rsidR="001965F1">
        <w:rPr>
          <w:lang w:val="ru-RU"/>
        </w:rPr>
        <w:t>.</w:t>
      </w:r>
      <w:r w:rsidRPr="00373929">
        <w:rPr>
          <w:rStyle w:val="ab"/>
          <w:lang w:val="ru-RU"/>
        </w:rPr>
        <w:footnoteReference w:id="1"/>
      </w:r>
      <w:r w:rsidR="009E45B4">
        <w:rPr>
          <w:lang w:val="ru-RU"/>
        </w:rPr>
        <w:t xml:space="preserve"> </w:t>
      </w:r>
      <w:r w:rsidR="00C509FA">
        <w:rPr>
          <w:lang w:val="ru-RU"/>
        </w:rPr>
        <w:t xml:space="preserve">В качестве дополнения использованы </w:t>
      </w:r>
      <w:r w:rsidR="00B56ED6">
        <w:rPr>
          <w:lang w:val="ru-RU"/>
        </w:rPr>
        <w:t xml:space="preserve">данные о финансировании </w:t>
      </w:r>
      <w:r w:rsidR="009E45B4">
        <w:rPr>
          <w:lang w:val="ru-RU"/>
        </w:rPr>
        <w:t xml:space="preserve">некоммерческих </w:t>
      </w:r>
      <w:r w:rsidR="00B56ED6">
        <w:rPr>
          <w:lang w:val="ru-RU"/>
        </w:rPr>
        <w:t>организаций из бюджета Санкт-Петербурга</w:t>
      </w:r>
      <w:r w:rsidR="003F322F">
        <w:rPr>
          <w:lang w:val="ru-RU"/>
        </w:rPr>
        <w:t xml:space="preserve"> 2010-2011 года</w:t>
      </w:r>
      <w:r w:rsidR="00C509FA">
        <w:rPr>
          <w:lang w:val="ru-RU"/>
        </w:rPr>
        <w:t xml:space="preserve">, </w:t>
      </w:r>
      <w:r w:rsidR="005731C3">
        <w:rPr>
          <w:lang w:val="ru-RU"/>
        </w:rPr>
        <w:t>р</w:t>
      </w:r>
      <w:r w:rsidR="003F322F">
        <w:rPr>
          <w:lang w:val="ru-RU"/>
        </w:rPr>
        <w:t xml:space="preserve">аспоряжение Правительства Санкт-Петербурга от 14.05.2013 года «О </w:t>
      </w:r>
      <w:r w:rsidR="00C509FA">
        <w:rPr>
          <w:lang w:val="ru-RU"/>
        </w:rPr>
        <w:t>Программ</w:t>
      </w:r>
      <w:r w:rsidR="003F322F">
        <w:rPr>
          <w:lang w:val="ru-RU"/>
        </w:rPr>
        <w:t>е</w:t>
      </w:r>
      <w:r w:rsidR="00C509FA">
        <w:rPr>
          <w:lang w:val="ru-RU"/>
        </w:rPr>
        <w:t xml:space="preserve"> поддержки СО НКО</w:t>
      </w:r>
      <w:r w:rsidR="00B56ED6">
        <w:rPr>
          <w:lang w:val="ru-RU"/>
        </w:rPr>
        <w:t xml:space="preserve"> </w:t>
      </w:r>
      <w:r w:rsidR="003F322F">
        <w:rPr>
          <w:lang w:val="ru-RU"/>
        </w:rPr>
        <w:t>в Санкт-Петербурге на 2013-2014 годы»</w:t>
      </w:r>
      <w:r w:rsidR="003F322F">
        <w:rPr>
          <w:rStyle w:val="ab"/>
          <w:lang w:val="ru-RU"/>
        </w:rPr>
        <w:footnoteReference w:id="2"/>
      </w:r>
      <w:r w:rsidR="003F322F">
        <w:rPr>
          <w:lang w:val="ru-RU"/>
        </w:rPr>
        <w:t xml:space="preserve"> </w:t>
      </w:r>
      <w:r w:rsidR="00B56ED6">
        <w:rPr>
          <w:lang w:val="ru-RU"/>
        </w:rPr>
        <w:t xml:space="preserve">и материалы </w:t>
      </w:r>
      <w:r w:rsidR="009E45B4">
        <w:rPr>
          <w:lang w:val="ru-RU"/>
        </w:rPr>
        <w:t>интервью</w:t>
      </w:r>
      <w:r>
        <w:rPr>
          <w:lang w:val="ru-RU"/>
        </w:rPr>
        <w:t>.</w:t>
      </w:r>
      <w:r w:rsidR="009E45B4">
        <w:rPr>
          <w:lang w:val="ru-RU"/>
        </w:rPr>
        <w:t xml:space="preserve"> </w:t>
      </w:r>
      <w:r w:rsidR="002C353A">
        <w:rPr>
          <w:lang w:val="ru-RU"/>
        </w:rPr>
        <w:t>Результаты анализа показывают специфику проектов, финансируемых в рамках определенных процедур</w:t>
      </w:r>
      <w:r w:rsidR="001827A6">
        <w:rPr>
          <w:lang w:val="ru-RU"/>
        </w:rPr>
        <w:t>,</w:t>
      </w:r>
      <w:r w:rsidR="002C353A">
        <w:rPr>
          <w:lang w:val="ru-RU"/>
        </w:rPr>
        <w:t xml:space="preserve"> и могут быть полезны принимающим решения политикам и чиновникам для дальнейшего совершенствования механизмов финансирования. А также обобщение опыта может облегчить, работающим в третьем секторе специалистам, выбор конкурсной процедуры, в рамках которой наиболее логичным было бы реализовать тот или иной социально значимый проект.</w:t>
      </w:r>
    </w:p>
    <w:p w:rsidR="001827A6" w:rsidRDefault="001827A6" w:rsidP="002C353A">
      <w:pPr>
        <w:pStyle w:val="Standard"/>
        <w:jc w:val="both"/>
        <w:rPr>
          <w:lang w:val="ru-RU"/>
        </w:rPr>
      </w:pPr>
    </w:p>
    <w:p w:rsidR="00071EBB" w:rsidRDefault="00EF72E9" w:rsidP="002C353A">
      <w:pPr>
        <w:pStyle w:val="Standard"/>
        <w:jc w:val="both"/>
        <w:rPr>
          <w:lang w:val="ru-RU"/>
        </w:rPr>
      </w:pPr>
      <w:r>
        <w:rPr>
          <w:lang w:val="ru-RU"/>
        </w:rPr>
        <w:t xml:space="preserve">Реестр социально ориентированных некоммерческих организаций составлен </w:t>
      </w:r>
      <w:r w:rsidR="00C509FA">
        <w:rPr>
          <w:lang w:val="ru-RU"/>
        </w:rPr>
        <w:t xml:space="preserve">комитетом </w:t>
      </w:r>
      <w:r>
        <w:rPr>
          <w:lang w:val="ru-RU"/>
        </w:rPr>
        <w:t>по социальной политике администрации Санкт-Петербурга в 2013 году</w:t>
      </w:r>
      <w:r w:rsidR="00C509FA">
        <w:rPr>
          <w:lang w:val="ru-RU"/>
        </w:rPr>
        <w:t xml:space="preserve"> и включает в себя информацию о </w:t>
      </w:r>
      <w:r w:rsidR="003F322F">
        <w:rPr>
          <w:lang w:val="ru-RU"/>
        </w:rPr>
        <w:t xml:space="preserve">четырех видах </w:t>
      </w:r>
      <w:r w:rsidR="00C509FA">
        <w:rPr>
          <w:lang w:val="ru-RU"/>
        </w:rPr>
        <w:t xml:space="preserve">государственной </w:t>
      </w:r>
      <w:r w:rsidR="00071EBB">
        <w:rPr>
          <w:lang w:val="ru-RU"/>
        </w:rPr>
        <w:t>поддержки:</w:t>
      </w:r>
    </w:p>
    <w:p w:rsidR="00071EBB" w:rsidRDefault="00071EBB" w:rsidP="002C353A">
      <w:pPr>
        <w:pStyle w:val="Standard"/>
        <w:jc w:val="both"/>
        <w:rPr>
          <w:lang w:val="ru-RU"/>
        </w:rPr>
      </w:pPr>
    </w:p>
    <w:p w:rsidR="00071EBB" w:rsidRDefault="003F322F" w:rsidP="00071EBB">
      <w:pPr>
        <w:pStyle w:val="Standard"/>
        <w:numPr>
          <w:ilvl w:val="0"/>
          <w:numId w:val="19"/>
        </w:numPr>
        <w:jc w:val="both"/>
        <w:rPr>
          <w:lang w:val="ru-RU"/>
        </w:rPr>
      </w:pPr>
      <w:r>
        <w:rPr>
          <w:lang w:val="ru-RU"/>
        </w:rPr>
        <w:t xml:space="preserve">субсидии комитетов администрации </w:t>
      </w:r>
      <w:r w:rsidR="00071EBB">
        <w:rPr>
          <w:lang w:val="ru-RU"/>
        </w:rPr>
        <w:t>Санкт-Петербурга,</w:t>
      </w:r>
    </w:p>
    <w:p w:rsidR="00071EBB" w:rsidRDefault="003F322F" w:rsidP="00071EBB">
      <w:pPr>
        <w:pStyle w:val="Standard"/>
        <w:numPr>
          <w:ilvl w:val="0"/>
          <w:numId w:val="19"/>
        </w:numPr>
        <w:jc w:val="both"/>
        <w:rPr>
          <w:lang w:val="ru-RU"/>
        </w:rPr>
      </w:pPr>
      <w:r>
        <w:rPr>
          <w:lang w:val="ru-RU"/>
        </w:rPr>
        <w:t xml:space="preserve">субсидии </w:t>
      </w:r>
      <w:r w:rsidR="00097C9B" w:rsidRPr="00B11B0E">
        <w:rPr>
          <w:lang w:val="ru-RU"/>
        </w:rPr>
        <w:t xml:space="preserve">на </w:t>
      </w:r>
      <w:r w:rsidRPr="00B11B0E">
        <w:rPr>
          <w:lang w:val="ru-RU"/>
        </w:rPr>
        <w:t>поддержк</w:t>
      </w:r>
      <w:r w:rsidR="00097C9B" w:rsidRPr="00B11B0E">
        <w:rPr>
          <w:lang w:val="ru-RU"/>
        </w:rPr>
        <w:t>у</w:t>
      </w:r>
      <w:r w:rsidRPr="00B11B0E">
        <w:rPr>
          <w:lang w:val="ru-RU"/>
        </w:rPr>
        <w:t xml:space="preserve"> </w:t>
      </w:r>
      <w:r w:rsidR="00071EBB" w:rsidRPr="00B11B0E">
        <w:rPr>
          <w:lang w:val="ru-RU"/>
        </w:rPr>
        <w:t>СО НКО</w:t>
      </w:r>
      <w:r w:rsidR="00097C9B" w:rsidRPr="00B11B0E">
        <w:rPr>
          <w:lang w:val="ru-RU"/>
        </w:rPr>
        <w:t xml:space="preserve"> </w:t>
      </w:r>
      <w:r w:rsidR="00BA4554" w:rsidRPr="00B11B0E">
        <w:rPr>
          <w:lang w:val="ru-RU"/>
        </w:rPr>
        <w:t>з</w:t>
      </w:r>
      <w:r w:rsidR="00097C9B" w:rsidRPr="00B11B0E">
        <w:rPr>
          <w:lang w:val="ru-RU"/>
        </w:rPr>
        <w:t>а счет</w:t>
      </w:r>
      <w:r w:rsidR="00BA4554" w:rsidRPr="00B11B0E">
        <w:rPr>
          <w:lang w:val="ru-RU"/>
        </w:rPr>
        <w:t xml:space="preserve"> средств</w:t>
      </w:r>
      <w:r w:rsidR="00097C9B" w:rsidRPr="00B11B0E">
        <w:rPr>
          <w:lang w:val="ru-RU"/>
        </w:rPr>
        <w:t>,</w:t>
      </w:r>
      <w:r w:rsidR="00BA4554" w:rsidRPr="00B11B0E">
        <w:rPr>
          <w:lang w:val="ru-RU"/>
        </w:rPr>
        <w:t xml:space="preserve"> </w:t>
      </w:r>
      <w:r w:rsidR="00097C9B" w:rsidRPr="00B11B0E">
        <w:rPr>
          <w:lang w:val="ru-RU"/>
        </w:rPr>
        <w:t xml:space="preserve">поступающих в бюджет Санкт-Петербурга из </w:t>
      </w:r>
      <w:r w:rsidR="00BA4554" w:rsidRPr="00B11B0E">
        <w:rPr>
          <w:lang w:val="ru-RU"/>
        </w:rPr>
        <w:t>федерального бюджета</w:t>
      </w:r>
      <w:r w:rsidR="00071EBB" w:rsidRPr="00B11B0E">
        <w:rPr>
          <w:lang w:val="ru-RU"/>
        </w:rPr>
        <w:t>,</w:t>
      </w:r>
    </w:p>
    <w:p w:rsidR="00071EBB" w:rsidRDefault="00987C4D" w:rsidP="00071EBB">
      <w:pPr>
        <w:pStyle w:val="Standard"/>
        <w:numPr>
          <w:ilvl w:val="0"/>
          <w:numId w:val="19"/>
        </w:numPr>
        <w:jc w:val="both"/>
        <w:rPr>
          <w:lang w:val="ru-RU"/>
        </w:rPr>
      </w:pPr>
      <w:r>
        <w:rPr>
          <w:lang w:val="ru-RU"/>
        </w:rPr>
        <w:t xml:space="preserve">субсидия на </w:t>
      </w:r>
      <w:r w:rsidR="003F322F">
        <w:rPr>
          <w:lang w:val="ru-RU"/>
        </w:rPr>
        <w:t>компенсаци</w:t>
      </w:r>
      <w:r>
        <w:rPr>
          <w:lang w:val="ru-RU"/>
        </w:rPr>
        <w:t>ю</w:t>
      </w:r>
      <w:r w:rsidR="003F322F">
        <w:rPr>
          <w:lang w:val="ru-RU"/>
        </w:rPr>
        <w:t xml:space="preserve"> </w:t>
      </w:r>
      <w:r w:rsidR="00F4638F">
        <w:rPr>
          <w:lang w:val="ru-RU"/>
        </w:rPr>
        <w:t>расходов н</w:t>
      </w:r>
      <w:r w:rsidR="003F322F">
        <w:rPr>
          <w:lang w:val="ru-RU"/>
        </w:rPr>
        <w:t>а коммунальные услуг</w:t>
      </w:r>
      <w:r w:rsidR="00F4638F">
        <w:rPr>
          <w:lang w:val="ru-RU"/>
        </w:rPr>
        <w:t>и</w:t>
      </w:r>
      <w:r w:rsidR="00071EBB">
        <w:rPr>
          <w:lang w:val="ru-RU"/>
        </w:rPr>
        <w:t>,</w:t>
      </w:r>
    </w:p>
    <w:p w:rsidR="00071EBB" w:rsidRDefault="003F322F" w:rsidP="00071EBB">
      <w:pPr>
        <w:pStyle w:val="Standard"/>
        <w:numPr>
          <w:ilvl w:val="0"/>
          <w:numId w:val="19"/>
        </w:numPr>
        <w:jc w:val="both"/>
        <w:rPr>
          <w:lang w:val="ru-RU"/>
        </w:rPr>
      </w:pPr>
      <w:r>
        <w:rPr>
          <w:lang w:val="ru-RU"/>
        </w:rPr>
        <w:t>целевое финансирование НКО из бюджета Санкт-Петербурга.</w:t>
      </w:r>
    </w:p>
    <w:p w:rsidR="00071EBB" w:rsidRDefault="00071EBB" w:rsidP="00071EBB">
      <w:pPr>
        <w:pStyle w:val="Standard"/>
        <w:jc w:val="both"/>
        <w:rPr>
          <w:lang w:val="ru-RU"/>
        </w:rPr>
      </w:pPr>
    </w:p>
    <w:p w:rsidR="00071EBB" w:rsidRPr="00071EBB" w:rsidRDefault="00F4638F" w:rsidP="00071EBB">
      <w:pPr>
        <w:pStyle w:val="Standard"/>
        <w:jc w:val="both"/>
        <w:rPr>
          <w:lang w:val="ru-RU"/>
        </w:rPr>
      </w:pPr>
      <w:r w:rsidRPr="00613D39">
        <w:rPr>
          <w:lang w:val="ru-RU"/>
        </w:rPr>
        <w:t>Всего в</w:t>
      </w:r>
      <w:r w:rsidR="00AA45A4" w:rsidRPr="00613D39">
        <w:rPr>
          <w:lang w:val="ru-RU"/>
        </w:rPr>
        <w:t xml:space="preserve"> реестре за 2011 год указано 170</w:t>
      </w:r>
      <w:r w:rsidRPr="00613D39">
        <w:rPr>
          <w:lang w:val="ru-RU"/>
        </w:rPr>
        <w:t xml:space="preserve"> </w:t>
      </w:r>
      <w:r w:rsidR="00AA45A4" w:rsidRPr="00613D39">
        <w:rPr>
          <w:lang w:val="ru-RU"/>
        </w:rPr>
        <w:t>организаций</w:t>
      </w:r>
      <w:r w:rsidR="00613D39" w:rsidRPr="00613D39">
        <w:rPr>
          <w:lang w:val="ru-RU"/>
        </w:rPr>
        <w:t>, а в 2012 году – 215</w:t>
      </w:r>
      <w:r w:rsidRPr="00613D39">
        <w:rPr>
          <w:lang w:val="ru-RU"/>
        </w:rPr>
        <w:t>.</w:t>
      </w:r>
      <w:r w:rsidR="005731C3">
        <w:rPr>
          <w:lang w:val="ru-RU"/>
        </w:rPr>
        <w:t xml:space="preserve"> </w:t>
      </w:r>
      <w:r w:rsidR="009B7C86">
        <w:rPr>
          <w:lang w:val="ru-RU"/>
        </w:rPr>
        <w:t>Общее количество профинансированных проектов в реестре больше: 364 в 2011 году и 384 – в 2012 году, поскольку</w:t>
      </w:r>
      <w:r w:rsidR="00141EC0">
        <w:rPr>
          <w:lang w:val="ru-RU"/>
        </w:rPr>
        <w:t xml:space="preserve"> часть организаций получает </w:t>
      </w:r>
      <w:r w:rsidR="004217EC">
        <w:rPr>
          <w:lang w:val="ru-RU"/>
        </w:rPr>
        <w:t>несколько</w:t>
      </w:r>
      <w:r w:rsidR="00141EC0">
        <w:rPr>
          <w:lang w:val="ru-RU"/>
        </w:rPr>
        <w:t xml:space="preserve"> вид</w:t>
      </w:r>
      <w:r w:rsidR="004217EC">
        <w:rPr>
          <w:lang w:val="ru-RU"/>
        </w:rPr>
        <w:t>ов</w:t>
      </w:r>
      <w:r w:rsidR="00141EC0">
        <w:rPr>
          <w:lang w:val="ru-RU"/>
        </w:rPr>
        <w:t xml:space="preserve"> поддержки. </w:t>
      </w:r>
      <w:r w:rsidR="00097C9B">
        <w:rPr>
          <w:lang w:val="ru-RU"/>
        </w:rPr>
        <w:t>Особенность</w:t>
      </w:r>
      <w:r w:rsidR="005731C3">
        <w:rPr>
          <w:lang w:val="ru-RU"/>
        </w:rPr>
        <w:t xml:space="preserve"> организаций, попавших в реестр – социально полезная деятельность, включающая </w:t>
      </w:r>
      <w:r w:rsidR="004217EC">
        <w:rPr>
          <w:lang w:val="ru-RU"/>
        </w:rPr>
        <w:t>работу</w:t>
      </w:r>
      <w:r w:rsidR="005731C3">
        <w:rPr>
          <w:lang w:val="ru-RU"/>
        </w:rPr>
        <w:t xml:space="preserve"> </w:t>
      </w:r>
      <w:r w:rsidR="004217EC">
        <w:rPr>
          <w:lang w:val="ru-RU"/>
        </w:rPr>
        <w:t>с</w:t>
      </w:r>
      <w:r w:rsidR="005731C3">
        <w:rPr>
          <w:lang w:val="ru-RU"/>
        </w:rPr>
        <w:t xml:space="preserve"> </w:t>
      </w:r>
      <w:r w:rsidR="009F2022">
        <w:rPr>
          <w:lang w:val="ru-RU"/>
        </w:rPr>
        <w:t>нуждающи</w:t>
      </w:r>
      <w:r w:rsidR="009B7C86">
        <w:rPr>
          <w:lang w:val="ru-RU"/>
        </w:rPr>
        <w:t>мися</w:t>
      </w:r>
      <w:r w:rsidR="009F2022">
        <w:rPr>
          <w:lang w:val="ru-RU"/>
        </w:rPr>
        <w:t xml:space="preserve"> в поддержке социальны</w:t>
      </w:r>
      <w:r w:rsidR="009B7C86">
        <w:rPr>
          <w:lang w:val="ru-RU"/>
        </w:rPr>
        <w:t>ми группами</w:t>
      </w:r>
      <w:r w:rsidR="005731C3">
        <w:rPr>
          <w:lang w:val="ru-RU"/>
        </w:rPr>
        <w:t xml:space="preserve">: инвалиды, дети, пенсионеры, ветераны и т.д. </w:t>
      </w:r>
      <w:r w:rsidR="009F2022">
        <w:rPr>
          <w:lang w:val="ru-RU"/>
        </w:rPr>
        <w:t xml:space="preserve">Подавляющее </w:t>
      </w:r>
      <w:r w:rsidR="005731C3">
        <w:rPr>
          <w:lang w:val="ru-RU"/>
        </w:rPr>
        <w:t xml:space="preserve"> </w:t>
      </w:r>
      <w:r w:rsidR="009F2022">
        <w:rPr>
          <w:lang w:val="ru-RU"/>
        </w:rPr>
        <w:t xml:space="preserve">большинство организации оказывают специфические услуги, </w:t>
      </w:r>
      <w:r w:rsidR="009F2022">
        <w:rPr>
          <w:lang w:val="ru-RU"/>
        </w:rPr>
        <w:lastRenderedPageBreak/>
        <w:t>варьирующиеся от просветительской деятельности и создания условий для развития</w:t>
      </w:r>
      <w:r w:rsidR="007C379A">
        <w:rPr>
          <w:lang w:val="ru-RU"/>
        </w:rPr>
        <w:t xml:space="preserve"> (культура, спорт)</w:t>
      </w:r>
      <w:r w:rsidR="009F2022">
        <w:rPr>
          <w:lang w:val="ru-RU"/>
        </w:rPr>
        <w:t>, до программ адаптации и медицинской помощи.</w:t>
      </w:r>
    </w:p>
    <w:p w:rsidR="00097C9B" w:rsidRDefault="00097C9B">
      <w:pPr>
        <w:pStyle w:val="Standard"/>
        <w:jc w:val="center"/>
        <w:rPr>
          <w:b/>
          <w:bCs/>
          <w:lang w:val="ru-RU"/>
        </w:rPr>
      </w:pPr>
    </w:p>
    <w:p w:rsidR="004217EC" w:rsidRDefault="004217EC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Изменение </w:t>
      </w:r>
      <w:r w:rsidR="007845AD">
        <w:rPr>
          <w:b/>
          <w:bCs/>
          <w:lang w:val="ru-RU"/>
        </w:rPr>
        <w:t>принципов</w:t>
      </w:r>
      <w:r>
        <w:rPr>
          <w:b/>
          <w:bCs/>
          <w:lang w:val="ru-RU"/>
        </w:rPr>
        <w:t xml:space="preserve"> социальной политики в современной России –</w:t>
      </w:r>
    </w:p>
    <w:p w:rsidR="00284E99" w:rsidRDefault="004217EC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</w:t>
      </w:r>
      <w:r w:rsidR="001827A6">
        <w:rPr>
          <w:b/>
          <w:bCs/>
          <w:lang w:val="ru-RU"/>
        </w:rPr>
        <w:t>ричин</w:t>
      </w:r>
      <w:r>
        <w:rPr>
          <w:b/>
          <w:bCs/>
          <w:lang w:val="ru-RU"/>
        </w:rPr>
        <w:t>а</w:t>
      </w:r>
      <w:r w:rsidR="001827A6">
        <w:rPr>
          <w:b/>
          <w:bCs/>
          <w:lang w:val="ru-RU"/>
        </w:rPr>
        <w:t xml:space="preserve"> у</w:t>
      </w:r>
      <w:r w:rsidR="00284E99">
        <w:rPr>
          <w:b/>
          <w:bCs/>
          <w:lang w:val="ru-RU"/>
        </w:rPr>
        <w:t>величени</w:t>
      </w:r>
      <w:r w:rsidR="001827A6">
        <w:rPr>
          <w:b/>
          <w:bCs/>
          <w:lang w:val="ru-RU"/>
        </w:rPr>
        <w:t>я</w:t>
      </w:r>
      <w:r w:rsidR="00284E99">
        <w:rPr>
          <w:b/>
          <w:bCs/>
          <w:lang w:val="ru-RU"/>
        </w:rPr>
        <w:t xml:space="preserve"> государственного финансирования НКО</w:t>
      </w:r>
    </w:p>
    <w:p w:rsidR="00284E99" w:rsidRDefault="00284E99">
      <w:pPr>
        <w:pStyle w:val="Standard"/>
        <w:jc w:val="center"/>
        <w:rPr>
          <w:b/>
          <w:bCs/>
          <w:lang w:val="ru-RU"/>
        </w:rPr>
      </w:pPr>
    </w:p>
    <w:p w:rsidR="00284E99" w:rsidRPr="00122F6D" w:rsidRDefault="00284E99">
      <w:pPr>
        <w:pStyle w:val="Standard"/>
        <w:tabs>
          <w:tab w:val="left" w:pos="5850"/>
        </w:tabs>
        <w:jc w:val="both"/>
        <w:rPr>
          <w:lang w:val="ru-RU"/>
        </w:rPr>
      </w:pPr>
      <w:r>
        <w:rPr>
          <w:lang w:val="ru-RU"/>
        </w:rPr>
        <w:t>П</w:t>
      </w:r>
      <w:r w:rsidRPr="00122F6D">
        <w:rPr>
          <w:lang w:val="ru-RU"/>
        </w:rPr>
        <w:t xml:space="preserve">оявление новых механизмов финансирования </w:t>
      </w:r>
      <w:r>
        <w:rPr>
          <w:lang w:val="ru-RU"/>
        </w:rPr>
        <w:t xml:space="preserve">НКО, включающих </w:t>
      </w:r>
      <w:r w:rsidRPr="00122F6D">
        <w:rPr>
          <w:lang w:val="ru-RU"/>
        </w:rPr>
        <w:t xml:space="preserve">правительственные программы поддержки СО НКО, </w:t>
      </w:r>
      <w:r>
        <w:rPr>
          <w:lang w:val="ru-RU"/>
        </w:rPr>
        <w:t>государственный</w:t>
      </w:r>
      <w:r w:rsidRPr="00122F6D">
        <w:rPr>
          <w:lang w:val="ru-RU"/>
        </w:rPr>
        <w:t xml:space="preserve"> заказ, </w:t>
      </w:r>
      <w:r>
        <w:rPr>
          <w:lang w:val="ru-RU"/>
        </w:rPr>
        <w:t>президентские гранты,</w:t>
      </w:r>
      <w:r w:rsidRPr="00122F6D">
        <w:rPr>
          <w:lang w:val="ru-RU"/>
        </w:rPr>
        <w:t xml:space="preserve"> тесно связано с крупномасштабными реформами процесса управления в нашей стране. В начале 2000-х годов Центр стратегического планирования Германа Грефа</w:t>
      </w:r>
      <w:r w:rsidRPr="00373929">
        <w:rPr>
          <w:rStyle w:val="ab"/>
        </w:rPr>
        <w:footnoteReference w:id="3"/>
      </w:r>
      <w:r w:rsidRPr="00122F6D">
        <w:rPr>
          <w:lang w:val="ru-RU"/>
        </w:rPr>
        <w:t xml:space="preserve"> инициировал </w:t>
      </w:r>
      <w:r>
        <w:rPr>
          <w:lang w:val="ru-RU"/>
        </w:rPr>
        <w:t>проведение</w:t>
      </w:r>
      <w:r w:rsidRPr="00122F6D">
        <w:rPr>
          <w:lang w:val="ru-RU"/>
        </w:rPr>
        <w:t xml:space="preserve"> </w:t>
      </w:r>
      <w:r>
        <w:rPr>
          <w:lang w:val="ru-RU"/>
        </w:rPr>
        <w:t>административной</w:t>
      </w:r>
      <w:r w:rsidRPr="00122F6D">
        <w:rPr>
          <w:lang w:val="ru-RU"/>
        </w:rPr>
        <w:t xml:space="preserve"> и бюджетн</w:t>
      </w:r>
      <w:r>
        <w:rPr>
          <w:lang w:val="ru-RU"/>
        </w:rPr>
        <w:t>ой</w:t>
      </w:r>
      <w:r w:rsidRPr="00122F6D">
        <w:rPr>
          <w:lang w:val="ru-RU"/>
        </w:rPr>
        <w:t xml:space="preserve"> реформы, а также </w:t>
      </w:r>
      <w:r>
        <w:rPr>
          <w:lang w:val="ru-RU"/>
        </w:rPr>
        <w:t>некоторых</w:t>
      </w:r>
      <w:r w:rsidRPr="00122F6D">
        <w:rPr>
          <w:lang w:val="ru-RU"/>
        </w:rPr>
        <w:t xml:space="preserve"> социальны</w:t>
      </w:r>
      <w:r>
        <w:rPr>
          <w:lang w:val="ru-RU"/>
        </w:rPr>
        <w:t>х</w:t>
      </w:r>
      <w:r w:rsidRPr="00122F6D">
        <w:rPr>
          <w:lang w:val="ru-RU"/>
        </w:rPr>
        <w:t xml:space="preserve"> реформ (монетизация льгот, изменение пенсионной системы), </w:t>
      </w:r>
      <w:r>
        <w:rPr>
          <w:lang w:val="ru-RU"/>
        </w:rPr>
        <w:t>которые были</w:t>
      </w:r>
      <w:r w:rsidRPr="00122F6D">
        <w:rPr>
          <w:lang w:val="ru-RU"/>
        </w:rPr>
        <w:t xml:space="preserve"> направлены на повышения эффективности и снижени</w:t>
      </w:r>
      <w:r>
        <w:rPr>
          <w:lang w:val="ru-RU"/>
        </w:rPr>
        <w:t>е</w:t>
      </w:r>
      <w:r w:rsidRPr="00122F6D">
        <w:rPr>
          <w:lang w:val="ru-RU"/>
        </w:rPr>
        <w:t xml:space="preserve"> издержек управления. Система, при которой государство было единственным поставщиком и гарантом выполнения социальных обязательств, изжила себя, и год от года демонстрировала свою неэффективность</w:t>
      </w:r>
      <w:r w:rsidR="00BF3BCA">
        <w:rPr>
          <w:lang w:val="ru-RU"/>
        </w:rPr>
        <w:t>.</w:t>
      </w:r>
      <w:r w:rsidR="00F44FA2">
        <w:rPr>
          <w:rStyle w:val="ab"/>
          <w:lang w:val="ru-RU"/>
        </w:rPr>
        <w:footnoteReference w:id="4"/>
      </w:r>
      <w:r w:rsidRPr="00122F6D">
        <w:rPr>
          <w:lang w:val="ru-RU"/>
        </w:rPr>
        <w:t xml:space="preserve"> Суть реформ состояла в том, чтобы переложить часть этих  обязательств на граждан, рыночные механизмы и общественные институты (прежде всего, НКО).</w:t>
      </w:r>
    </w:p>
    <w:p w:rsidR="00284E99" w:rsidRDefault="00284E99">
      <w:pPr>
        <w:pStyle w:val="Standard"/>
        <w:tabs>
          <w:tab w:val="left" w:pos="5850"/>
        </w:tabs>
        <w:jc w:val="both"/>
      </w:pPr>
      <w:r w:rsidRPr="00122F6D">
        <w:rPr>
          <w:lang w:val="ru-RU"/>
        </w:rPr>
        <w:t xml:space="preserve">Если </w:t>
      </w:r>
      <w:r>
        <w:rPr>
          <w:lang w:val="ru-RU"/>
        </w:rPr>
        <w:t>вооружиться бо</w:t>
      </w:r>
      <w:r w:rsidRPr="00122F6D">
        <w:rPr>
          <w:lang w:val="ru-RU"/>
        </w:rPr>
        <w:t xml:space="preserve">лее широкой </w:t>
      </w:r>
      <w:r>
        <w:rPr>
          <w:lang w:val="ru-RU"/>
        </w:rPr>
        <w:t>перспективой</w:t>
      </w:r>
      <w:r w:rsidRPr="00122F6D">
        <w:rPr>
          <w:lang w:val="ru-RU"/>
        </w:rPr>
        <w:t xml:space="preserve">, то, </w:t>
      </w:r>
      <w:r>
        <w:rPr>
          <w:lang w:val="ru-RU"/>
        </w:rPr>
        <w:t>предпринимаемые российским</w:t>
      </w:r>
      <w:r w:rsidRPr="00122F6D">
        <w:rPr>
          <w:lang w:val="ru-RU"/>
        </w:rPr>
        <w:t xml:space="preserve"> правительство</w:t>
      </w:r>
      <w:r>
        <w:rPr>
          <w:lang w:val="ru-RU"/>
        </w:rPr>
        <w:t>м</w:t>
      </w:r>
      <w:r w:rsidRPr="00122F6D">
        <w:rPr>
          <w:lang w:val="ru-RU"/>
        </w:rPr>
        <w:t xml:space="preserve"> шаги </w:t>
      </w:r>
      <w:r>
        <w:rPr>
          <w:lang w:val="ru-RU"/>
        </w:rPr>
        <w:t xml:space="preserve">можно рассматривать в качестве попыток </w:t>
      </w:r>
      <w:r w:rsidRPr="00122F6D">
        <w:rPr>
          <w:b/>
          <w:lang w:val="ru-RU"/>
        </w:rPr>
        <w:t>трансформи</w:t>
      </w:r>
      <w:r>
        <w:rPr>
          <w:b/>
          <w:lang w:val="ru-RU"/>
        </w:rPr>
        <w:t>ровать</w:t>
      </w:r>
      <w:r w:rsidRPr="00122F6D">
        <w:rPr>
          <w:b/>
          <w:lang w:val="ru-RU"/>
        </w:rPr>
        <w:t xml:space="preserve"> государств</w:t>
      </w:r>
      <w:r>
        <w:rPr>
          <w:b/>
          <w:lang w:val="ru-RU"/>
        </w:rPr>
        <w:t>о</w:t>
      </w:r>
      <w:r w:rsidRPr="00122F6D">
        <w:rPr>
          <w:b/>
          <w:lang w:val="ru-RU"/>
        </w:rPr>
        <w:t xml:space="preserve"> благосостояния</w:t>
      </w:r>
      <w:r w:rsidRPr="00122F6D">
        <w:rPr>
          <w:lang w:val="ru-RU"/>
        </w:rPr>
        <w:t xml:space="preserve">. </w:t>
      </w:r>
      <w:r>
        <w:rPr>
          <w:lang w:val="ru-RU"/>
        </w:rPr>
        <w:t xml:space="preserve">Эти коренные преобразования изменяют баланс </w:t>
      </w:r>
      <w:r w:rsidRPr="00122F6D">
        <w:rPr>
          <w:lang w:val="ru-RU"/>
        </w:rPr>
        <w:t xml:space="preserve">между общественными институтами (рынок и некоммерческий сектор) </w:t>
      </w:r>
      <w:r>
        <w:rPr>
          <w:lang w:val="ru-RU"/>
        </w:rPr>
        <w:t xml:space="preserve">и государством в сфере </w:t>
      </w:r>
      <w:r w:rsidRPr="00122F6D">
        <w:rPr>
          <w:lang w:val="ru-RU"/>
        </w:rPr>
        <w:t>с</w:t>
      </w:r>
      <w:r>
        <w:rPr>
          <w:lang w:val="ru-RU"/>
        </w:rPr>
        <w:t>оциального обеспечения</w:t>
      </w:r>
      <w:r w:rsidRPr="00122F6D">
        <w:rPr>
          <w:lang w:val="ru-RU"/>
        </w:rPr>
        <w:t xml:space="preserve">. </w:t>
      </w:r>
      <w:r>
        <w:rPr>
          <w:lang w:val="ru-RU"/>
        </w:rPr>
        <w:t>Важными показателями являются два качественных изменения</w:t>
      </w:r>
      <w:r>
        <w:t>:</w:t>
      </w:r>
    </w:p>
    <w:p w:rsidR="00284E99" w:rsidRDefault="00284E99">
      <w:pPr>
        <w:pStyle w:val="Standard"/>
        <w:tabs>
          <w:tab w:val="left" w:pos="5850"/>
        </w:tabs>
        <w:jc w:val="both"/>
      </w:pPr>
    </w:p>
    <w:p w:rsidR="00284E99" w:rsidRPr="00122F6D" w:rsidRDefault="00284E99" w:rsidP="00122F6D">
      <w:pPr>
        <w:pStyle w:val="Standard"/>
        <w:numPr>
          <w:ilvl w:val="0"/>
          <w:numId w:val="11"/>
        </w:numPr>
        <w:tabs>
          <w:tab w:val="left" w:pos="540"/>
        </w:tabs>
        <w:rPr>
          <w:lang w:val="ru-RU"/>
        </w:rPr>
      </w:pPr>
      <w:r w:rsidRPr="00122F6D">
        <w:rPr>
          <w:lang w:val="ru-RU"/>
        </w:rPr>
        <w:t xml:space="preserve">трансформация роли органов государственной власти, которые перестают быть единственными поставщиками услуг и берут на себя </w:t>
      </w:r>
      <w:proofErr w:type="spellStart"/>
      <w:r w:rsidRPr="00122F6D">
        <w:rPr>
          <w:lang w:val="ru-RU"/>
        </w:rPr>
        <w:t>модерацию</w:t>
      </w:r>
      <w:proofErr w:type="spellEnd"/>
      <w:r w:rsidRPr="00122F6D">
        <w:rPr>
          <w:lang w:val="ru-RU"/>
        </w:rPr>
        <w:t xml:space="preserve"> деятельности  негосударственных организаций (коммерческих и некоммерческих), в том числе, проведение и конкурсных процедур, контрол</w:t>
      </w:r>
      <w:r>
        <w:rPr>
          <w:lang w:val="ru-RU"/>
        </w:rPr>
        <w:t>ь</w:t>
      </w:r>
      <w:r w:rsidRPr="00122F6D">
        <w:rPr>
          <w:lang w:val="ru-RU"/>
        </w:rPr>
        <w:t xml:space="preserve"> качества исполнения </w:t>
      </w:r>
      <w:r w:rsidR="0082207C" w:rsidRPr="0011430F">
        <w:rPr>
          <w:lang w:val="ru-RU"/>
        </w:rPr>
        <w:t>проектов</w:t>
      </w:r>
      <w:r w:rsidR="0011430F">
        <w:rPr>
          <w:lang w:val="ru-RU"/>
        </w:rPr>
        <w:t>, в том числе, государственного заказа</w:t>
      </w:r>
      <w:r>
        <w:rPr>
          <w:lang w:val="ru-RU"/>
        </w:rPr>
        <w:t>;</w:t>
      </w:r>
    </w:p>
    <w:p w:rsidR="00284E99" w:rsidRPr="00122F6D" w:rsidRDefault="00284E99" w:rsidP="00122F6D">
      <w:pPr>
        <w:pStyle w:val="Standard"/>
        <w:numPr>
          <w:ilvl w:val="0"/>
          <w:numId w:val="11"/>
        </w:numPr>
        <w:tabs>
          <w:tab w:val="left" w:pos="540"/>
        </w:tabs>
        <w:rPr>
          <w:lang w:val="ru-RU"/>
        </w:rPr>
      </w:pPr>
      <w:r>
        <w:rPr>
          <w:lang w:val="ru-RU"/>
        </w:rPr>
        <w:t>у</w:t>
      </w:r>
      <w:r w:rsidRPr="00122F6D">
        <w:rPr>
          <w:lang w:val="ru-RU"/>
        </w:rPr>
        <w:t>величение присутствия граждан и их объединений в решении социальных задач, информационной и финансовой поддержки общественных проектов.</w:t>
      </w:r>
    </w:p>
    <w:p w:rsidR="00284E99" w:rsidRPr="00122F6D" w:rsidRDefault="00284E99">
      <w:pPr>
        <w:pStyle w:val="Standard"/>
        <w:tabs>
          <w:tab w:val="left" w:pos="5850"/>
        </w:tabs>
        <w:jc w:val="both"/>
        <w:rPr>
          <w:lang w:val="ru-RU"/>
        </w:rPr>
      </w:pPr>
    </w:p>
    <w:p w:rsidR="00284E99" w:rsidRDefault="00284E99">
      <w:pPr>
        <w:pStyle w:val="Standard"/>
        <w:tabs>
          <w:tab w:val="left" w:pos="5850"/>
        </w:tabs>
        <w:jc w:val="both"/>
        <w:rPr>
          <w:lang w:val="ru-RU"/>
        </w:rPr>
      </w:pPr>
      <w:r>
        <w:rPr>
          <w:lang w:val="ru-RU"/>
        </w:rPr>
        <w:t>На результаты этих коренных преобразований наносят свой отпечаток несколько факторов: особенности сложившихся практик взаимодействия органов власти, специфика вовлеченных организаций и их повестка дня. Складывающиеся новые практики варьируются от более либеральных, ориентированных на рынок и снижающих роль государственных учреждений в традиционных сферах образования, здравоохранения и социальной защиты (как это происходит, например, в Перми) до более консервативных форм управления и сохранения статус-кво. Для понимания региональной специфики необходимо сделать экскурс в Европейский опыт, который, по сути, был скопирован для решения российских задач реформирования социальной сферы.</w:t>
      </w:r>
    </w:p>
    <w:p w:rsidR="00284E99" w:rsidRDefault="00284E99">
      <w:pPr>
        <w:pStyle w:val="Standard"/>
        <w:jc w:val="both"/>
        <w:rPr>
          <w:lang w:val="ru-RU"/>
        </w:rPr>
      </w:pPr>
    </w:p>
    <w:p w:rsidR="00284E99" w:rsidRDefault="00284E99">
      <w:pPr>
        <w:pStyle w:val="Standard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Европейский опыт с русским акцентом</w:t>
      </w:r>
    </w:p>
    <w:p w:rsidR="00284E99" w:rsidRDefault="00284E99">
      <w:pPr>
        <w:pStyle w:val="Standard"/>
        <w:jc w:val="both"/>
        <w:rPr>
          <w:lang w:val="ru-RU"/>
        </w:rPr>
      </w:pPr>
    </w:p>
    <w:p w:rsidR="00284E99" w:rsidRPr="00122F6D" w:rsidRDefault="00284E99">
      <w:pPr>
        <w:pStyle w:val="Standard"/>
        <w:tabs>
          <w:tab w:val="left" w:pos="5850"/>
        </w:tabs>
        <w:jc w:val="both"/>
        <w:rPr>
          <w:lang w:val="ru-RU"/>
        </w:rPr>
      </w:pPr>
      <w:r w:rsidRPr="00122F6D">
        <w:rPr>
          <w:lang w:val="ru-RU"/>
        </w:rPr>
        <w:t>Идея, реализуемая Министерством экономического развития</w:t>
      </w:r>
      <w:r>
        <w:rPr>
          <w:lang w:val="ru-RU"/>
        </w:rPr>
        <w:t xml:space="preserve"> на федеральном уровне</w:t>
      </w:r>
      <w:r w:rsidRPr="00122F6D">
        <w:rPr>
          <w:lang w:val="ru-RU"/>
        </w:rPr>
        <w:t>, вовсе не новая. Правительства европейских стран (самыми яркими примерами являются Великобритания и Германия) постепенно перекладывают некоторые социальные обязательства на плечи рынка и общественных институтов. Как показывают исследования,</w:t>
      </w:r>
      <w:r w:rsidRPr="00373929">
        <w:rPr>
          <w:rStyle w:val="ab"/>
        </w:rPr>
        <w:footnoteReference w:id="5"/>
      </w:r>
      <w:r w:rsidRPr="00122F6D">
        <w:rPr>
          <w:lang w:val="ru-RU"/>
        </w:rPr>
        <w:t xml:space="preserve"> </w:t>
      </w:r>
      <w:r w:rsidRPr="00122F6D">
        <w:rPr>
          <w:lang w:val="ru-RU"/>
        </w:rPr>
        <w:lastRenderedPageBreak/>
        <w:t xml:space="preserve">за последнее десятилетие, роль некоммерческих организаций в странах Европейского Союза </w:t>
      </w:r>
      <w:r>
        <w:rPr>
          <w:lang w:val="ru-RU"/>
        </w:rPr>
        <w:t xml:space="preserve">(ЕС) </w:t>
      </w:r>
      <w:r w:rsidRPr="00122F6D">
        <w:rPr>
          <w:lang w:val="ru-RU"/>
        </w:rPr>
        <w:t xml:space="preserve">значительно увеличилась. Об этом свидетельствуют официальные документы, принимаемые на уровне ЕС (например, </w:t>
      </w:r>
      <w:r>
        <w:rPr>
          <w:lang w:val="en-US"/>
        </w:rPr>
        <w:t>Discussion</w:t>
      </w:r>
      <w:r w:rsidRPr="00122F6D">
        <w:rPr>
          <w:lang w:val="ru-RU"/>
        </w:rPr>
        <w:t xml:space="preserve"> </w:t>
      </w:r>
      <w:r>
        <w:rPr>
          <w:lang w:val="en-US"/>
        </w:rPr>
        <w:t>Paper</w:t>
      </w:r>
      <w:r w:rsidRPr="00122F6D">
        <w:rPr>
          <w:lang w:val="ru-RU"/>
        </w:rPr>
        <w:t xml:space="preserve"> </w:t>
      </w:r>
      <w:r>
        <w:rPr>
          <w:lang w:val="en-US"/>
        </w:rPr>
        <w:t>of</w:t>
      </w:r>
      <w:r w:rsidRPr="00122F6D">
        <w:rPr>
          <w:lang w:val="ru-RU"/>
        </w:rPr>
        <w:t xml:space="preserve"> </w:t>
      </w:r>
      <w:r>
        <w:rPr>
          <w:lang w:val="en-US"/>
        </w:rPr>
        <w:t>the</w:t>
      </w:r>
      <w:r w:rsidRPr="00122F6D">
        <w:rPr>
          <w:lang w:val="ru-RU"/>
        </w:rPr>
        <w:t xml:space="preserve"> </w:t>
      </w:r>
      <w:r>
        <w:rPr>
          <w:lang w:val="en-US"/>
        </w:rPr>
        <w:t>European</w:t>
      </w:r>
      <w:r w:rsidRPr="00122F6D">
        <w:rPr>
          <w:lang w:val="ru-RU"/>
        </w:rPr>
        <w:t xml:space="preserve"> </w:t>
      </w:r>
      <w:r>
        <w:rPr>
          <w:lang w:val="en-US"/>
        </w:rPr>
        <w:t>Commission</w:t>
      </w:r>
      <w:r w:rsidRPr="00122F6D">
        <w:rPr>
          <w:lang w:val="ru-RU"/>
        </w:rPr>
        <w:t>, 2000). Анализ ситуации демонстрирует увлечение численности НКО в странах Европы. Среди главных причин этого роста исследователи выделяют приватизацию социальной сферы (университеты, поликлиники, муниципальные службы и т.д.). Переводя определенные социальные обязательства в сферу бизнеса и «третьего» сектора, правительства Германии, Франции и Великобритании увеличивают финансовую поддержку некоммерческих проектов.</w:t>
      </w:r>
    </w:p>
    <w:p w:rsidR="00284E99" w:rsidRPr="00122F6D" w:rsidRDefault="00284E99">
      <w:pPr>
        <w:pStyle w:val="Standard"/>
        <w:tabs>
          <w:tab w:val="left" w:pos="5850"/>
        </w:tabs>
        <w:jc w:val="both"/>
        <w:rPr>
          <w:lang w:val="ru-RU"/>
        </w:rPr>
      </w:pPr>
    </w:p>
    <w:p w:rsidR="00284E99" w:rsidRPr="00122F6D" w:rsidRDefault="00284E99">
      <w:pPr>
        <w:pStyle w:val="Standard"/>
        <w:tabs>
          <w:tab w:val="left" w:pos="5850"/>
        </w:tabs>
        <w:jc w:val="both"/>
        <w:rPr>
          <w:lang w:val="ru-RU"/>
        </w:rPr>
      </w:pPr>
      <w:r w:rsidRPr="00122F6D">
        <w:rPr>
          <w:lang w:val="ru-RU"/>
        </w:rPr>
        <w:t xml:space="preserve">Новые механизмы финансирования НКО потребовали от европейских чиновников упорядочения категорий </w:t>
      </w:r>
      <w:r>
        <w:rPr>
          <w:lang w:val="ru-RU"/>
        </w:rPr>
        <w:t>существующих организационно-правовых форм</w:t>
      </w:r>
      <w:r w:rsidRPr="00122F6D">
        <w:rPr>
          <w:lang w:val="ru-RU"/>
        </w:rPr>
        <w:t>. Так, Европейская Комиссия приняла следующее разделение некоммерческих организаций: социально ориентированные организации (</w:t>
      </w:r>
      <w:r>
        <w:rPr>
          <w:lang w:val="en-US"/>
        </w:rPr>
        <w:t>service</w:t>
      </w:r>
      <w:r w:rsidRPr="001A17C0">
        <w:rPr>
          <w:lang w:val="ru-RU"/>
        </w:rPr>
        <w:t xml:space="preserve"> </w:t>
      </w:r>
      <w:r>
        <w:rPr>
          <w:lang w:val="en-US"/>
        </w:rPr>
        <w:t>providing</w:t>
      </w:r>
      <w:r w:rsidRPr="00122F6D">
        <w:rPr>
          <w:lang w:val="ru-RU"/>
        </w:rPr>
        <w:t xml:space="preserve"> </w:t>
      </w:r>
      <w:r>
        <w:rPr>
          <w:lang w:val="en-US"/>
        </w:rPr>
        <w:t>NGOs</w:t>
      </w:r>
      <w:r w:rsidRPr="00122F6D">
        <w:rPr>
          <w:lang w:val="ru-RU"/>
        </w:rPr>
        <w:t>) способствуют обеспечению социального обслуживания; правозащитные и экологические НКО (</w:t>
      </w:r>
      <w:r>
        <w:rPr>
          <w:lang w:val="en-US"/>
        </w:rPr>
        <w:t>advocacy</w:t>
      </w:r>
      <w:r w:rsidRPr="00122F6D">
        <w:rPr>
          <w:lang w:val="ru-RU"/>
        </w:rPr>
        <w:t xml:space="preserve"> </w:t>
      </w:r>
      <w:r>
        <w:rPr>
          <w:lang w:val="en-US"/>
        </w:rPr>
        <w:t>NGOs</w:t>
      </w:r>
      <w:r w:rsidRPr="00122F6D">
        <w:rPr>
          <w:lang w:val="ru-RU"/>
        </w:rPr>
        <w:t>) призваны оказывать влияние на политику органов власти и общественное мнение (</w:t>
      </w:r>
      <w:r>
        <w:rPr>
          <w:lang w:val="en-US"/>
        </w:rPr>
        <w:t>Discussion</w:t>
      </w:r>
      <w:r w:rsidRPr="00122F6D">
        <w:rPr>
          <w:lang w:val="ru-RU"/>
        </w:rPr>
        <w:t xml:space="preserve"> </w:t>
      </w:r>
      <w:r>
        <w:rPr>
          <w:lang w:val="en-US"/>
        </w:rPr>
        <w:t>Paper</w:t>
      </w:r>
      <w:r w:rsidRPr="00122F6D">
        <w:rPr>
          <w:lang w:val="ru-RU"/>
        </w:rPr>
        <w:t xml:space="preserve"> </w:t>
      </w:r>
      <w:r>
        <w:rPr>
          <w:lang w:val="en-US"/>
        </w:rPr>
        <w:t>of</w:t>
      </w:r>
      <w:r w:rsidRPr="00122F6D">
        <w:rPr>
          <w:lang w:val="ru-RU"/>
        </w:rPr>
        <w:t xml:space="preserve"> </w:t>
      </w:r>
      <w:r>
        <w:rPr>
          <w:lang w:val="en-US"/>
        </w:rPr>
        <w:t>the</w:t>
      </w:r>
      <w:r w:rsidRPr="00122F6D">
        <w:rPr>
          <w:lang w:val="ru-RU"/>
        </w:rPr>
        <w:t xml:space="preserve"> </w:t>
      </w:r>
      <w:r>
        <w:rPr>
          <w:lang w:val="en-US"/>
        </w:rPr>
        <w:t>European</w:t>
      </w:r>
      <w:r w:rsidRPr="00122F6D">
        <w:rPr>
          <w:lang w:val="ru-RU"/>
        </w:rPr>
        <w:t xml:space="preserve"> </w:t>
      </w:r>
      <w:r>
        <w:rPr>
          <w:lang w:val="en-US"/>
        </w:rPr>
        <w:t>Commission</w:t>
      </w:r>
      <w:r w:rsidRPr="00122F6D">
        <w:rPr>
          <w:lang w:val="ru-RU"/>
        </w:rPr>
        <w:t xml:space="preserve">, 2000). Опыт европейских стран относительно определения понятия социально ориентированных НКО (организации общественного блага или </w:t>
      </w:r>
      <w:r>
        <w:rPr>
          <w:lang w:val="en-US"/>
        </w:rPr>
        <w:t>socially</w:t>
      </w:r>
      <w:r w:rsidRPr="00122F6D">
        <w:rPr>
          <w:lang w:val="ru-RU"/>
        </w:rPr>
        <w:t xml:space="preserve"> </w:t>
      </w:r>
      <w:r>
        <w:rPr>
          <w:lang w:val="en-US"/>
        </w:rPr>
        <w:t>beneficial</w:t>
      </w:r>
      <w:r w:rsidRPr="00122F6D">
        <w:rPr>
          <w:lang w:val="ru-RU"/>
        </w:rPr>
        <w:t xml:space="preserve"> </w:t>
      </w:r>
      <w:r>
        <w:rPr>
          <w:lang w:val="en-US"/>
        </w:rPr>
        <w:t>organizations</w:t>
      </w:r>
      <w:r w:rsidRPr="00122F6D">
        <w:rPr>
          <w:lang w:val="ru-RU"/>
        </w:rPr>
        <w:t>) чрезвычайно разнится. НП «Юристы за гражданское общество» провели обзор законодательства и показали, что нет единой практики в этой сфере. Главной целью правового регулирования категории социально полезных НКО является снижение налогообложения и возможность участвовать в конкурсах на финансирование общественно значимых проектов</w:t>
      </w:r>
      <w:r w:rsidRPr="00373929">
        <w:rPr>
          <w:rStyle w:val="ab"/>
        </w:rPr>
        <w:footnoteReference w:id="6"/>
      </w:r>
      <w:r w:rsidRPr="00122F6D">
        <w:rPr>
          <w:lang w:val="ru-RU"/>
        </w:rPr>
        <w:t xml:space="preserve">. В результате чего, некоммерческий сектор в Европе претерпевает существенные качественные изменения и становится более дифференцированным. </w:t>
      </w:r>
      <w:r>
        <w:rPr>
          <w:lang w:val="ru-RU"/>
        </w:rPr>
        <w:t>В частности</w:t>
      </w:r>
      <w:r w:rsidRPr="00122F6D">
        <w:rPr>
          <w:lang w:val="ru-RU"/>
        </w:rPr>
        <w:t xml:space="preserve">, одни организации становятся коммерческими, </w:t>
      </w:r>
      <w:r>
        <w:rPr>
          <w:lang w:val="ru-RU"/>
        </w:rPr>
        <w:t>производя социальные услуги</w:t>
      </w:r>
      <w:r w:rsidR="00C11E35">
        <w:rPr>
          <w:lang w:val="ru-RU"/>
        </w:rPr>
        <w:t>,</w:t>
      </w:r>
      <w:r>
        <w:rPr>
          <w:lang w:val="ru-RU"/>
        </w:rPr>
        <w:t xml:space="preserve"> и </w:t>
      </w:r>
      <w:r w:rsidR="00C11E35">
        <w:rPr>
          <w:lang w:val="ru-RU"/>
        </w:rPr>
        <w:t>становятся</w:t>
      </w:r>
      <w:r>
        <w:rPr>
          <w:lang w:val="ru-RU"/>
        </w:rPr>
        <w:t xml:space="preserve"> </w:t>
      </w:r>
      <w:r w:rsidR="00C11E35">
        <w:rPr>
          <w:lang w:val="ru-RU"/>
        </w:rPr>
        <w:t>с</w:t>
      </w:r>
      <w:r>
        <w:rPr>
          <w:lang w:val="ru-RU"/>
        </w:rPr>
        <w:t>оциальны</w:t>
      </w:r>
      <w:r w:rsidR="00C11E35">
        <w:rPr>
          <w:lang w:val="ru-RU"/>
        </w:rPr>
        <w:t>ми предпринимателями.</w:t>
      </w:r>
      <w:r>
        <w:rPr>
          <w:lang w:val="ru-RU"/>
        </w:rPr>
        <w:t xml:space="preserve"> Д</w:t>
      </w:r>
      <w:r w:rsidRPr="00122F6D">
        <w:rPr>
          <w:lang w:val="ru-RU"/>
        </w:rPr>
        <w:t xml:space="preserve">ругие – все больше напоминают полугосударственные бюрократические структуры </w:t>
      </w:r>
      <w:r>
        <w:rPr>
          <w:lang w:val="ru-RU"/>
        </w:rPr>
        <w:t>по характеру деятельности, финансированию и составу</w:t>
      </w:r>
      <w:r w:rsidRPr="00122F6D">
        <w:rPr>
          <w:lang w:val="ru-RU"/>
        </w:rPr>
        <w:t xml:space="preserve">. </w:t>
      </w:r>
      <w:r>
        <w:rPr>
          <w:lang w:val="ru-RU"/>
        </w:rPr>
        <w:t xml:space="preserve">Государство благосостояния, довольно развитое в странах континентальной Европы, </w:t>
      </w:r>
      <w:r w:rsidR="005F6F4A" w:rsidRPr="009E1108">
        <w:rPr>
          <w:lang w:val="ru-RU"/>
        </w:rPr>
        <w:t>финансир</w:t>
      </w:r>
      <w:r w:rsidR="009E1108" w:rsidRPr="009E1108">
        <w:rPr>
          <w:lang w:val="ru-RU"/>
        </w:rPr>
        <w:t xml:space="preserve">ует </w:t>
      </w:r>
      <w:r w:rsidR="005F6F4A" w:rsidRPr="009E1108">
        <w:rPr>
          <w:lang w:val="ru-RU"/>
        </w:rPr>
        <w:t>со</w:t>
      </w:r>
      <w:r w:rsidR="009E1108" w:rsidRPr="009E1108">
        <w:rPr>
          <w:lang w:val="ru-RU"/>
        </w:rPr>
        <w:t>циальные</w:t>
      </w:r>
      <w:r w:rsidR="005F6F4A" w:rsidRPr="009E1108">
        <w:rPr>
          <w:lang w:val="ru-RU"/>
        </w:rPr>
        <w:t xml:space="preserve"> проект</w:t>
      </w:r>
      <w:r w:rsidR="009E1108" w:rsidRPr="009E1108">
        <w:rPr>
          <w:lang w:val="ru-RU"/>
        </w:rPr>
        <w:t xml:space="preserve">ы, реализуемые </w:t>
      </w:r>
      <w:r w:rsidR="005F6F4A" w:rsidRPr="009E1108">
        <w:rPr>
          <w:lang w:val="ru-RU"/>
        </w:rPr>
        <w:t>негосударственными организациями</w:t>
      </w:r>
      <w:r w:rsidR="009E1108">
        <w:rPr>
          <w:lang w:val="ru-RU"/>
        </w:rPr>
        <w:t xml:space="preserve"> (как бизнесом, так и некоммерческим сектором)</w:t>
      </w:r>
      <w:r>
        <w:rPr>
          <w:lang w:val="ru-RU"/>
        </w:rPr>
        <w:t xml:space="preserve">. В частности, в Германии сложился целый пул организаций, </w:t>
      </w:r>
      <w:proofErr w:type="gramStart"/>
      <w:r>
        <w:rPr>
          <w:lang w:val="ru-RU"/>
        </w:rPr>
        <w:t>которые</w:t>
      </w:r>
      <w:proofErr w:type="gramEnd"/>
      <w:r>
        <w:rPr>
          <w:lang w:val="ru-RU"/>
        </w:rPr>
        <w:t xml:space="preserve"> по сути представляют собой продолжение системы социальной защиты, реализуя государственные программы за счет бюджета.</w:t>
      </w:r>
    </w:p>
    <w:p w:rsidR="00284E99" w:rsidRPr="00122F6D" w:rsidRDefault="00284E99">
      <w:pPr>
        <w:pStyle w:val="Standard"/>
        <w:jc w:val="both"/>
        <w:rPr>
          <w:shd w:val="clear" w:color="auto" w:fill="FFFF00"/>
          <w:lang w:val="ru-RU"/>
        </w:rPr>
      </w:pPr>
    </w:p>
    <w:p w:rsidR="00284E99" w:rsidRPr="00122F6D" w:rsidRDefault="00284E99">
      <w:pPr>
        <w:pStyle w:val="Standard"/>
        <w:tabs>
          <w:tab w:val="left" w:pos="5850"/>
        </w:tabs>
        <w:jc w:val="both"/>
        <w:rPr>
          <w:lang w:val="ru-RU"/>
        </w:rPr>
      </w:pPr>
      <w:r>
        <w:rPr>
          <w:lang w:val="ru-RU"/>
        </w:rPr>
        <w:t xml:space="preserve">Бюджетное финансирование НКО — это общепризнанная практика и на общеевропейском уровне. </w:t>
      </w:r>
      <w:r w:rsidRPr="00122F6D">
        <w:rPr>
          <w:lang w:val="ru-RU"/>
        </w:rPr>
        <w:t xml:space="preserve">Европейская Комиссия играет значительную роль в создании и финансовой поддержке общеевропейских ассоциаций некоммерческих организаций </w:t>
      </w:r>
      <w:r>
        <w:rPr>
          <w:lang w:val="ru-RU"/>
        </w:rPr>
        <w:t>(так называемые, зонтичные организации и ассоциации)</w:t>
      </w:r>
      <w:r w:rsidRPr="00122F6D">
        <w:rPr>
          <w:lang w:val="ru-RU"/>
        </w:rPr>
        <w:t>. Такие организации, как КОНКОРД (</w:t>
      </w:r>
      <w:r>
        <w:rPr>
          <w:lang w:val="en-US"/>
        </w:rPr>
        <w:t>CONCORD</w:t>
      </w:r>
      <w:r w:rsidRPr="00122F6D">
        <w:rPr>
          <w:lang w:val="ru-RU"/>
        </w:rPr>
        <w:t>) и Европейское Экологическое Бюро (</w:t>
      </w:r>
      <w:r>
        <w:rPr>
          <w:lang w:val="en-US"/>
        </w:rPr>
        <w:t>European</w:t>
      </w:r>
      <w:r w:rsidRPr="00122F6D">
        <w:rPr>
          <w:lang w:val="ru-RU"/>
        </w:rPr>
        <w:t xml:space="preserve"> </w:t>
      </w:r>
      <w:r>
        <w:rPr>
          <w:lang w:val="en-US"/>
        </w:rPr>
        <w:t>Environmental</w:t>
      </w:r>
      <w:r w:rsidRPr="00122F6D">
        <w:rPr>
          <w:lang w:val="ru-RU"/>
        </w:rPr>
        <w:t xml:space="preserve"> </w:t>
      </w:r>
      <w:r>
        <w:rPr>
          <w:lang w:val="en-US"/>
        </w:rPr>
        <w:t>Bureau</w:t>
      </w:r>
      <w:r w:rsidRPr="00122F6D">
        <w:rPr>
          <w:lang w:val="ru-RU"/>
        </w:rPr>
        <w:t xml:space="preserve">) изначально </w:t>
      </w:r>
      <w:r>
        <w:rPr>
          <w:lang w:val="ru-RU"/>
        </w:rPr>
        <w:t>на 100%</w:t>
      </w:r>
      <w:r w:rsidRPr="00122F6D">
        <w:rPr>
          <w:lang w:val="ru-RU"/>
        </w:rPr>
        <w:t xml:space="preserve"> </w:t>
      </w:r>
      <w:r>
        <w:rPr>
          <w:lang w:val="ru-RU"/>
        </w:rPr>
        <w:t xml:space="preserve">спонсировались </w:t>
      </w:r>
      <w:r w:rsidRPr="00122F6D">
        <w:rPr>
          <w:lang w:val="ru-RU"/>
        </w:rPr>
        <w:t>Еврокомиссией.</w:t>
      </w:r>
      <w:r w:rsidRPr="00373929">
        <w:rPr>
          <w:rStyle w:val="ab"/>
        </w:rPr>
        <w:footnoteReference w:id="7"/>
      </w:r>
      <w:r w:rsidRPr="00122F6D">
        <w:rPr>
          <w:lang w:val="ru-RU"/>
        </w:rPr>
        <w:t xml:space="preserve"> </w:t>
      </w:r>
      <w:r>
        <w:rPr>
          <w:lang w:val="ru-RU"/>
        </w:rPr>
        <w:t xml:space="preserve">Объем и порядок </w:t>
      </w:r>
      <w:r w:rsidRPr="00122F6D">
        <w:rPr>
          <w:lang w:val="ru-RU"/>
        </w:rPr>
        <w:t>финансировани</w:t>
      </w:r>
      <w:r>
        <w:rPr>
          <w:lang w:val="ru-RU"/>
        </w:rPr>
        <w:t>я варьируется</w:t>
      </w:r>
      <w:r w:rsidRPr="00122F6D">
        <w:rPr>
          <w:lang w:val="ru-RU"/>
        </w:rPr>
        <w:t xml:space="preserve"> в зависимости от целей и вовлеченных НКО. Так, системная поддержка, включающая административные расходы, рассчитана на долгосрочную перспективу (5-6 лет) </w:t>
      </w:r>
      <w:r>
        <w:rPr>
          <w:lang w:val="ru-RU"/>
        </w:rPr>
        <w:t xml:space="preserve">доступна таким организациям как </w:t>
      </w:r>
      <w:r w:rsidRPr="00122F6D">
        <w:rPr>
          <w:lang w:val="ru-RU"/>
        </w:rPr>
        <w:t>Европейский молодежный форум (</w:t>
      </w:r>
      <w:r>
        <w:rPr>
          <w:lang w:val="en-US"/>
        </w:rPr>
        <w:t>Youth</w:t>
      </w:r>
      <w:r w:rsidRPr="00122F6D">
        <w:rPr>
          <w:lang w:val="ru-RU"/>
        </w:rPr>
        <w:t xml:space="preserve"> </w:t>
      </w:r>
      <w:r>
        <w:rPr>
          <w:lang w:val="en-US"/>
        </w:rPr>
        <w:t>European</w:t>
      </w:r>
      <w:r w:rsidRPr="00122F6D">
        <w:rPr>
          <w:lang w:val="ru-RU"/>
        </w:rPr>
        <w:t xml:space="preserve"> </w:t>
      </w:r>
      <w:r>
        <w:rPr>
          <w:lang w:val="en-US"/>
        </w:rPr>
        <w:t>Forum</w:t>
      </w:r>
      <w:r w:rsidRPr="00122F6D">
        <w:rPr>
          <w:lang w:val="ru-RU"/>
        </w:rPr>
        <w:t xml:space="preserve">) и </w:t>
      </w:r>
      <w:r w:rsidRPr="00122F6D">
        <w:rPr>
          <w:lang w:val="ru-RU"/>
        </w:rPr>
        <w:lastRenderedPageBreak/>
        <w:t>Европейское лобби женщин (</w:t>
      </w:r>
      <w:r>
        <w:rPr>
          <w:lang w:val="en-US"/>
        </w:rPr>
        <w:t>European</w:t>
      </w:r>
      <w:r w:rsidRPr="00122F6D">
        <w:rPr>
          <w:lang w:val="ru-RU"/>
        </w:rPr>
        <w:t xml:space="preserve"> </w:t>
      </w:r>
      <w:r>
        <w:rPr>
          <w:lang w:val="en-US"/>
        </w:rPr>
        <w:t>Women</w:t>
      </w:r>
      <w:r w:rsidRPr="00122F6D">
        <w:rPr>
          <w:lang w:val="ru-RU"/>
        </w:rPr>
        <w:t>’</w:t>
      </w:r>
      <w:r>
        <w:rPr>
          <w:lang w:val="en-US"/>
        </w:rPr>
        <w:t>s</w:t>
      </w:r>
      <w:r w:rsidRPr="00122F6D">
        <w:rPr>
          <w:lang w:val="ru-RU"/>
        </w:rPr>
        <w:t xml:space="preserve"> </w:t>
      </w:r>
      <w:r>
        <w:rPr>
          <w:lang w:val="en-US"/>
        </w:rPr>
        <w:t>Lobby</w:t>
      </w:r>
      <w:r w:rsidRPr="00122F6D">
        <w:rPr>
          <w:lang w:val="ru-RU"/>
        </w:rPr>
        <w:t xml:space="preserve">), которые представляют организации практически из всех стран-членов Европейского союза. Финансирование деятельности организаций в определенной сфере и поддержка проектов касается в основном социально ориентированных НКО. Проектное финансирование в среднем рассчитано от одного до двух лет. </w:t>
      </w:r>
      <w:r>
        <w:rPr>
          <w:lang w:val="ru-RU"/>
        </w:rPr>
        <w:t>В целом, реализация социально значимых проектов руками «третьего» сектора является общеевропейским трендом и оправдана с точки зрения либерально окрашенной политики сокращения государственных расходов на социальные нужды. Ставка на негосударственные структуры в этих государствах делается с учетом способности НКО осуществлять предоставление социально-значимых услуг населению со значительно меньшими затратами (в отличие от государственных органов власти и учреждений)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м</w:t>
      </w:r>
      <w:proofErr w:type="gramEnd"/>
      <w:r>
        <w:rPr>
          <w:lang w:val="ru-RU"/>
        </w:rPr>
        <w:t>ногие исследователи подчеркивают инновационный характер деятельности некоммерческих организаций, которые способны создавать новые социальные технологии, адаптируемые впоследствии государством или экономическими агентами</w:t>
      </w:r>
      <w:r w:rsidR="00F44FA2">
        <w:rPr>
          <w:lang w:val="ru-RU"/>
        </w:rPr>
        <w:t>.</w:t>
      </w:r>
      <w:r w:rsidR="00F44FA2">
        <w:rPr>
          <w:rStyle w:val="ab"/>
          <w:lang w:val="ru-RU"/>
        </w:rPr>
        <w:footnoteReference w:id="8"/>
      </w:r>
      <w:r>
        <w:rPr>
          <w:lang w:val="ru-RU"/>
        </w:rPr>
        <w:t xml:space="preserve"> Именно в этом специалисты видят инновационный потенциал некоммерческого сектора в деле развития сферы социальных услуг: сокращение государственных издержек и внедрение новых технологий и подходов для реализации социальной политики.</w:t>
      </w:r>
    </w:p>
    <w:p w:rsidR="00284E99" w:rsidRDefault="00284E99">
      <w:pPr>
        <w:pStyle w:val="Standard"/>
        <w:tabs>
          <w:tab w:val="left" w:pos="5850"/>
        </w:tabs>
        <w:jc w:val="both"/>
        <w:rPr>
          <w:lang w:val="ru-RU"/>
        </w:rPr>
      </w:pPr>
    </w:p>
    <w:p w:rsidR="00284E99" w:rsidRPr="00122F6D" w:rsidRDefault="00284E99">
      <w:pPr>
        <w:pStyle w:val="Standard"/>
        <w:tabs>
          <w:tab w:val="left" w:pos="5850"/>
        </w:tabs>
        <w:jc w:val="both"/>
        <w:rPr>
          <w:lang w:val="ru-RU"/>
        </w:rPr>
      </w:pPr>
      <w:r>
        <w:rPr>
          <w:lang w:val="ru-RU"/>
        </w:rPr>
        <w:t>В</w:t>
      </w:r>
      <w:r w:rsidR="009E1108">
        <w:rPr>
          <w:lang w:val="ru-RU"/>
        </w:rPr>
        <w:t xml:space="preserve">се большее вовлечение НКО в систему производства социальных услуг </w:t>
      </w:r>
      <w:r>
        <w:rPr>
          <w:lang w:val="ru-RU"/>
        </w:rPr>
        <w:t>серьезно критикуются адептами теории гражданского общества, которые видят в долгосрочном сотрудничестве с государством потерю независимости и разрыв связей с интересами членов организации. Вместе с тем, исследователи признают, что качественные измен</w:t>
      </w:r>
      <w:r w:rsidR="009E1108">
        <w:rPr>
          <w:lang w:val="ru-RU"/>
        </w:rPr>
        <w:t>ения гражданского общества являю</w:t>
      </w:r>
      <w:r>
        <w:rPr>
          <w:lang w:val="ru-RU"/>
        </w:rPr>
        <w:t>тся общепризнанным фактом в силу объективных причин общест</w:t>
      </w:r>
      <w:r w:rsidR="009E1108">
        <w:rPr>
          <w:lang w:val="ru-RU"/>
        </w:rPr>
        <w:t>венного развития. Поэтому, осуществление деятельности НКО только усилиями в</w:t>
      </w:r>
      <w:r>
        <w:rPr>
          <w:lang w:val="ru-RU"/>
        </w:rPr>
        <w:t>олонтер</w:t>
      </w:r>
      <w:r w:rsidR="009E1108">
        <w:rPr>
          <w:lang w:val="ru-RU"/>
        </w:rPr>
        <w:t>о</w:t>
      </w:r>
      <w:r>
        <w:rPr>
          <w:lang w:val="ru-RU"/>
        </w:rPr>
        <w:t>в</w:t>
      </w:r>
      <w:r w:rsidR="009E1108">
        <w:rPr>
          <w:lang w:val="ru-RU"/>
        </w:rPr>
        <w:t xml:space="preserve"> в условиях несистематичной поддержке</w:t>
      </w:r>
      <w:r>
        <w:rPr>
          <w:lang w:val="ru-RU"/>
        </w:rPr>
        <w:t xml:space="preserve"> </w:t>
      </w:r>
      <w:r w:rsidR="009E1108">
        <w:rPr>
          <w:lang w:val="ru-RU"/>
        </w:rPr>
        <w:t>доноров</w:t>
      </w:r>
      <w:r>
        <w:rPr>
          <w:lang w:val="ru-RU"/>
        </w:rPr>
        <w:t xml:space="preserve">, берущие свое начало в </w:t>
      </w:r>
      <w:r>
        <w:rPr>
          <w:lang w:val="en-US"/>
        </w:rPr>
        <w:t>XIX</w:t>
      </w:r>
      <w:r w:rsidRPr="00536112">
        <w:rPr>
          <w:lang w:val="ru-RU"/>
        </w:rPr>
        <w:t xml:space="preserve"> </w:t>
      </w:r>
      <w:r>
        <w:rPr>
          <w:lang w:val="ru-RU"/>
        </w:rPr>
        <w:t>века, вряд ли возможно.</w:t>
      </w:r>
    </w:p>
    <w:p w:rsidR="00284E99" w:rsidRDefault="00284E99">
      <w:pPr>
        <w:pStyle w:val="Standard"/>
        <w:tabs>
          <w:tab w:val="left" w:pos="5850"/>
        </w:tabs>
        <w:jc w:val="both"/>
        <w:rPr>
          <w:lang w:val="ru-RU"/>
        </w:rPr>
      </w:pPr>
    </w:p>
    <w:p w:rsidR="00284E99" w:rsidRPr="00122F6D" w:rsidRDefault="00284E99">
      <w:pPr>
        <w:pStyle w:val="Standard"/>
        <w:tabs>
          <w:tab w:val="left" w:pos="5850"/>
        </w:tabs>
        <w:jc w:val="both"/>
        <w:rPr>
          <w:lang w:val="ru-RU"/>
        </w:rPr>
      </w:pPr>
      <w:r w:rsidRPr="00122F6D">
        <w:rPr>
          <w:lang w:val="ru-RU"/>
        </w:rPr>
        <w:t xml:space="preserve">Похожие </w:t>
      </w:r>
      <w:r>
        <w:rPr>
          <w:lang w:val="ru-RU"/>
        </w:rPr>
        <w:t>шаги по замещению государственных учреждений некоммерческими формами реализации социальной политики, переход на проектный менеджмент и открытие рынка социальных услуг для НКО и малого бизнеса имеет место в современной России. О</w:t>
      </w:r>
      <w:r w:rsidRPr="00122F6D">
        <w:rPr>
          <w:lang w:val="ru-RU"/>
        </w:rPr>
        <w:t xml:space="preserve">бзор европейских </w:t>
      </w:r>
      <w:r>
        <w:rPr>
          <w:lang w:val="ru-RU"/>
        </w:rPr>
        <w:t xml:space="preserve">практик </w:t>
      </w:r>
      <w:r w:rsidRPr="00122F6D">
        <w:rPr>
          <w:lang w:val="ru-RU"/>
        </w:rPr>
        <w:t xml:space="preserve">показывает, что </w:t>
      </w:r>
      <w:r>
        <w:rPr>
          <w:lang w:val="ru-RU"/>
        </w:rPr>
        <w:t>эти политические меры вполне соответствуют европейским реалиям, несмотря на многочисленные оговорки, касающиеся особенностей политического управления в современной России.</w:t>
      </w:r>
    </w:p>
    <w:p w:rsidR="00284E99" w:rsidRDefault="00284E99">
      <w:pPr>
        <w:pStyle w:val="Standard"/>
        <w:tabs>
          <w:tab w:val="left" w:pos="5850"/>
        </w:tabs>
        <w:jc w:val="both"/>
        <w:rPr>
          <w:lang w:val="ru-RU"/>
        </w:rPr>
      </w:pPr>
    </w:p>
    <w:p w:rsidR="00284E99" w:rsidRPr="00122F6D" w:rsidRDefault="00284E99">
      <w:pPr>
        <w:pStyle w:val="Standard"/>
        <w:tabs>
          <w:tab w:val="left" w:pos="5850"/>
        </w:tabs>
        <w:jc w:val="both"/>
        <w:rPr>
          <w:lang w:val="ru-RU"/>
        </w:rPr>
      </w:pPr>
      <w:r>
        <w:rPr>
          <w:lang w:val="ru-RU"/>
        </w:rPr>
        <w:t>Федеральный центр поощряет развитие нескольких направлений</w:t>
      </w:r>
      <w:r w:rsidRPr="00122F6D">
        <w:rPr>
          <w:lang w:val="ru-RU"/>
        </w:rPr>
        <w:t xml:space="preserve">, </w:t>
      </w:r>
      <w:r>
        <w:rPr>
          <w:lang w:val="ru-RU"/>
        </w:rPr>
        <w:t>которые стимулируют</w:t>
      </w:r>
      <w:r w:rsidRPr="00122F6D">
        <w:rPr>
          <w:lang w:val="ru-RU"/>
        </w:rPr>
        <w:t xml:space="preserve"> </w:t>
      </w:r>
      <w:r>
        <w:rPr>
          <w:lang w:val="ru-RU"/>
        </w:rPr>
        <w:t xml:space="preserve">увеличение </w:t>
      </w:r>
      <w:r w:rsidRPr="00122F6D">
        <w:rPr>
          <w:lang w:val="ru-RU"/>
        </w:rPr>
        <w:t>роли НКО в социальной сфере:</w:t>
      </w:r>
    </w:p>
    <w:p w:rsidR="00284E99" w:rsidRPr="00122F6D" w:rsidRDefault="00284E99">
      <w:pPr>
        <w:pStyle w:val="Standard"/>
        <w:tabs>
          <w:tab w:val="left" w:pos="5850"/>
        </w:tabs>
        <w:jc w:val="both"/>
        <w:rPr>
          <w:lang w:val="ru-RU"/>
        </w:rPr>
      </w:pPr>
    </w:p>
    <w:p w:rsidR="0051057D" w:rsidRDefault="00284E99" w:rsidP="00122F6D">
      <w:pPr>
        <w:pStyle w:val="a8"/>
        <w:numPr>
          <w:ilvl w:val="0"/>
          <w:numId w:val="12"/>
        </w:numPr>
        <w:tabs>
          <w:tab w:val="left" w:pos="1440"/>
        </w:tabs>
        <w:jc w:val="both"/>
        <w:rPr>
          <w:lang w:val="ru-RU"/>
        </w:rPr>
      </w:pPr>
      <w:proofErr w:type="gramStart"/>
      <w:r w:rsidRPr="0051057D">
        <w:rPr>
          <w:b/>
          <w:bCs/>
          <w:lang w:val="ru-RU"/>
        </w:rPr>
        <w:t>государственный заказ</w:t>
      </w:r>
      <w:r w:rsidRPr="0051057D">
        <w:rPr>
          <w:lang w:val="ru-RU"/>
        </w:rPr>
        <w:t xml:space="preserve"> как </w:t>
      </w:r>
      <w:r w:rsidR="0051057D" w:rsidRPr="0051057D">
        <w:rPr>
          <w:lang w:val="ru-RU"/>
        </w:rPr>
        <w:t xml:space="preserve">механизм аутсорсинга изначально ориентирован на </w:t>
      </w:r>
      <w:r w:rsidRPr="0051057D">
        <w:rPr>
          <w:lang w:val="ru-RU"/>
        </w:rPr>
        <w:t>передач</w:t>
      </w:r>
      <w:r w:rsidR="0051057D" w:rsidRPr="0051057D">
        <w:rPr>
          <w:lang w:val="ru-RU"/>
        </w:rPr>
        <w:t>у</w:t>
      </w:r>
      <w:r w:rsidRPr="0051057D">
        <w:rPr>
          <w:lang w:val="ru-RU"/>
        </w:rPr>
        <w:t xml:space="preserve"> част</w:t>
      </w:r>
      <w:r w:rsidR="0051057D" w:rsidRPr="0051057D">
        <w:rPr>
          <w:lang w:val="ru-RU"/>
        </w:rPr>
        <w:t>и</w:t>
      </w:r>
      <w:r w:rsidRPr="0051057D">
        <w:rPr>
          <w:lang w:val="ru-RU"/>
        </w:rPr>
        <w:t xml:space="preserve"> функций</w:t>
      </w:r>
      <w:r w:rsidR="0051057D" w:rsidRPr="0051057D">
        <w:rPr>
          <w:lang w:val="ru-RU"/>
        </w:rPr>
        <w:t xml:space="preserve"> (прежде всего</w:t>
      </w:r>
      <w:r w:rsidRPr="0051057D">
        <w:rPr>
          <w:lang w:val="ru-RU"/>
        </w:rPr>
        <w:t>, неспециализированных</w:t>
      </w:r>
      <w:r w:rsidR="0051057D" w:rsidRPr="0051057D">
        <w:rPr>
          <w:lang w:val="ru-RU"/>
        </w:rPr>
        <w:t xml:space="preserve">, </w:t>
      </w:r>
      <w:r w:rsidRPr="0051057D">
        <w:rPr>
          <w:lang w:val="ru-RU"/>
        </w:rPr>
        <w:t xml:space="preserve">таких как </w:t>
      </w:r>
      <w:proofErr w:type="spellStart"/>
      <w:r w:rsidRPr="0051057D">
        <w:rPr>
          <w:lang w:val="ru-RU"/>
        </w:rPr>
        <w:t>клининг</w:t>
      </w:r>
      <w:proofErr w:type="spellEnd"/>
      <w:r w:rsidRPr="0051057D">
        <w:rPr>
          <w:lang w:val="ru-RU"/>
        </w:rPr>
        <w:t>, бухгалтерский учет, транспорт</w:t>
      </w:r>
      <w:r w:rsidR="0051057D" w:rsidRPr="0051057D">
        <w:rPr>
          <w:lang w:val="ru-RU"/>
        </w:rPr>
        <w:t>)</w:t>
      </w:r>
      <w:r w:rsidRPr="0051057D">
        <w:rPr>
          <w:lang w:val="ru-RU"/>
        </w:rPr>
        <w:t xml:space="preserve"> негосу</w:t>
      </w:r>
      <w:r w:rsidR="0051057D" w:rsidRPr="0051057D">
        <w:rPr>
          <w:lang w:val="ru-RU"/>
        </w:rPr>
        <w:t>дарственным структурам</w:t>
      </w:r>
      <w:r w:rsidRPr="0051057D">
        <w:rPr>
          <w:lang w:val="ru-RU"/>
        </w:rPr>
        <w:t>;</w:t>
      </w:r>
      <w:r w:rsidR="0051057D" w:rsidRPr="0051057D">
        <w:rPr>
          <w:lang w:val="ru-RU"/>
        </w:rPr>
        <w:t xml:space="preserve"> помимо этого</w:t>
      </w:r>
      <w:r w:rsidR="0051057D">
        <w:rPr>
          <w:lang w:val="ru-RU"/>
        </w:rPr>
        <w:t>,</w:t>
      </w:r>
      <w:r w:rsidR="0051057D" w:rsidRPr="0051057D">
        <w:rPr>
          <w:lang w:val="ru-RU"/>
        </w:rPr>
        <w:t xml:space="preserve"> государственный заказ может быть использован для финансирования специфических услуг, которые не могут быть оказаны органами исполнительной власти</w:t>
      </w:r>
      <w:r w:rsidR="0051057D">
        <w:rPr>
          <w:lang w:val="ru-RU"/>
        </w:rPr>
        <w:t>;</w:t>
      </w:r>
      <w:proofErr w:type="gramEnd"/>
    </w:p>
    <w:p w:rsidR="00284E99" w:rsidRPr="0051057D" w:rsidRDefault="00284E99" w:rsidP="00122F6D">
      <w:pPr>
        <w:pStyle w:val="a8"/>
        <w:numPr>
          <w:ilvl w:val="0"/>
          <w:numId w:val="12"/>
        </w:numPr>
        <w:tabs>
          <w:tab w:val="left" w:pos="1440"/>
        </w:tabs>
        <w:jc w:val="both"/>
        <w:rPr>
          <w:lang w:val="ru-RU"/>
        </w:rPr>
      </w:pPr>
      <w:r w:rsidRPr="0051057D">
        <w:rPr>
          <w:b/>
          <w:bCs/>
          <w:lang w:val="ru-RU"/>
        </w:rPr>
        <w:t>реформа бюджетной сферы</w:t>
      </w:r>
      <w:r w:rsidRPr="0051057D">
        <w:rPr>
          <w:lang w:val="ru-RU"/>
        </w:rPr>
        <w:t>, в частности, изменение принципов управления и финансирования государственных и муниципальных учреждений и изменение их  нормативно правовых форм НКО: бюджетные, автономные и казенные учреждения;</w:t>
      </w:r>
    </w:p>
    <w:p w:rsidR="00284E99" w:rsidRPr="00122F6D" w:rsidRDefault="00284E99" w:rsidP="00122F6D">
      <w:pPr>
        <w:pStyle w:val="a8"/>
        <w:numPr>
          <w:ilvl w:val="0"/>
          <w:numId w:val="12"/>
        </w:numPr>
        <w:tabs>
          <w:tab w:val="left" w:pos="1440"/>
        </w:tabs>
        <w:jc w:val="both"/>
        <w:rPr>
          <w:lang w:val="ru-RU"/>
        </w:rPr>
      </w:pPr>
      <w:r w:rsidRPr="00122F6D">
        <w:rPr>
          <w:b/>
          <w:bCs/>
          <w:lang w:val="ru-RU"/>
        </w:rPr>
        <w:t>правительственные программы поддержки социально-ориентированных НКО</w:t>
      </w:r>
      <w:r w:rsidRPr="00122F6D">
        <w:rPr>
          <w:lang w:val="ru-RU"/>
        </w:rPr>
        <w:t xml:space="preserve"> </w:t>
      </w:r>
      <w:r>
        <w:rPr>
          <w:lang w:val="ru-RU"/>
        </w:rPr>
        <w:t>(реализуются Министерством экономического развития на федеральном уровне и большинстве регионов – субъектов Российской Федерации).</w:t>
      </w:r>
    </w:p>
    <w:p w:rsidR="00284E99" w:rsidRDefault="00284E99">
      <w:pPr>
        <w:pStyle w:val="Standard"/>
        <w:tabs>
          <w:tab w:val="left" w:pos="5850"/>
        </w:tabs>
        <w:jc w:val="both"/>
        <w:rPr>
          <w:lang w:val="ru-RU"/>
        </w:rPr>
      </w:pPr>
    </w:p>
    <w:p w:rsidR="00284E99" w:rsidRDefault="00284E99">
      <w:pPr>
        <w:pStyle w:val="Standard"/>
        <w:tabs>
          <w:tab w:val="left" w:pos="5850"/>
        </w:tabs>
        <w:jc w:val="both"/>
        <w:rPr>
          <w:lang w:val="ru-RU"/>
        </w:rPr>
      </w:pPr>
      <w:r>
        <w:rPr>
          <w:lang w:val="ru-RU"/>
        </w:rPr>
        <w:lastRenderedPageBreak/>
        <w:t>В Санкт-Петербурге в т</w:t>
      </w:r>
      <w:r w:rsidR="00576338">
        <w:rPr>
          <w:lang w:val="ru-RU"/>
        </w:rPr>
        <w:t xml:space="preserve">ой или иной степени проходят </w:t>
      </w:r>
      <w:r>
        <w:rPr>
          <w:lang w:val="ru-RU"/>
        </w:rPr>
        <w:t xml:space="preserve">конкурсы субсидий, а также </w:t>
      </w:r>
      <w:r w:rsidR="00576338">
        <w:rPr>
          <w:lang w:val="ru-RU"/>
        </w:rPr>
        <w:t xml:space="preserve">существуют </w:t>
      </w:r>
      <w:r>
        <w:rPr>
          <w:lang w:val="ru-RU"/>
        </w:rPr>
        <w:t xml:space="preserve">практики </w:t>
      </w:r>
      <w:r w:rsidR="00576338">
        <w:rPr>
          <w:lang w:val="ru-RU"/>
        </w:rPr>
        <w:t xml:space="preserve">целевого </w:t>
      </w:r>
      <w:r>
        <w:rPr>
          <w:lang w:val="ru-RU"/>
        </w:rPr>
        <w:t>финансирования организаций из регионального бюджета. Подробный анализ этих практик и позволит описать особенности реализации новой политики в социальной сфере на примере Санкт-Петербурга.</w:t>
      </w:r>
    </w:p>
    <w:p w:rsidR="00097C9B" w:rsidRDefault="00097C9B">
      <w:pPr>
        <w:pStyle w:val="Standard"/>
        <w:rPr>
          <w:b/>
          <w:bCs/>
          <w:lang w:val="ru-RU"/>
        </w:rPr>
      </w:pPr>
    </w:p>
    <w:p w:rsidR="00284E99" w:rsidRDefault="00284E99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Социальные услуги - в «третьи» руки: особенности конкурсных процедур финансирования проектов НКО</w:t>
      </w:r>
    </w:p>
    <w:p w:rsidR="00284E99" w:rsidRDefault="00284E99">
      <w:pPr>
        <w:pStyle w:val="Standard"/>
        <w:rPr>
          <w:lang w:val="ru-RU"/>
        </w:rPr>
      </w:pPr>
    </w:p>
    <w:p w:rsidR="00284E99" w:rsidRDefault="00284E99">
      <w:pPr>
        <w:pStyle w:val="Standard"/>
        <w:jc w:val="both"/>
        <w:rPr>
          <w:lang w:val="ru-RU"/>
        </w:rPr>
      </w:pPr>
      <w:r>
        <w:rPr>
          <w:lang w:val="ru-RU"/>
        </w:rPr>
        <w:t xml:space="preserve">Для того чтобы составить общее представление об объемах финансирования </w:t>
      </w:r>
      <w:r w:rsidR="00097C9B">
        <w:rPr>
          <w:lang w:val="ru-RU"/>
        </w:rPr>
        <w:t xml:space="preserve">организаций «третьего» сектора </w:t>
      </w:r>
      <w:r>
        <w:rPr>
          <w:lang w:val="ru-RU"/>
        </w:rPr>
        <w:t>стоит привести общие данные о выделяемых средствах и количестве их получателей, основываясь на анализе реестра социально ориентированных НКО:</w:t>
      </w:r>
    </w:p>
    <w:p w:rsidR="009717A9" w:rsidRDefault="009717A9">
      <w:pPr>
        <w:pStyle w:val="Standard"/>
        <w:jc w:val="both"/>
        <w:rPr>
          <w:lang w:val="ru-RU"/>
        </w:rPr>
      </w:pPr>
    </w:p>
    <w:p w:rsidR="009717A9" w:rsidRDefault="009717A9">
      <w:pPr>
        <w:pStyle w:val="Standard"/>
        <w:jc w:val="both"/>
        <w:rPr>
          <w:lang w:val="ru-RU"/>
        </w:rPr>
      </w:pPr>
      <w:r>
        <w:rPr>
          <w:lang w:val="ru-RU"/>
        </w:rPr>
        <w:t>Таблица 1. Виды финансовой поддержки НКО в 2011 и 2012 годах</w:t>
      </w:r>
      <w:r w:rsidR="008806DF">
        <w:rPr>
          <w:lang w:val="ru-RU"/>
        </w:rPr>
        <w:t xml:space="preserve"> (данные реестра)</w:t>
      </w:r>
    </w:p>
    <w:p w:rsidR="00284E99" w:rsidRDefault="00284E99">
      <w:pPr>
        <w:pStyle w:val="Standard"/>
        <w:jc w:val="both"/>
        <w:rPr>
          <w:lang w:val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696"/>
        <w:gridCol w:w="2977"/>
        <w:gridCol w:w="2964"/>
      </w:tblGrid>
      <w:tr w:rsidR="00284E99" w:rsidTr="00DE651F"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99" w:rsidRDefault="001C1877" w:rsidP="001C1877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Вид финансовой</w:t>
            </w:r>
            <w:r w:rsidR="00284E99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поддержки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99" w:rsidRPr="00203991" w:rsidRDefault="00284E99" w:rsidP="00DE651F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2011</w:t>
            </w:r>
            <w:r w:rsidR="00203991">
              <w:rPr>
                <w:b/>
                <w:bCs/>
                <w:lang w:val="ru-RU"/>
              </w:rPr>
              <w:t xml:space="preserve"> (тыс. рублей)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99" w:rsidRPr="00DE651F" w:rsidRDefault="00284E99" w:rsidP="00DE651F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2012</w:t>
            </w:r>
            <w:r w:rsidR="00DE651F">
              <w:rPr>
                <w:b/>
                <w:bCs/>
              </w:rPr>
              <w:t xml:space="preserve"> (</w:t>
            </w:r>
            <w:r w:rsidR="00DE651F">
              <w:rPr>
                <w:b/>
                <w:bCs/>
                <w:lang w:val="ru-RU"/>
              </w:rPr>
              <w:t>тыс. рублей)</w:t>
            </w:r>
          </w:p>
        </w:tc>
      </w:tr>
      <w:tr w:rsidR="00284E99" w:rsidTr="00DE651F">
        <w:tc>
          <w:tcPr>
            <w:tcW w:w="3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99" w:rsidRDefault="00284E99" w:rsidP="00717B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Общая сумма субсидий</w:t>
            </w:r>
            <w:r w:rsidR="00717B5E" w:rsidRPr="00717B5E">
              <w:rPr>
                <w:lang w:val="ru-RU"/>
              </w:rPr>
              <w:t xml:space="preserve"> </w:t>
            </w:r>
            <w:r w:rsidR="00717B5E">
              <w:rPr>
                <w:lang w:val="ru-RU"/>
              </w:rPr>
              <w:t>из бюджета Санкт-Петербурга на реализацию и/или компенсацию расходов на социально значимые проекты</w:t>
            </w:r>
            <w:r w:rsidR="00023AA9">
              <w:rPr>
                <w:lang w:val="ru-RU"/>
              </w:rPr>
              <w:t>, программы и мероприятия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99" w:rsidRPr="009C75E7" w:rsidRDefault="00284E99" w:rsidP="00465EF2">
            <w:pPr>
              <w:pStyle w:val="TableContents"/>
              <w:jc w:val="center"/>
              <w:rPr>
                <w:lang w:val="ru-RU"/>
              </w:rPr>
            </w:pPr>
            <w:r>
              <w:t>8</w:t>
            </w:r>
            <w:r w:rsidR="00465EF2">
              <w:t>42</w:t>
            </w:r>
            <w:r>
              <w:t xml:space="preserve"> 2</w:t>
            </w:r>
            <w:r w:rsidR="00465EF2">
              <w:t>38</w:t>
            </w:r>
            <w:r w:rsidR="009C75E7">
              <w:rPr>
                <w:lang w:val="ru-RU"/>
              </w:rPr>
              <w:t xml:space="preserve"> </w:t>
            </w:r>
            <w:r w:rsidR="001C1877">
              <w:rPr>
                <w:lang w:val="ru-RU"/>
              </w:rPr>
              <w:t xml:space="preserve">тыс. </w:t>
            </w:r>
            <w:r w:rsidR="009C75E7">
              <w:rPr>
                <w:lang w:val="ru-RU"/>
              </w:rPr>
              <w:t>рублей</w:t>
            </w:r>
          </w:p>
        </w:tc>
        <w:tc>
          <w:tcPr>
            <w:tcW w:w="2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99" w:rsidRPr="009C75E7" w:rsidRDefault="009C75E7" w:rsidP="002039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478 400 </w:t>
            </w:r>
            <w:r w:rsidR="001C1877">
              <w:rPr>
                <w:lang w:val="ru-RU"/>
              </w:rPr>
              <w:t xml:space="preserve">тыс. </w:t>
            </w:r>
            <w:r>
              <w:rPr>
                <w:lang w:val="ru-RU"/>
              </w:rPr>
              <w:t>рублей</w:t>
            </w:r>
          </w:p>
        </w:tc>
      </w:tr>
      <w:tr w:rsidR="00284E99" w:rsidTr="00DE651F">
        <w:tc>
          <w:tcPr>
            <w:tcW w:w="3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99" w:rsidRDefault="00284E9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Общая сумма субсидий на компенсацию </w:t>
            </w:r>
            <w:r w:rsidR="00B779B0">
              <w:rPr>
                <w:lang w:val="ru-RU"/>
              </w:rPr>
              <w:t xml:space="preserve">затрат на </w:t>
            </w:r>
            <w:r>
              <w:rPr>
                <w:lang w:val="ru-RU"/>
              </w:rPr>
              <w:t>коммунальны</w:t>
            </w:r>
            <w:r w:rsidR="00B779B0">
              <w:rPr>
                <w:lang w:val="ru-RU"/>
              </w:rPr>
              <w:t>е услуги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99" w:rsidRPr="009C75E7" w:rsidRDefault="009C75E7" w:rsidP="00203991">
            <w:pPr>
              <w:pStyle w:val="TableContents"/>
              <w:jc w:val="center"/>
              <w:rPr>
                <w:lang w:val="ru-RU"/>
              </w:rPr>
            </w:pPr>
            <w:r>
              <w:t>2 605</w:t>
            </w:r>
            <w:r>
              <w:rPr>
                <w:lang w:val="ru-RU"/>
              </w:rPr>
              <w:t xml:space="preserve"> </w:t>
            </w:r>
            <w:r w:rsidR="001C1877">
              <w:rPr>
                <w:lang w:val="ru-RU"/>
              </w:rPr>
              <w:t xml:space="preserve">тыс. </w:t>
            </w:r>
            <w:r>
              <w:rPr>
                <w:lang w:val="ru-RU"/>
              </w:rPr>
              <w:t>рублей</w:t>
            </w:r>
          </w:p>
        </w:tc>
        <w:tc>
          <w:tcPr>
            <w:tcW w:w="2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99" w:rsidRPr="009C75E7" w:rsidRDefault="009C75E7" w:rsidP="00203991">
            <w:pPr>
              <w:pStyle w:val="TableContents"/>
              <w:jc w:val="center"/>
              <w:rPr>
                <w:lang w:val="ru-RU"/>
              </w:rPr>
            </w:pPr>
            <w:r>
              <w:t>2 083</w:t>
            </w:r>
            <w:r>
              <w:rPr>
                <w:lang w:val="ru-RU"/>
              </w:rPr>
              <w:t xml:space="preserve"> </w:t>
            </w:r>
            <w:r w:rsidR="001C1877">
              <w:rPr>
                <w:lang w:val="ru-RU"/>
              </w:rPr>
              <w:t>тыс.</w:t>
            </w:r>
            <w:r>
              <w:rPr>
                <w:lang w:val="ru-RU"/>
              </w:rPr>
              <w:t>рублей</w:t>
            </w:r>
          </w:p>
          <w:p w:rsidR="00284E99" w:rsidRDefault="00284E99" w:rsidP="00203991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284E99" w:rsidTr="00411F68">
        <w:tc>
          <w:tcPr>
            <w:tcW w:w="3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C9B" w:rsidRPr="009C75E7" w:rsidRDefault="00284E99" w:rsidP="00097C9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Субсидии</w:t>
            </w:r>
            <w:r w:rsidR="005F6F4A" w:rsidRPr="005F6F4A">
              <w:rPr>
                <w:lang w:val="ru-RU"/>
              </w:rPr>
              <w:t xml:space="preserve"> на поддержку социально ориентированных некоммерческих организаций за счет средств, поступающих в бюджет Санкт-Петербурга из федерального бюджета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99" w:rsidRDefault="00284E99" w:rsidP="002039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5AD" w:rsidRDefault="009C75E7" w:rsidP="001C18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  <w:r w:rsidR="001C1877">
              <w:rPr>
                <w:lang w:val="ru-RU"/>
              </w:rPr>
              <w:t> </w:t>
            </w:r>
            <w:r>
              <w:rPr>
                <w:lang w:val="ru-RU"/>
              </w:rPr>
              <w:t>868</w:t>
            </w:r>
            <w:r w:rsidR="001C1877">
              <w:rPr>
                <w:lang w:val="ru-RU"/>
              </w:rPr>
              <w:t xml:space="preserve"> тыс. рублей</w:t>
            </w:r>
            <w:r w:rsidR="00411F68">
              <w:rPr>
                <w:rStyle w:val="ab"/>
                <w:lang w:val="ru-RU"/>
              </w:rPr>
              <w:footnoteReference w:id="9"/>
            </w:r>
            <w:r>
              <w:rPr>
                <w:lang w:val="ru-RU"/>
              </w:rPr>
              <w:t xml:space="preserve"> </w:t>
            </w:r>
          </w:p>
        </w:tc>
      </w:tr>
      <w:tr w:rsidR="007845AD" w:rsidTr="00DE651F">
        <w:tc>
          <w:tcPr>
            <w:tcW w:w="3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5AD" w:rsidRDefault="007845AD" w:rsidP="00A34B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Общая сумма целевых субсидий из бюджета Санкт-Петербурга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5AD" w:rsidRPr="009C75E7" w:rsidRDefault="00023AA9" w:rsidP="009C75E7">
            <w:pPr>
              <w:pStyle w:val="TableContents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10</w:t>
            </w:r>
            <w:r w:rsidR="007845AD">
              <w:t xml:space="preserve"> 3</w:t>
            </w:r>
            <w:proofErr w:type="spellStart"/>
            <w:r w:rsidR="009C75E7">
              <w:rPr>
                <w:lang w:val="ru-RU"/>
              </w:rPr>
              <w:t>3</w:t>
            </w:r>
            <w:proofErr w:type="spellEnd"/>
            <w:r w:rsidR="009C75E7">
              <w:rPr>
                <w:lang w:val="ru-RU"/>
              </w:rPr>
              <w:t xml:space="preserve"> </w:t>
            </w:r>
            <w:r w:rsidR="001C1877">
              <w:rPr>
                <w:lang w:val="ru-RU"/>
              </w:rPr>
              <w:t xml:space="preserve">тыс. </w:t>
            </w:r>
            <w:r w:rsidR="009C75E7">
              <w:rPr>
                <w:lang w:val="ru-RU"/>
              </w:rPr>
              <w:t>рублей</w:t>
            </w:r>
          </w:p>
        </w:tc>
        <w:tc>
          <w:tcPr>
            <w:tcW w:w="2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5AD" w:rsidRPr="009C75E7" w:rsidRDefault="009C75E7" w:rsidP="009C75E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185 231 </w:t>
            </w:r>
            <w:r w:rsidR="001C1877">
              <w:rPr>
                <w:lang w:val="ru-RU"/>
              </w:rPr>
              <w:t xml:space="preserve">тыс. </w:t>
            </w:r>
            <w:r>
              <w:rPr>
                <w:lang w:val="ru-RU"/>
              </w:rPr>
              <w:t>рублей</w:t>
            </w:r>
          </w:p>
        </w:tc>
      </w:tr>
      <w:tr w:rsidR="007845AD" w:rsidTr="00DE651F">
        <w:tc>
          <w:tcPr>
            <w:tcW w:w="3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5AD" w:rsidRDefault="009C75E7" w:rsidP="009C75E7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Общая сумма: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5AD" w:rsidRPr="00023AA9" w:rsidRDefault="00023AA9" w:rsidP="00023AA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 xml:space="preserve">1 </w:t>
            </w:r>
            <w:r>
              <w:rPr>
                <w:b/>
                <w:bCs/>
                <w:lang w:val="ru-RU"/>
              </w:rPr>
              <w:t>155</w:t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  <w:lang w:val="ru-RU"/>
              </w:rPr>
              <w:t>17</w:t>
            </w:r>
            <w:r w:rsidR="007845AD">
              <w:rPr>
                <w:b/>
                <w:bCs/>
              </w:rPr>
              <w:t>5</w:t>
            </w:r>
            <w:r w:rsidR="009C75E7">
              <w:rPr>
                <w:b/>
                <w:bCs/>
                <w:lang w:val="ru-RU"/>
              </w:rPr>
              <w:t xml:space="preserve"> </w:t>
            </w:r>
            <w:r w:rsidR="001C1877">
              <w:rPr>
                <w:lang w:val="ru-RU"/>
              </w:rPr>
              <w:t xml:space="preserve">тыс. </w:t>
            </w:r>
            <w:r w:rsidR="009C75E7">
              <w:rPr>
                <w:lang w:val="ru-RU"/>
              </w:rPr>
              <w:t>рублей</w:t>
            </w:r>
          </w:p>
        </w:tc>
        <w:tc>
          <w:tcPr>
            <w:tcW w:w="2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5AD" w:rsidRPr="009C75E7" w:rsidRDefault="009C75E7" w:rsidP="009C75E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 xml:space="preserve">702 </w:t>
            </w:r>
            <w:r>
              <w:rPr>
                <w:b/>
                <w:bCs/>
                <w:lang w:val="ru-RU"/>
              </w:rPr>
              <w:t xml:space="preserve">583 </w:t>
            </w:r>
            <w:r w:rsidR="001C1877">
              <w:rPr>
                <w:lang w:val="ru-RU"/>
              </w:rPr>
              <w:t xml:space="preserve">тыс. </w:t>
            </w:r>
            <w:r>
              <w:rPr>
                <w:lang w:val="ru-RU"/>
              </w:rPr>
              <w:t>рублей</w:t>
            </w:r>
          </w:p>
        </w:tc>
      </w:tr>
    </w:tbl>
    <w:p w:rsidR="00284E99" w:rsidRDefault="00284E99">
      <w:pPr>
        <w:pStyle w:val="Standard"/>
      </w:pPr>
    </w:p>
    <w:p w:rsidR="00F1197D" w:rsidRDefault="004217EC" w:rsidP="00DE651F">
      <w:pPr>
        <w:pStyle w:val="Standard"/>
        <w:jc w:val="both"/>
        <w:rPr>
          <w:lang w:val="ru-RU"/>
        </w:rPr>
      </w:pPr>
      <w:r>
        <w:rPr>
          <w:lang w:val="ru-RU"/>
        </w:rPr>
        <w:t>С</w:t>
      </w:r>
      <w:r w:rsidR="00C86D11">
        <w:rPr>
          <w:lang w:val="ru-RU"/>
        </w:rPr>
        <w:t>разу сле</w:t>
      </w:r>
      <w:r>
        <w:rPr>
          <w:lang w:val="ru-RU"/>
        </w:rPr>
        <w:t xml:space="preserve">дует оговориться, что полученные данные не соответствуют статистике, приведенной в </w:t>
      </w:r>
      <w:r w:rsidR="00DE651F">
        <w:rPr>
          <w:lang w:val="ru-RU"/>
        </w:rPr>
        <w:t xml:space="preserve">программе поддержки </w:t>
      </w:r>
      <w:r>
        <w:rPr>
          <w:lang w:val="ru-RU"/>
        </w:rPr>
        <w:t>СО НКО, котора</w:t>
      </w:r>
      <w:r w:rsidR="007845AD">
        <w:rPr>
          <w:lang w:val="ru-RU"/>
        </w:rPr>
        <w:t xml:space="preserve">я была принята в мае 2013 года </w:t>
      </w:r>
      <w:r>
        <w:rPr>
          <w:lang w:val="ru-RU"/>
        </w:rPr>
        <w:t>еще до создания реестра и в подготовке которой, очевидно, были использов</w:t>
      </w:r>
      <w:r w:rsidR="007845AD">
        <w:rPr>
          <w:lang w:val="ru-RU"/>
        </w:rPr>
        <w:t>аны другие источники информации</w:t>
      </w:r>
      <w:r>
        <w:rPr>
          <w:lang w:val="ru-RU"/>
        </w:rPr>
        <w:t xml:space="preserve">. Так, в программе </w:t>
      </w:r>
      <w:r w:rsidR="00DE651F">
        <w:rPr>
          <w:lang w:val="ru-RU"/>
        </w:rPr>
        <w:t>указано, что в 2011 году общий объем субсидий составил 1 311 726 рублей, из которых львиная доля — 87% от всей суммы (в абсолютных цифрах это составляет 1 148 743 рублей) была выделена целевым образом (вне конкурса) и только 162</w:t>
      </w:r>
      <w:r w:rsidR="004644DB">
        <w:rPr>
          <w:lang w:val="ru-RU"/>
        </w:rPr>
        <w:t> </w:t>
      </w:r>
      <w:r w:rsidR="00DE651F">
        <w:rPr>
          <w:lang w:val="ru-RU"/>
        </w:rPr>
        <w:t>938 рублей были распределены по конкурсу. В 2012 году эта</w:t>
      </w:r>
      <w:r w:rsidR="004644DB">
        <w:rPr>
          <w:lang w:val="ru-RU"/>
        </w:rPr>
        <w:t xml:space="preserve"> тенденция сохранилась и из 856 </w:t>
      </w:r>
      <w:r w:rsidR="00BD2412">
        <w:rPr>
          <w:lang w:val="ru-RU"/>
        </w:rPr>
        <w:t>093</w:t>
      </w:r>
      <w:r w:rsidR="00DE651F">
        <w:rPr>
          <w:lang w:val="ru-RU"/>
        </w:rPr>
        <w:t xml:space="preserve"> рублей 71,8% (615 151,9 рублей) было выделено по целевым статьям, а </w:t>
      </w:r>
      <w:r w:rsidR="00BD2412">
        <w:rPr>
          <w:lang w:val="ru-RU"/>
        </w:rPr>
        <w:t>оставшиеся средства — 240 941</w:t>
      </w:r>
      <w:r w:rsidR="00DE651F">
        <w:rPr>
          <w:lang w:val="ru-RU"/>
        </w:rPr>
        <w:t xml:space="preserve"> рублей были распре</w:t>
      </w:r>
      <w:r w:rsidR="007845AD">
        <w:rPr>
          <w:lang w:val="ru-RU"/>
        </w:rPr>
        <w:t xml:space="preserve">делены по результатам конкурса. </w:t>
      </w:r>
      <w:r w:rsidR="00F1197D">
        <w:rPr>
          <w:lang w:val="ru-RU"/>
        </w:rPr>
        <w:t>Однако, как видно из данных реестра, по результатам конкурса было распределено значительно больше средств, чем указано в программе. В то же время, очевидно, что не все целевые бюджетные средства учтены в реестре. Поэтому, задача систематичного сбора и обобщения данных о финансировании некоммерческого сектора все еще стоит перед профильными комитетами.</w:t>
      </w:r>
    </w:p>
    <w:p w:rsidR="0044272A" w:rsidRDefault="0044272A" w:rsidP="00DE651F">
      <w:pPr>
        <w:pStyle w:val="Standard"/>
        <w:jc w:val="both"/>
        <w:rPr>
          <w:lang w:val="ru-RU"/>
        </w:rPr>
      </w:pPr>
    </w:p>
    <w:p w:rsidR="00284E99" w:rsidRDefault="00C86D11">
      <w:pPr>
        <w:pStyle w:val="Standard"/>
        <w:jc w:val="both"/>
        <w:rPr>
          <w:lang w:val="ru-RU"/>
        </w:rPr>
      </w:pPr>
      <w:r>
        <w:rPr>
          <w:lang w:val="ru-RU"/>
        </w:rPr>
        <w:t>Как видно</w:t>
      </w:r>
      <w:r w:rsidR="009717A9">
        <w:rPr>
          <w:lang w:val="ru-RU"/>
        </w:rPr>
        <w:t xml:space="preserve"> из приведенной таблицы 1</w:t>
      </w:r>
      <w:r>
        <w:rPr>
          <w:lang w:val="ru-RU"/>
        </w:rPr>
        <w:t>, структура выделяемых бюджетных средств выглядит следующим образом: (1) конкурсы субсидии комитетов администрации Санкт-Петербурга</w:t>
      </w:r>
      <w:r w:rsidRPr="00752285">
        <w:rPr>
          <w:lang w:val="ru-RU"/>
        </w:rPr>
        <w:t xml:space="preserve">, (2) субсидии на компенсацию затрат на коммунальные услуги, (3) </w:t>
      </w:r>
      <w:r w:rsidR="00752285" w:rsidRPr="00752285">
        <w:rPr>
          <w:lang w:val="ru-RU"/>
        </w:rPr>
        <w:t>субсидии на поддержку СО НКО за счет средств, поступающих в бюджет Санкт-Петербурга из федерального бюджета</w:t>
      </w:r>
      <w:r>
        <w:rPr>
          <w:lang w:val="ru-RU"/>
        </w:rPr>
        <w:t>, (4)</w:t>
      </w:r>
      <w:r w:rsidRPr="007845AD">
        <w:rPr>
          <w:lang w:val="ru-RU"/>
        </w:rPr>
        <w:t xml:space="preserve"> </w:t>
      </w:r>
      <w:r>
        <w:rPr>
          <w:lang w:val="ru-RU"/>
        </w:rPr>
        <w:t xml:space="preserve">целевые субсидии из бюджета Санкт-Петербурга. </w:t>
      </w:r>
      <w:r w:rsidR="00D0547C">
        <w:rPr>
          <w:lang w:val="ru-RU"/>
        </w:rPr>
        <w:t>П</w:t>
      </w:r>
      <w:r w:rsidR="00284E99">
        <w:rPr>
          <w:lang w:val="ru-RU"/>
        </w:rPr>
        <w:t>ервы</w:t>
      </w:r>
      <w:r w:rsidR="00D0547C">
        <w:rPr>
          <w:lang w:val="ru-RU"/>
        </w:rPr>
        <w:t>е</w:t>
      </w:r>
      <w:r w:rsidR="00284E99">
        <w:rPr>
          <w:lang w:val="ru-RU"/>
        </w:rPr>
        <w:t xml:space="preserve"> тр</w:t>
      </w:r>
      <w:r w:rsidR="00D0547C">
        <w:rPr>
          <w:lang w:val="ru-RU"/>
        </w:rPr>
        <w:t>и</w:t>
      </w:r>
      <w:r w:rsidR="00284E99">
        <w:rPr>
          <w:lang w:val="ru-RU"/>
        </w:rPr>
        <w:t xml:space="preserve"> </w:t>
      </w:r>
      <w:r w:rsidR="00D0547C">
        <w:rPr>
          <w:lang w:val="ru-RU"/>
        </w:rPr>
        <w:t xml:space="preserve">вида государственной поддержки </w:t>
      </w:r>
      <w:r w:rsidR="008C5CAA">
        <w:rPr>
          <w:lang w:val="ru-RU"/>
        </w:rPr>
        <w:t xml:space="preserve">существуют давно, в отличие от </w:t>
      </w:r>
      <w:r w:rsidR="00E32A43" w:rsidRPr="000243FB">
        <w:rPr>
          <w:lang w:val="ru-RU"/>
        </w:rPr>
        <w:t>программ</w:t>
      </w:r>
      <w:r w:rsidR="008C5CAA">
        <w:rPr>
          <w:lang w:val="ru-RU"/>
        </w:rPr>
        <w:t>ы</w:t>
      </w:r>
      <w:r w:rsidR="00E32A43" w:rsidRPr="000243FB">
        <w:rPr>
          <w:lang w:val="ru-RU"/>
        </w:rPr>
        <w:t xml:space="preserve"> поддержки социально ориентированных НКО</w:t>
      </w:r>
      <w:r w:rsidR="008C5CAA">
        <w:rPr>
          <w:lang w:val="ru-RU"/>
        </w:rPr>
        <w:t>, которая</w:t>
      </w:r>
      <w:r w:rsidR="00E32A43" w:rsidRPr="000243FB">
        <w:rPr>
          <w:lang w:val="ru-RU"/>
        </w:rPr>
        <w:t xml:space="preserve"> впервые была </w:t>
      </w:r>
      <w:r w:rsidR="000243FB" w:rsidRPr="000243FB">
        <w:rPr>
          <w:lang w:val="ru-RU"/>
        </w:rPr>
        <w:t>подготовлена</w:t>
      </w:r>
      <w:r w:rsidR="00E32A43" w:rsidRPr="000243FB">
        <w:rPr>
          <w:lang w:val="ru-RU"/>
        </w:rPr>
        <w:t xml:space="preserve"> в 201</w:t>
      </w:r>
      <w:r w:rsidR="000243FB" w:rsidRPr="000243FB">
        <w:rPr>
          <w:lang w:val="ru-RU"/>
        </w:rPr>
        <w:t>1</w:t>
      </w:r>
      <w:r w:rsidR="00E32A43" w:rsidRPr="000243FB">
        <w:rPr>
          <w:lang w:val="ru-RU"/>
        </w:rPr>
        <w:t xml:space="preserve"> году.</w:t>
      </w:r>
      <w:r w:rsidR="00284E99" w:rsidRPr="000243FB">
        <w:rPr>
          <w:lang w:val="ru-RU"/>
        </w:rPr>
        <w:t xml:space="preserve"> Однако, как видно из сводных данных, новые </w:t>
      </w:r>
      <w:r w:rsidR="00AE4E7A">
        <w:rPr>
          <w:lang w:val="ru-RU"/>
        </w:rPr>
        <w:t xml:space="preserve">механизм поддержки </w:t>
      </w:r>
      <w:r w:rsidR="00284E99" w:rsidRPr="000243FB">
        <w:rPr>
          <w:lang w:val="ru-RU"/>
        </w:rPr>
        <w:t>н</w:t>
      </w:r>
      <w:r w:rsidR="00284E99">
        <w:rPr>
          <w:lang w:val="ru-RU"/>
        </w:rPr>
        <w:t xml:space="preserve">е только не увеличил общий объем финансирования, он значительно снизился: 1 180 225 тысяч рублей в 2011 году и 702 206 тысяч рублей в 2012 году. </w:t>
      </w:r>
      <w:r w:rsidR="004644DB">
        <w:rPr>
          <w:lang w:val="ru-RU"/>
        </w:rPr>
        <w:t>Суммы, приведенные в программе поддержки СО НКО, подтверждают эту тенденцию: 1 311 726 рублей в 2011 году и 856</w:t>
      </w:r>
      <w:r w:rsidR="00BD2412">
        <w:rPr>
          <w:lang w:val="ru-RU"/>
        </w:rPr>
        <w:t> 093</w:t>
      </w:r>
      <w:r w:rsidR="004644DB">
        <w:rPr>
          <w:lang w:val="ru-RU"/>
        </w:rPr>
        <w:t xml:space="preserve"> рублей в 2012 году.</w:t>
      </w:r>
    </w:p>
    <w:p w:rsidR="00D0547C" w:rsidRDefault="00D0547C">
      <w:pPr>
        <w:pStyle w:val="Standard"/>
        <w:jc w:val="both"/>
        <w:rPr>
          <w:lang w:val="ru-RU"/>
        </w:rPr>
      </w:pPr>
    </w:p>
    <w:p w:rsidR="00284E99" w:rsidRDefault="00190C46">
      <w:pPr>
        <w:pStyle w:val="Standard"/>
        <w:jc w:val="both"/>
        <w:rPr>
          <w:lang w:val="ru-RU"/>
        </w:rPr>
      </w:pPr>
      <w:proofErr w:type="gramStart"/>
      <w:r>
        <w:rPr>
          <w:lang w:val="ru-RU"/>
        </w:rPr>
        <w:t xml:space="preserve">Если сравнить данные </w:t>
      </w:r>
      <w:r w:rsidR="00F544B7">
        <w:rPr>
          <w:lang w:val="ru-RU"/>
        </w:rPr>
        <w:t xml:space="preserve">о целевом финансировании из </w:t>
      </w:r>
      <w:r>
        <w:rPr>
          <w:lang w:val="ru-RU"/>
        </w:rPr>
        <w:t xml:space="preserve">бюджета Санкт-Петербурга за 2010-2011 годы и </w:t>
      </w:r>
      <w:r w:rsidR="00611AA6">
        <w:rPr>
          <w:lang w:val="ru-RU"/>
        </w:rPr>
        <w:t xml:space="preserve">данные </w:t>
      </w:r>
      <w:r>
        <w:rPr>
          <w:lang w:val="ru-RU"/>
        </w:rPr>
        <w:t>реестр</w:t>
      </w:r>
      <w:r w:rsidR="00611AA6">
        <w:rPr>
          <w:lang w:val="ru-RU"/>
        </w:rPr>
        <w:t>а</w:t>
      </w:r>
      <w:r>
        <w:rPr>
          <w:lang w:val="ru-RU"/>
        </w:rPr>
        <w:t xml:space="preserve"> СО НКО за 2011 год, то </w:t>
      </w:r>
      <w:r w:rsidR="00F544B7">
        <w:rPr>
          <w:lang w:val="ru-RU"/>
        </w:rPr>
        <w:t xml:space="preserve">можно </w:t>
      </w:r>
      <w:r w:rsidR="00611AA6">
        <w:rPr>
          <w:lang w:val="ru-RU"/>
        </w:rPr>
        <w:t>обнаружить</w:t>
      </w:r>
      <w:r>
        <w:rPr>
          <w:lang w:val="ru-RU"/>
        </w:rPr>
        <w:t xml:space="preserve">, что </w:t>
      </w:r>
      <w:r w:rsidR="00987C4D">
        <w:rPr>
          <w:lang w:val="ru-RU"/>
        </w:rPr>
        <w:t xml:space="preserve">часть </w:t>
      </w:r>
      <w:r w:rsidR="00F544B7">
        <w:rPr>
          <w:lang w:val="ru-RU"/>
        </w:rPr>
        <w:t xml:space="preserve">целевых </w:t>
      </w:r>
      <w:r w:rsidR="00987C4D">
        <w:rPr>
          <w:lang w:val="ru-RU"/>
        </w:rPr>
        <w:t>субсидий</w:t>
      </w:r>
      <w:r w:rsidR="00F544B7">
        <w:rPr>
          <w:lang w:val="ru-RU"/>
        </w:rPr>
        <w:t>,</w:t>
      </w:r>
      <w:r w:rsidR="00987C4D">
        <w:rPr>
          <w:lang w:val="ru-RU"/>
        </w:rPr>
        <w:t xml:space="preserve"> предо</w:t>
      </w:r>
      <w:r w:rsidR="00F544B7">
        <w:rPr>
          <w:lang w:val="ru-RU"/>
        </w:rPr>
        <w:t>ставленных комитетами (помимо</w:t>
      </w:r>
      <w:r w:rsidR="00987C4D">
        <w:rPr>
          <w:lang w:val="ru-RU"/>
        </w:rPr>
        <w:t xml:space="preserve"> </w:t>
      </w:r>
      <w:r w:rsidR="00F544B7">
        <w:rPr>
          <w:lang w:val="ru-RU"/>
        </w:rPr>
        <w:t>комитета по социальной политики</w:t>
      </w:r>
      <w:r w:rsidR="00987C4D">
        <w:rPr>
          <w:lang w:val="ru-RU"/>
        </w:rPr>
        <w:t>) не вошли в реестр.</w:t>
      </w:r>
      <w:proofErr w:type="gramEnd"/>
      <w:r w:rsidR="00987C4D">
        <w:rPr>
          <w:lang w:val="ru-RU"/>
        </w:rPr>
        <w:t xml:space="preserve"> </w:t>
      </w:r>
      <w:r w:rsidR="00284E99">
        <w:rPr>
          <w:lang w:val="ru-RU"/>
        </w:rPr>
        <w:t xml:space="preserve">Учитывая данные бюджета Санкт-Петербурга на 2010 – 2011 годы, можно определить </w:t>
      </w:r>
      <w:r w:rsidR="00611AA6">
        <w:rPr>
          <w:lang w:val="ru-RU"/>
        </w:rPr>
        <w:t xml:space="preserve">следующие </w:t>
      </w:r>
      <w:r w:rsidR="00284E99">
        <w:rPr>
          <w:lang w:val="ru-RU"/>
        </w:rPr>
        <w:t xml:space="preserve">субсидии, которые не </w:t>
      </w:r>
      <w:r w:rsidR="00611AA6">
        <w:rPr>
          <w:lang w:val="ru-RU"/>
        </w:rPr>
        <w:t>вошли</w:t>
      </w:r>
      <w:r w:rsidR="00284E99">
        <w:rPr>
          <w:lang w:val="ru-RU"/>
        </w:rPr>
        <w:t xml:space="preserve"> в реестр:</w:t>
      </w:r>
    </w:p>
    <w:p w:rsidR="009717A9" w:rsidRDefault="009717A9">
      <w:pPr>
        <w:pStyle w:val="Standard"/>
        <w:jc w:val="both"/>
        <w:rPr>
          <w:lang w:val="ru-RU"/>
        </w:rPr>
      </w:pPr>
    </w:p>
    <w:p w:rsidR="009717A9" w:rsidRDefault="009717A9">
      <w:pPr>
        <w:pStyle w:val="Standard"/>
        <w:jc w:val="both"/>
        <w:rPr>
          <w:lang w:val="ru-RU"/>
        </w:rPr>
      </w:pPr>
      <w:r>
        <w:rPr>
          <w:lang w:val="ru-RU"/>
        </w:rPr>
        <w:t xml:space="preserve">Таблица 2. </w:t>
      </w:r>
      <w:r w:rsidR="00A56944">
        <w:rPr>
          <w:lang w:val="ru-RU"/>
        </w:rPr>
        <w:t>Целевое финансирование НКО из бюджета Санкт-Петербурга в 2011 году</w:t>
      </w:r>
      <w:r w:rsidR="008806DF">
        <w:rPr>
          <w:lang w:val="ru-RU"/>
        </w:rPr>
        <w:t xml:space="preserve"> (данные бюджета Санкт-Петербурга</w:t>
      </w:r>
      <w:r w:rsidR="00611AA6">
        <w:rPr>
          <w:lang w:val="ru-RU"/>
        </w:rPr>
        <w:t xml:space="preserve"> за 2010-2011 годы</w:t>
      </w:r>
      <w:r w:rsidR="008806DF">
        <w:rPr>
          <w:lang w:val="ru-RU"/>
        </w:rPr>
        <w:t>)</w:t>
      </w:r>
      <w:r w:rsidR="00611AA6">
        <w:rPr>
          <w:lang w:val="ru-RU"/>
        </w:rPr>
        <w:t>:</w:t>
      </w:r>
    </w:p>
    <w:p w:rsidR="00284E99" w:rsidRDefault="00284E99">
      <w:pPr>
        <w:pStyle w:val="Standard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3355"/>
        <w:gridCol w:w="2586"/>
        <w:gridCol w:w="3454"/>
      </w:tblGrid>
      <w:tr w:rsidR="00203991" w:rsidRPr="00EA6C3D" w:rsidTr="007F41E5">
        <w:tc>
          <w:tcPr>
            <w:tcW w:w="0" w:type="auto"/>
          </w:tcPr>
          <w:p w:rsidR="00284E99" w:rsidRPr="007F41E5" w:rsidRDefault="00284E99" w:rsidP="007F41E5">
            <w:pPr>
              <w:pStyle w:val="Standard"/>
              <w:jc w:val="both"/>
              <w:rPr>
                <w:b/>
                <w:lang w:val="ru-RU"/>
              </w:rPr>
            </w:pPr>
            <w:r w:rsidRPr="007F41E5">
              <w:rPr>
                <w:b/>
                <w:lang w:val="ru-RU"/>
              </w:rPr>
              <w:t>№</w:t>
            </w:r>
          </w:p>
        </w:tc>
        <w:tc>
          <w:tcPr>
            <w:tcW w:w="0" w:type="auto"/>
          </w:tcPr>
          <w:p w:rsidR="00284E99" w:rsidRPr="007F41E5" w:rsidRDefault="00284E99" w:rsidP="00A56944">
            <w:pPr>
              <w:pStyle w:val="Standard"/>
              <w:rPr>
                <w:b/>
                <w:lang w:val="ru-RU"/>
              </w:rPr>
            </w:pPr>
            <w:r w:rsidRPr="007F41E5">
              <w:rPr>
                <w:b/>
                <w:lang w:val="ru-RU"/>
              </w:rPr>
              <w:t>Название комитета</w:t>
            </w:r>
          </w:p>
        </w:tc>
        <w:tc>
          <w:tcPr>
            <w:tcW w:w="0" w:type="auto"/>
          </w:tcPr>
          <w:p w:rsidR="00284E99" w:rsidRPr="007F41E5" w:rsidRDefault="00284E99" w:rsidP="00A56944">
            <w:pPr>
              <w:pStyle w:val="Standard"/>
              <w:rPr>
                <w:b/>
                <w:lang w:val="ru-RU"/>
              </w:rPr>
            </w:pPr>
            <w:r w:rsidRPr="007F41E5">
              <w:rPr>
                <w:b/>
                <w:lang w:val="ru-RU"/>
              </w:rPr>
              <w:t>Размер целевых субсидий</w:t>
            </w:r>
            <w:r w:rsidR="00203991">
              <w:rPr>
                <w:b/>
                <w:lang w:val="ru-RU"/>
              </w:rPr>
              <w:t xml:space="preserve"> (</w:t>
            </w:r>
            <w:r>
              <w:rPr>
                <w:b/>
                <w:lang w:val="ru-RU"/>
              </w:rPr>
              <w:t>тыс. руб.)</w:t>
            </w:r>
          </w:p>
        </w:tc>
        <w:tc>
          <w:tcPr>
            <w:tcW w:w="0" w:type="auto"/>
          </w:tcPr>
          <w:p w:rsidR="00284E99" w:rsidRPr="007F41E5" w:rsidRDefault="00284E99" w:rsidP="00A56944">
            <w:pPr>
              <w:pStyle w:val="Standard"/>
              <w:rPr>
                <w:b/>
                <w:lang w:val="ru-RU"/>
              </w:rPr>
            </w:pPr>
            <w:r w:rsidRPr="007F41E5">
              <w:rPr>
                <w:b/>
                <w:lang w:val="ru-RU"/>
              </w:rPr>
              <w:t>Количество организаций</w:t>
            </w:r>
            <w:r>
              <w:rPr>
                <w:b/>
                <w:lang w:val="ru-RU"/>
              </w:rPr>
              <w:t xml:space="preserve"> – получателей субсидий</w:t>
            </w:r>
          </w:p>
        </w:tc>
      </w:tr>
      <w:tr w:rsidR="00203991" w:rsidRPr="00EA6C3D" w:rsidTr="007F41E5">
        <w:tc>
          <w:tcPr>
            <w:tcW w:w="0" w:type="auto"/>
          </w:tcPr>
          <w:p w:rsidR="00284E99" w:rsidRPr="007F41E5" w:rsidRDefault="00284E99" w:rsidP="007F41E5">
            <w:pPr>
              <w:pStyle w:val="Standard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284E99" w:rsidRPr="007F41E5" w:rsidRDefault="00284E99" w:rsidP="003C4DE9">
            <w:pPr>
              <w:pStyle w:val="Standard"/>
              <w:rPr>
                <w:lang w:val="ru-RU"/>
              </w:rPr>
            </w:pPr>
            <w:r w:rsidRPr="007F41E5">
              <w:rPr>
                <w:lang w:val="ru-RU"/>
              </w:rPr>
              <w:t>Комитет по здравоохранению</w:t>
            </w:r>
          </w:p>
        </w:tc>
        <w:tc>
          <w:tcPr>
            <w:tcW w:w="0" w:type="auto"/>
          </w:tcPr>
          <w:p w:rsidR="00284E99" w:rsidRPr="007F41E5" w:rsidRDefault="00284E99" w:rsidP="00BD2412">
            <w:pPr>
              <w:pStyle w:val="Standard"/>
              <w:jc w:val="center"/>
              <w:rPr>
                <w:lang w:val="ru-RU"/>
              </w:rPr>
            </w:pPr>
            <w:r w:rsidRPr="007F41E5">
              <w:rPr>
                <w:lang w:val="ru-RU"/>
              </w:rPr>
              <w:t>750</w:t>
            </w:r>
            <w:r w:rsidR="00203991">
              <w:rPr>
                <w:lang w:val="ru-RU"/>
              </w:rPr>
              <w:t> </w:t>
            </w:r>
            <w:r w:rsidR="001C1877">
              <w:rPr>
                <w:lang w:val="ru-RU"/>
              </w:rPr>
              <w:t xml:space="preserve">тыс. </w:t>
            </w:r>
            <w:r w:rsidR="00A56944">
              <w:rPr>
                <w:lang w:val="ru-RU"/>
              </w:rPr>
              <w:t>рублей</w:t>
            </w:r>
          </w:p>
        </w:tc>
        <w:tc>
          <w:tcPr>
            <w:tcW w:w="0" w:type="auto"/>
          </w:tcPr>
          <w:p w:rsidR="00284E99" w:rsidRPr="007F41E5" w:rsidRDefault="00284E99" w:rsidP="00911F34">
            <w:pPr>
              <w:pStyle w:val="Standard"/>
              <w:jc w:val="center"/>
              <w:rPr>
                <w:lang w:val="ru-RU"/>
              </w:rPr>
            </w:pPr>
            <w:r w:rsidRPr="007F41E5">
              <w:rPr>
                <w:lang w:val="ru-RU"/>
              </w:rPr>
              <w:t>1</w:t>
            </w:r>
          </w:p>
        </w:tc>
      </w:tr>
      <w:tr w:rsidR="00203991" w:rsidRPr="00EA6C3D" w:rsidTr="007F41E5">
        <w:tc>
          <w:tcPr>
            <w:tcW w:w="0" w:type="auto"/>
          </w:tcPr>
          <w:p w:rsidR="00284E99" w:rsidRPr="007F41E5" w:rsidRDefault="00284E99" w:rsidP="007F41E5">
            <w:pPr>
              <w:pStyle w:val="Standard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284E99" w:rsidRPr="007F41E5" w:rsidRDefault="00284E99" w:rsidP="003C4DE9">
            <w:pPr>
              <w:pStyle w:val="Standard"/>
              <w:rPr>
                <w:lang w:val="ru-RU"/>
              </w:rPr>
            </w:pPr>
            <w:r w:rsidRPr="007F41E5">
              <w:rPr>
                <w:lang w:val="ru-RU"/>
              </w:rPr>
              <w:t>Комитет по культуре</w:t>
            </w:r>
          </w:p>
        </w:tc>
        <w:tc>
          <w:tcPr>
            <w:tcW w:w="0" w:type="auto"/>
          </w:tcPr>
          <w:p w:rsidR="00284E99" w:rsidRPr="007F41E5" w:rsidRDefault="00284E99" w:rsidP="00BD2412">
            <w:pPr>
              <w:pStyle w:val="Standard"/>
              <w:jc w:val="center"/>
              <w:rPr>
                <w:lang w:val="ru-RU"/>
              </w:rPr>
            </w:pPr>
            <w:r w:rsidRPr="007F41E5">
              <w:rPr>
                <w:lang w:val="ru-RU"/>
              </w:rPr>
              <w:t xml:space="preserve">50 800 </w:t>
            </w:r>
            <w:r w:rsidR="001C1877">
              <w:rPr>
                <w:lang w:val="ru-RU"/>
              </w:rPr>
              <w:t xml:space="preserve">тыс. </w:t>
            </w:r>
            <w:r w:rsidR="00A56944">
              <w:rPr>
                <w:lang w:val="ru-RU"/>
              </w:rPr>
              <w:t>рублей</w:t>
            </w:r>
          </w:p>
        </w:tc>
        <w:tc>
          <w:tcPr>
            <w:tcW w:w="0" w:type="auto"/>
          </w:tcPr>
          <w:p w:rsidR="00284E99" w:rsidRPr="007F41E5" w:rsidRDefault="00284E99" w:rsidP="00911F34">
            <w:pPr>
              <w:pStyle w:val="Standard"/>
              <w:jc w:val="center"/>
              <w:rPr>
                <w:lang w:val="ru-RU"/>
              </w:rPr>
            </w:pPr>
            <w:r w:rsidRPr="007F41E5">
              <w:rPr>
                <w:lang w:val="ru-RU"/>
              </w:rPr>
              <w:t>5</w:t>
            </w:r>
          </w:p>
        </w:tc>
      </w:tr>
      <w:tr w:rsidR="00203991" w:rsidTr="007F41E5">
        <w:tc>
          <w:tcPr>
            <w:tcW w:w="0" w:type="auto"/>
          </w:tcPr>
          <w:p w:rsidR="00284E99" w:rsidRPr="007F41E5" w:rsidRDefault="00284E99" w:rsidP="007F41E5">
            <w:pPr>
              <w:pStyle w:val="Standard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284E99" w:rsidRPr="007F41E5" w:rsidRDefault="00284E99" w:rsidP="003C4DE9">
            <w:pPr>
              <w:pStyle w:val="Standard"/>
              <w:rPr>
                <w:lang w:val="ru-RU"/>
              </w:rPr>
            </w:pPr>
            <w:r w:rsidRPr="007F41E5">
              <w:rPr>
                <w:lang w:val="ru-RU"/>
              </w:rPr>
              <w:t>Комитет по науке и высшей школе</w:t>
            </w:r>
          </w:p>
        </w:tc>
        <w:tc>
          <w:tcPr>
            <w:tcW w:w="0" w:type="auto"/>
          </w:tcPr>
          <w:p w:rsidR="00284E99" w:rsidRPr="007F41E5" w:rsidRDefault="00BD2412" w:rsidP="00911F3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  <w:r w:rsidR="00A56944">
              <w:rPr>
                <w:lang w:val="ru-RU"/>
              </w:rPr>
              <w:t xml:space="preserve"> </w:t>
            </w:r>
            <w:r w:rsidR="001C1877">
              <w:rPr>
                <w:lang w:val="ru-RU"/>
              </w:rPr>
              <w:t xml:space="preserve">тыс. </w:t>
            </w:r>
            <w:r w:rsidR="00A56944">
              <w:rPr>
                <w:lang w:val="ru-RU"/>
              </w:rPr>
              <w:t>рублей</w:t>
            </w:r>
          </w:p>
        </w:tc>
        <w:tc>
          <w:tcPr>
            <w:tcW w:w="0" w:type="auto"/>
          </w:tcPr>
          <w:p w:rsidR="00284E99" w:rsidRPr="007F41E5" w:rsidRDefault="00284E99" w:rsidP="00911F34">
            <w:pPr>
              <w:pStyle w:val="Standard"/>
              <w:jc w:val="center"/>
              <w:rPr>
                <w:lang w:val="ru-RU"/>
              </w:rPr>
            </w:pPr>
            <w:r w:rsidRPr="007F41E5">
              <w:rPr>
                <w:lang w:val="ru-RU"/>
              </w:rPr>
              <w:t>1</w:t>
            </w:r>
          </w:p>
        </w:tc>
      </w:tr>
      <w:tr w:rsidR="00203991" w:rsidTr="007F41E5">
        <w:tc>
          <w:tcPr>
            <w:tcW w:w="0" w:type="auto"/>
          </w:tcPr>
          <w:p w:rsidR="00284E99" w:rsidRPr="007F41E5" w:rsidRDefault="00284E99" w:rsidP="007F41E5">
            <w:pPr>
              <w:pStyle w:val="Standard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284E99" w:rsidRPr="007F41E5" w:rsidRDefault="00284E99" w:rsidP="003C4DE9">
            <w:pPr>
              <w:pStyle w:val="Standard"/>
              <w:rPr>
                <w:lang w:val="ru-RU"/>
              </w:rPr>
            </w:pPr>
            <w:r w:rsidRPr="007F41E5">
              <w:rPr>
                <w:lang w:val="ru-RU"/>
              </w:rPr>
              <w:t>Комитет по труду</w:t>
            </w:r>
          </w:p>
        </w:tc>
        <w:tc>
          <w:tcPr>
            <w:tcW w:w="0" w:type="auto"/>
          </w:tcPr>
          <w:p w:rsidR="00284E99" w:rsidRPr="007F41E5" w:rsidRDefault="00284E99" w:rsidP="00BD2412">
            <w:pPr>
              <w:pStyle w:val="Standard"/>
              <w:jc w:val="center"/>
              <w:rPr>
                <w:lang w:val="ru-RU"/>
              </w:rPr>
            </w:pPr>
            <w:r w:rsidRPr="007F41E5">
              <w:rPr>
                <w:lang w:val="ru-RU"/>
              </w:rPr>
              <w:t xml:space="preserve">1 500 </w:t>
            </w:r>
            <w:r w:rsidR="001C1877">
              <w:rPr>
                <w:lang w:val="ru-RU"/>
              </w:rPr>
              <w:t xml:space="preserve">тыс. </w:t>
            </w:r>
            <w:r w:rsidR="00A56944">
              <w:rPr>
                <w:lang w:val="ru-RU"/>
              </w:rPr>
              <w:t>рублей</w:t>
            </w:r>
          </w:p>
        </w:tc>
        <w:tc>
          <w:tcPr>
            <w:tcW w:w="0" w:type="auto"/>
          </w:tcPr>
          <w:p w:rsidR="00284E99" w:rsidRPr="007F41E5" w:rsidRDefault="00284E99" w:rsidP="00911F34">
            <w:pPr>
              <w:pStyle w:val="Standard"/>
              <w:jc w:val="center"/>
              <w:rPr>
                <w:lang w:val="ru-RU"/>
              </w:rPr>
            </w:pPr>
            <w:r w:rsidRPr="007F41E5">
              <w:rPr>
                <w:lang w:val="ru-RU"/>
              </w:rPr>
              <w:t>1</w:t>
            </w:r>
          </w:p>
        </w:tc>
      </w:tr>
      <w:tr w:rsidR="00203991" w:rsidTr="007F41E5">
        <w:tc>
          <w:tcPr>
            <w:tcW w:w="0" w:type="auto"/>
          </w:tcPr>
          <w:p w:rsidR="00284E99" w:rsidRPr="007F41E5" w:rsidRDefault="00284E99" w:rsidP="007F41E5">
            <w:pPr>
              <w:pStyle w:val="Standard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284E99" w:rsidRPr="007F41E5" w:rsidRDefault="00284E99" w:rsidP="003C4DE9">
            <w:pPr>
              <w:pStyle w:val="Standard"/>
              <w:rPr>
                <w:lang w:val="ru-RU"/>
              </w:rPr>
            </w:pPr>
            <w:r w:rsidRPr="007F41E5">
              <w:rPr>
                <w:lang w:val="ru-RU"/>
              </w:rPr>
              <w:t>Комитет по физической культуре и спорту</w:t>
            </w:r>
          </w:p>
        </w:tc>
        <w:tc>
          <w:tcPr>
            <w:tcW w:w="0" w:type="auto"/>
          </w:tcPr>
          <w:p w:rsidR="00284E99" w:rsidRPr="007F41E5" w:rsidRDefault="00BD2412" w:rsidP="00BD241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15 500 </w:t>
            </w:r>
            <w:r w:rsidR="001C1877">
              <w:rPr>
                <w:lang w:val="ru-RU"/>
              </w:rPr>
              <w:t xml:space="preserve">тыс. </w:t>
            </w:r>
            <w:r w:rsidR="00A56944">
              <w:rPr>
                <w:lang w:val="ru-RU"/>
              </w:rPr>
              <w:t>рублей</w:t>
            </w:r>
          </w:p>
        </w:tc>
        <w:tc>
          <w:tcPr>
            <w:tcW w:w="0" w:type="auto"/>
          </w:tcPr>
          <w:p w:rsidR="00284E99" w:rsidRPr="007F41E5" w:rsidRDefault="00284E99" w:rsidP="00911F34">
            <w:pPr>
              <w:pStyle w:val="Standard"/>
              <w:jc w:val="center"/>
              <w:rPr>
                <w:lang w:val="ru-RU"/>
              </w:rPr>
            </w:pPr>
            <w:r w:rsidRPr="007F41E5">
              <w:rPr>
                <w:lang w:val="ru-RU"/>
              </w:rPr>
              <w:t>3</w:t>
            </w:r>
          </w:p>
        </w:tc>
      </w:tr>
      <w:tr w:rsidR="00203991" w:rsidTr="007F41E5">
        <w:tc>
          <w:tcPr>
            <w:tcW w:w="0" w:type="auto"/>
          </w:tcPr>
          <w:p w:rsidR="00284E99" w:rsidRPr="007F41E5" w:rsidRDefault="00284E99" w:rsidP="007F41E5">
            <w:pPr>
              <w:pStyle w:val="Standard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284E99" w:rsidRPr="007F41E5" w:rsidRDefault="00284E99" w:rsidP="003C4DE9">
            <w:pPr>
              <w:pStyle w:val="Standard"/>
              <w:rPr>
                <w:lang w:val="ru-RU"/>
              </w:rPr>
            </w:pPr>
            <w:r w:rsidRPr="007F41E5">
              <w:rPr>
                <w:lang w:val="ru-RU"/>
              </w:rPr>
              <w:t>Комитет экономического развития и торговли</w:t>
            </w:r>
          </w:p>
        </w:tc>
        <w:tc>
          <w:tcPr>
            <w:tcW w:w="0" w:type="auto"/>
          </w:tcPr>
          <w:p w:rsidR="00284E99" w:rsidRPr="007F41E5" w:rsidRDefault="00BD2412" w:rsidP="00BD241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23 900 </w:t>
            </w:r>
            <w:r w:rsidR="001C1877">
              <w:rPr>
                <w:lang w:val="ru-RU"/>
              </w:rPr>
              <w:t xml:space="preserve">тыс. </w:t>
            </w:r>
            <w:r w:rsidR="00A56944">
              <w:rPr>
                <w:lang w:val="ru-RU"/>
              </w:rPr>
              <w:t>рублей</w:t>
            </w:r>
          </w:p>
        </w:tc>
        <w:tc>
          <w:tcPr>
            <w:tcW w:w="0" w:type="auto"/>
          </w:tcPr>
          <w:p w:rsidR="00284E99" w:rsidRPr="007F41E5" w:rsidRDefault="00284E99" w:rsidP="00911F34">
            <w:pPr>
              <w:pStyle w:val="Standard"/>
              <w:jc w:val="center"/>
              <w:rPr>
                <w:lang w:val="ru-RU"/>
              </w:rPr>
            </w:pPr>
            <w:r w:rsidRPr="007F41E5">
              <w:rPr>
                <w:lang w:val="ru-RU"/>
              </w:rPr>
              <w:t>1</w:t>
            </w:r>
          </w:p>
        </w:tc>
      </w:tr>
      <w:tr w:rsidR="00203991" w:rsidTr="007F41E5">
        <w:tc>
          <w:tcPr>
            <w:tcW w:w="0" w:type="auto"/>
          </w:tcPr>
          <w:p w:rsidR="00284E99" w:rsidRPr="007F41E5" w:rsidRDefault="00284E99" w:rsidP="007F41E5">
            <w:pPr>
              <w:pStyle w:val="Standard"/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284E99" w:rsidRPr="007F41E5" w:rsidRDefault="00284E99" w:rsidP="003C4DE9">
            <w:pPr>
              <w:pStyle w:val="Standard"/>
              <w:rPr>
                <w:b/>
                <w:lang w:val="ru-RU"/>
              </w:rPr>
            </w:pPr>
            <w:r w:rsidRPr="007F41E5">
              <w:rPr>
                <w:b/>
                <w:lang w:val="ru-RU"/>
              </w:rPr>
              <w:t>Общая сумма:</w:t>
            </w:r>
          </w:p>
        </w:tc>
        <w:tc>
          <w:tcPr>
            <w:tcW w:w="0" w:type="auto"/>
          </w:tcPr>
          <w:p w:rsidR="00284E99" w:rsidRPr="007F41E5" w:rsidRDefault="00BD2412" w:rsidP="00BD2412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51 850 </w:t>
            </w:r>
            <w:r w:rsidR="001C1877">
              <w:rPr>
                <w:b/>
                <w:lang w:val="ru-RU"/>
              </w:rPr>
              <w:t xml:space="preserve">тыс. </w:t>
            </w:r>
            <w:r w:rsidR="00A56944">
              <w:rPr>
                <w:lang w:val="ru-RU"/>
              </w:rPr>
              <w:t>рублей</w:t>
            </w:r>
          </w:p>
        </w:tc>
        <w:tc>
          <w:tcPr>
            <w:tcW w:w="0" w:type="auto"/>
          </w:tcPr>
          <w:p w:rsidR="00284E99" w:rsidRPr="007F41E5" w:rsidRDefault="00284E99" w:rsidP="00911F34">
            <w:pPr>
              <w:pStyle w:val="Standard"/>
              <w:jc w:val="center"/>
              <w:rPr>
                <w:b/>
                <w:lang w:val="ru-RU"/>
              </w:rPr>
            </w:pPr>
            <w:r w:rsidRPr="007F41E5">
              <w:rPr>
                <w:b/>
                <w:lang w:val="ru-RU"/>
              </w:rPr>
              <w:t>12</w:t>
            </w:r>
          </w:p>
        </w:tc>
      </w:tr>
    </w:tbl>
    <w:p w:rsidR="00284E99" w:rsidRDefault="00284E99" w:rsidP="00495BE9">
      <w:pPr>
        <w:pStyle w:val="Standard"/>
        <w:jc w:val="both"/>
        <w:rPr>
          <w:lang w:val="ru-RU"/>
        </w:rPr>
      </w:pPr>
    </w:p>
    <w:p w:rsidR="00284E99" w:rsidRDefault="00284E99">
      <w:pPr>
        <w:pStyle w:val="Standard"/>
        <w:jc w:val="both"/>
        <w:rPr>
          <w:lang w:val="ru-RU"/>
        </w:rPr>
      </w:pPr>
    </w:p>
    <w:p w:rsidR="00284E99" w:rsidRDefault="000322CA" w:rsidP="00FD3DC2">
      <w:pPr>
        <w:pStyle w:val="Standard"/>
        <w:jc w:val="both"/>
        <w:rPr>
          <w:lang w:val="ru-RU"/>
        </w:rPr>
      </w:pPr>
      <w:r w:rsidRPr="000322CA">
        <w:rPr>
          <w:lang w:val="ru-RU"/>
        </w:rPr>
        <w:t>Анализ организаций и объемов финансирования показывает, что ц</w:t>
      </w:r>
      <w:r w:rsidR="005F6F4A" w:rsidRPr="000322CA">
        <w:rPr>
          <w:lang w:val="ru-RU"/>
        </w:rPr>
        <w:t>елев</w:t>
      </w:r>
      <w:r w:rsidRPr="000322CA">
        <w:rPr>
          <w:lang w:val="ru-RU"/>
        </w:rPr>
        <w:t xml:space="preserve">ым образом выделенные средства необходим комитетам для решения </w:t>
      </w:r>
      <w:r w:rsidR="005F6F4A" w:rsidRPr="000322CA">
        <w:rPr>
          <w:lang w:val="ru-RU"/>
        </w:rPr>
        <w:t>специфически</w:t>
      </w:r>
      <w:r w:rsidRPr="000322CA">
        <w:rPr>
          <w:lang w:val="ru-RU"/>
        </w:rPr>
        <w:t>х</w:t>
      </w:r>
      <w:r w:rsidR="005F6F4A" w:rsidRPr="000322CA">
        <w:rPr>
          <w:lang w:val="ru-RU"/>
        </w:rPr>
        <w:t xml:space="preserve"> задач</w:t>
      </w:r>
      <w:r w:rsidRPr="000322CA">
        <w:rPr>
          <w:lang w:val="ru-RU"/>
        </w:rPr>
        <w:t>.</w:t>
      </w:r>
      <w:r>
        <w:rPr>
          <w:lang w:val="ru-RU"/>
        </w:rPr>
        <w:t xml:space="preserve"> </w:t>
      </w:r>
      <w:r w:rsidR="00284E99">
        <w:rPr>
          <w:lang w:val="ru-RU"/>
        </w:rPr>
        <w:t xml:space="preserve">Так, например, в 2011 году 23 900 000 рублей было выделено комитетом экономического развития АНО «Открытое небо» на «Обеспечение </w:t>
      </w:r>
      <w:r w:rsidR="00284E99" w:rsidRPr="00784707">
        <w:rPr>
          <w:lang w:val="ru-RU"/>
        </w:rPr>
        <w:t>реализации мероприятий, проводимых Общественным советом по развитию малого</w:t>
      </w:r>
      <w:r w:rsidR="00284E99">
        <w:rPr>
          <w:lang w:val="ru-RU"/>
        </w:rPr>
        <w:t xml:space="preserve"> </w:t>
      </w:r>
      <w:r w:rsidR="00284E99" w:rsidRPr="00784707">
        <w:rPr>
          <w:lang w:val="ru-RU"/>
        </w:rPr>
        <w:t>предпринимательства при Губернаторе СПб и общественными советами по малому предприн</w:t>
      </w:r>
      <w:r w:rsidR="00284E99">
        <w:rPr>
          <w:lang w:val="ru-RU"/>
        </w:rPr>
        <w:t xml:space="preserve">имательству </w:t>
      </w:r>
      <w:r w:rsidR="00284E99" w:rsidRPr="00784707">
        <w:rPr>
          <w:lang w:val="ru-RU"/>
        </w:rPr>
        <w:t>при админ</w:t>
      </w:r>
      <w:r w:rsidR="00284E99">
        <w:rPr>
          <w:lang w:val="ru-RU"/>
        </w:rPr>
        <w:t>истрациях районов Санкт-Петербурга». Комитет по здравоохранению выделил субсидию</w:t>
      </w:r>
      <w:r w:rsidR="00284E99" w:rsidRPr="00784707">
        <w:rPr>
          <w:lang w:val="ru-RU"/>
        </w:rPr>
        <w:t xml:space="preserve"> Санкт-Петербургскому региональному отде</w:t>
      </w:r>
      <w:r w:rsidR="00284E99">
        <w:rPr>
          <w:lang w:val="ru-RU"/>
        </w:rPr>
        <w:t xml:space="preserve">лению общественной организации «Российское медицинское общество» на реализацию программы </w:t>
      </w:r>
      <w:r w:rsidR="00284E99" w:rsidRPr="00784707">
        <w:rPr>
          <w:lang w:val="ru-RU"/>
        </w:rPr>
        <w:t>повышения информированности населения о медицинских</w:t>
      </w:r>
      <w:r w:rsidR="00284E99">
        <w:rPr>
          <w:lang w:val="ru-RU"/>
        </w:rPr>
        <w:t xml:space="preserve"> </w:t>
      </w:r>
      <w:r w:rsidR="00284E99" w:rsidRPr="00784707">
        <w:rPr>
          <w:lang w:val="ru-RU"/>
        </w:rPr>
        <w:t>услугах и системе здравоохранения Санкт-Петербурга</w:t>
      </w:r>
      <w:r w:rsidR="00284E99">
        <w:rPr>
          <w:lang w:val="ru-RU"/>
        </w:rPr>
        <w:t xml:space="preserve">. Средний размер субсидий составляет 4 320 833 рубля, что несопоставимо со средними размерами субсидий, выделяемых по конкурсу. Очевидно, что этот вид бюджетного финансирования НКО занимает особое место и располагает значительными финансовыми средствами. Для того чтобы понять объемы целевого финансирования необходимо обратиться к анализу программы поддержки социально ориентированных НКО правительства Санкт-Петербурга на 2013-2014 годы и </w:t>
      </w:r>
      <w:r w:rsidR="00284E99">
        <w:rPr>
          <w:lang w:val="ru-RU"/>
        </w:rPr>
        <w:lastRenderedPageBreak/>
        <w:t xml:space="preserve">анализу бюджета Санкт-Петербург </w:t>
      </w:r>
      <w:r w:rsidR="00DE2BFF" w:rsidRPr="0051502B">
        <w:rPr>
          <w:lang w:val="ru-RU"/>
        </w:rPr>
        <w:t>на 2010-2011 годы</w:t>
      </w:r>
      <w:r w:rsidR="00C9395A">
        <w:rPr>
          <w:lang w:val="ru-RU"/>
        </w:rPr>
        <w:t>.</w:t>
      </w:r>
      <w:r w:rsidR="00C9395A">
        <w:rPr>
          <w:rStyle w:val="ab"/>
          <w:lang w:val="ru-RU"/>
        </w:rPr>
        <w:footnoteReference w:id="10"/>
      </w:r>
    </w:p>
    <w:p w:rsidR="00997CDB" w:rsidRDefault="00997CDB">
      <w:pPr>
        <w:pStyle w:val="Standard"/>
        <w:jc w:val="both"/>
        <w:rPr>
          <w:lang w:val="ru-RU"/>
        </w:rPr>
      </w:pPr>
    </w:p>
    <w:p w:rsidR="00284E99" w:rsidRDefault="00284E99">
      <w:pPr>
        <w:pStyle w:val="Standard"/>
        <w:jc w:val="both"/>
        <w:rPr>
          <w:lang w:val="ru-RU"/>
        </w:rPr>
      </w:pPr>
      <w:r>
        <w:rPr>
          <w:lang w:val="ru-RU"/>
        </w:rPr>
        <w:t xml:space="preserve">Проведение конкурсов субсидий является довольно устоявшейся практикой в Санкт-Петербурге, которая, однако, отличается </w:t>
      </w:r>
      <w:r w:rsidR="00876820">
        <w:rPr>
          <w:lang w:val="ru-RU"/>
        </w:rPr>
        <w:t xml:space="preserve">по объемам финансирования и конкурсным процедурам, </w:t>
      </w:r>
      <w:r>
        <w:rPr>
          <w:lang w:val="ru-RU"/>
        </w:rPr>
        <w:t xml:space="preserve">в зависимости от того, какой комитет её реализует. Обобщенный анализ результатов конкурсов субсидий в 2011 и 2012 году </w:t>
      </w:r>
      <w:r w:rsidR="006374DE">
        <w:rPr>
          <w:lang w:val="ru-RU"/>
        </w:rPr>
        <w:t xml:space="preserve">согласно данным реестра СО НКО </w:t>
      </w:r>
      <w:r w:rsidR="008806DF">
        <w:rPr>
          <w:lang w:val="ru-RU"/>
        </w:rPr>
        <w:t>представлен таблице 3</w:t>
      </w:r>
      <w:r>
        <w:rPr>
          <w:lang w:val="ru-RU"/>
        </w:rPr>
        <w:t>.</w:t>
      </w:r>
    </w:p>
    <w:p w:rsidR="00284E99" w:rsidRDefault="00284E99">
      <w:pPr>
        <w:pStyle w:val="Standard"/>
        <w:jc w:val="both"/>
        <w:rPr>
          <w:lang w:val="ru-RU"/>
        </w:rPr>
      </w:pPr>
    </w:p>
    <w:p w:rsidR="00284E99" w:rsidRDefault="008806DF">
      <w:pPr>
        <w:pStyle w:val="Standard"/>
        <w:jc w:val="both"/>
        <w:rPr>
          <w:lang w:val="ru-RU"/>
        </w:rPr>
      </w:pPr>
      <w:r>
        <w:rPr>
          <w:lang w:val="ru-RU"/>
        </w:rPr>
        <w:t>Таблица 3</w:t>
      </w:r>
      <w:r w:rsidR="00284E99">
        <w:rPr>
          <w:lang w:val="ru-RU"/>
        </w:rPr>
        <w:t>. Суммы субсидий, выделенных комитетами администрации Санкт-Петербурга по конкурсу в 2011 и 2012 годах (данные реестра СО НКО).</w:t>
      </w:r>
    </w:p>
    <w:p w:rsidR="00284E99" w:rsidRPr="00597F3A" w:rsidRDefault="00284E99">
      <w:pPr>
        <w:pStyle w:val="Standard"/>
        <w:jc w:val="both"/>
        <w:rPr>
          <w:lang w:val="ru-RU"/>
        </w:rPr>
      </w:pPr>
    </w:p>
    <w:tbl>
      <w:tblPr>
        <w:tblW w:w="9478" w:type="dxa"/>
        <w:tblInd w:w="93" w:type="dxa"/>
        <w:tblLook w:val="00A0"/>
      </w:tblPr>
      <w:tblGrid>
        <w:gridCol w:w="724"/>
        <w:gridCol w:w="4061"/>
        <w:gridCol w:w="2340"/>
        <w:gridCol w:w="2353"/>
      </w:tblGrid>
      <w:tr w:rsidR="00284E99" w:rsidRPr="00F53357" w:rsidTr="00BD2412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99" w:rsidRPr="00F53357" w:rsidRDefault="00284E99" w:rsidP="00A44C3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4E99" w:rsidRPr="00122F6D" w:rsidRDefault="00284E99" w:rsidP="00A44C31">
            <w:pPr>
              <w:rPr>
                <w:rFonts w:cs="Times New Roman"/>
                <w:b/>
                <w:lang w:val="ru-RU"/>
              </w:rPr>
            </w:pPr>
            <w:r w:rsidRPr="00122F6D">
              <w:rPr>
                <w:rFonts w:cs="Times New Roman"/>
                <w:b/>
                <w:lang w:val="ru-RU"/>
              </w:rPr>
              <w:t>Название процедуры конкурса комитетов / год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4E99" w:rsidRPr="006374DE" w:rsidRDefault="00D30ED0" w:rsidP="00A44C31">
            <w:pPr>
              <w:rPr>
                <w:rFonts w:cs="Times New Roman"/>
                <w:b/>
              </w:rPr>
            </w:pPr>
            <w:r w:rsidRPr="006374DE">
              <w:rPr>
                <w:rFonts w:cs="Times New Roman"/>
                <w:b/>
                <w:lang w:val="ru-RU"/>
              </w:rPr>
              <w:t>2011 год</w:t>
            </w:r>
            <w:r w:rsidR="006374DE">
              <w:rPr>
                <w:rFonts w:cs="Times New Roman"/>
                <w:b/>
                <w:lang w:val="ru-RU"/>
              </w:rPr>
              <w:t xml:space="preserve"> (тыс. руб</w:t>
            </w:r>
            <w:r w:rsidR="00BD2412">
              <w:rPr>
                <w:rFonts w:cs="Times New Roman"/>
                <w:b/>
                <w:lang w:val="ru-RU"/>
              </w:rPr>
              <w:t>.</w:t>
            </w:r>
            <w:r w:rsidR="006374DE">
              <w:rPr>
                <w:rFonts w:cs="Times New Roman"/>
                <w:b/>
                <w:lang w:val="ru-RU"/>
              </w:rPr>
              <w:t>)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4E99" w:rsidRPr="006374DE" w:rsidRDefault="00D30ED0" w:rsidP="006374DE">
            <w:pPr>
              <w:rPr>
                <w:rFonts w:cs="Times New Roman"/>
                <w:b/>
                <w:highlight w:val="cyan"/>
                <w:lang w:val="ru-RU"/>
              </w:rPr>
            </w:pPr>
            <w:r w:rsidRPr="006374DE">
              <w:rPr>
                <w:rFonts w:cs="Times New Roman"/>
                <w:b/>
              </w:rPr>
              <w:t xml:space="preserve">2012 </w:t>
            </w:r>
            <w:r w:rsidR="006374DE">
              <w:rPr>
                <w:rFonts w:cs="Times New Roman"/>
                <w:b/>
                <w:lang w:val="ru-RU"/>
              </w:rPr>
              <w:t>год (тыс. руб</w:t>
            </w:r>
            <w:r w:rsidR="00BD2412">
              <w:rPr>
                <w:rFonts w:cs="Times New Roman"/>
                <w:b/>
                <w:lang w:val="ru-RU"/>
              </w:rPr>
              <w:t>.</w:t>
            </w:r>
            <w:r w:rsidR="006374DE">
              <w:rPr>
                <w:rFonts w:cs="Times New Roman"/>
                <w:b/>
                <w:lang w:val="ru-RU"/>
              </w:rPr>
              <w:t>)</w:t>
            </w:r>
          </w:p>
        </w:tc>
      </w:tr>
      <w:tr w:rsidR="00284E99" w:rsidRPr="00F53357" w:rsidTr="00BD2412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99" w:rsidRPr="00B432E3" w:rsidRDefault="00284E99" w:rsidP="00043D71">
            <w:pPr>
              <w:pStyle w:val="a8"/>
              <w:widowControl/>
              <w:numPr>
                <w:ilvl w:val="0"/>
                <w:numId w:val="18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cs="Times New Roman"/>
              </w:rPr>
            </w:pPr>
          </w:p>
        </w:tc>
        <w:tc>
          <w:tcPr>
            <w:tcW w:w="4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4E99" w:rsidRPr="00122F6D" w:rsidRDefault="00284E99" w:rsidP="00A44C31">
            <w:pPr>
              <w:rPr>
                <w:rFonts w:cs="Times New Roman"/>
                <w:lang w:val="ru-RU"/>
              </w:rPr>
            </w:pPr>
            <w:r w:rsidRPr="00122F6D">
              <w:rPr>
                <w:rFonts w:cs="Times New Roman"/>
                <w:lang w:val="ru-RU"/>
              </w:rPr>
              <w:t>Субсидия комитета по социальной политике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4E99" w:rsidRPr="00A56944" w:rsidRDefault="00A56944" w:rsidP="00A5694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6 057</w:t>
            </w:r>
            <w:r>
              <w:rPr>
                <w:rFonts w:cs="Times New Roman"/>
                <w:lang w:val="ru-RU"/>
              </w:rPr>
              <w:t xml:space="preserve"> </w:t>
            </w:r>
            <w:r w:rsidR="001C1877">
              <w:rPr>
                <w:rFonts w:cs="Times New Roman"/>
                <w:lang w:val="ru-RU"/>
              </w:rPr>
              <w:t xml:space="preserve">тыс. </w:t>
            </w:r>
            <w:r>
              <w:rPr>
                <w:lang w:val="ru-RU"/>
              </w:rPr>
              <w:t>рублей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4E99" w:rsidRPr="00A56944" w:rsidRDefault="00A56944" w:rsidP="00A44C31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7 289</w:t>
            </w:r>
            <w:r>
              <w:rPr>
                <w:rFonts w:cs="Times New Roman"/>
                <w:lang w:val="ru-RU"/>
              </w:rPr>
              <w:t xml:space="preserve"> </w:t>
            </w:r>
            <w:r w:rsidR="001C1877">
              <w:rPr>
                <w:rFonts w:cs="Times New Roman"/>
                <w:lang w:val="ru-RU"/>
              </w:rPr>
              <w:t xml:space="preserve">тыс. </w:t>
            </w:r>
            <w:r>
              <w:rPr>
                <w:lang w:val="ru-RU"/>
              </w:rPr>
              <w:t>рублей</w:t>
            </w:r>
          </w:p>
        </w:tc>
      </w:tr>
      <w:tr w:rsidR="00284E99" w:rsidRPr="00F53357" w:rsidTr="00BD2412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99" w:rsidRPr="00B432E3" w:rsidRDefault="00284E99" w:rsidP="00043D71">
            <w:pPr>
              <w:pStyle w:val="a8"/>
              <w:widowControl/>
              <w:numPr>
                <w:ilvl w:val="0"/>
                <w:numId w:val="18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cs="Times New Roman"/>
              </w:rPr>
            </w:pPr>
          </w:p>
        </w:tc>
        <w:tc>
          <w:tcPr>
            <w:tcW w:w="4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4E99" w:rsidRPr="00122F6D" w:rsidRDefault="00284E99" w:rsidP="00A44C31">
            <w:pPr>
              <w:rPr>
                <w:rFonts w:cs="Times New Roman"/>
                <w:lang w:val="ru-RU"/>
              </w:rPr>
            </w:pPr>
            <w:r w:rsidRPr="00122F6D">
              <w:rPr>
                <w:rFonts w:cs="Times New Roman"/>
                <w:lang w:val="ru-RU"/>
              </w:rPr>
              <w:t>Субсидия комитета по труду и занятости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4E99" w:rsidRPr="00A56944" w:rsidRDefault="00A56944" w:rsidP="00A44C31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19 646</w:t>
            </w:r>
            <w:r>
              <w:rPr>
                <w:rFonts w:cs="Times New Roman"/>
                <w:lang w:val="ru-RU"/>
              </w:rPr>
              <w:t xml:space="preserve"> </w:t>
            </w:r>
            <w:r w:rsidR="001C1877">
              <w:rPr>
                <w:rFonts w:cs="Times New Roman"/>
                <w:lang w:val="ru-RU"/>
              </w:rPr>
              <w:t xml:space="preserve">тыс. </w:t>
            </w:r>
            <w:r>
              <w:rPr>
                <w:lang w:val="ru-RU"/>
              </w:rPr>
              <w:t>рублей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4E99" w:rsidRPr="00A56944" w:rsidRDefault="00A56944" w:rsidP="00A44C31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39 655</w:t>
            </w:r>
            <w:r>
              <w:rPr>
                <w:rFonts w:cs="Times New Roman"/>
                <w:lang w:val="ru-RU"/>
              </w:rPr>
              <w:t xml:space="preserve"> </w:t>
            </w:r>
            <w:r w:rsidR="001C1877">
              <w:rPr>
                <w:rFonts w:cs="Times New Roman"/>
                <w:lang w:val="ru-RU"/>
              </w:rPr>
              <w:t xml:space="preserve">тыс. </w:t>
            </w:r>
            <w:r>
              <w:rPr>
                <w:lang w:val="ru-RU"/>
              </w:rPr>
              <w:t>рублей</w:t>
            </w:r>
          </w:p>
        </w:tc>
      </w:tr>
      <w:tr w:rsidR="00284E99" w:rsidRPr="00F53357" w:rsidTr="00BD2412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99" w:rsidRPr="00B432E3" w:rsidRDefault="00284E99" w:rsidP="00043D71">
            <w:pPr>
              <w:pStyle w:val="a8"/>
              <w:widowControl/>
              <w:numPr>
                <w:ilvl w:val="0"/>
                <w:numId w:val="18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cs="Times New Roman"/>
              </w:rPr>
            </w:pPr>
          </w:p>
        </w:tc>
        <w:tc>
          <w:tcPr>
            <w:tcW w:w="4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4E99" w:rsidRPr="00463898" w:rsidRDefault="00284E99" w:rsidP="00A44C31">
            <w:pPr>
              <w:rPr>
                <w:rFonts w:cs="Times New Roman"/>
                <w:lang w:val="ru-RU"/>
              </w:rPr>
            </w:pPr>
            <w:r w:rsidRPr="00463898">
              <w:rPr>
                <w:rFonts w:cs="Times New Roman"/>
                <w:lang w:val="ru-RU"/>
              </w:rPr>
              <w:t>Грант для общественных объединений комитета по молодежной политике и взаимодействию с общественными организациями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4E99" w:rsidRPr="00A56944" w:rsidRDefault="00A56944" w:rsidP="00A56944">
            <w:pPr>
              <w:rPr>
                <w:lang w:val="ru-RU"/>
              </w:rPr>
            </w:pPr>
            <w:r>
              <w:rPr>
                <w:i/>
              </w:rPr>
              <w:t>10 32</w:t>
            </w:r>
            <w:r w:rsidR="00BD2412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6</w:t>
            </w:r>
            <w:r w:rsidR="00BD2412" w:rsidRPr="00BD2412">
              <w:rPr>
                <w:lang w:val="ru-RU"/>
              </w:rPr>
              <w:t xml:space="preserve"> </w:t>
            </w:r>
            <w:r w:rsidR="001C1877">
              <w:rPr>
                <w:lang w:val="ru-RU"/>
              </w:rPr>
              <w:t xml:space="preserve">тыс. </w:t>
            </w:r>
            <w:r w:rsidR="00BD2412" w:rsidRPr="00BD2412">
              <w:rPr>
                <w:lang w:val="ru-RU"/>
              </w:rPr>
              <w:t>рублей</w:t>
            </w:r>
            <w:r w:rsidR="009F7317" w:rsidRPr="00BD2412">
              <w:rPr>
                <w:rStyle w:val="ab"/>
              </w:rPr>
              <w:footnoteReference w:id="11"/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4E99" w:rsidRPr="00A56944" w:rsidRDefault="00A56944" w:rsidP="009F7317">
            <w:pPr>
              <w:rPr>
                <w:lang w:val="ru-RU"/>
              </w:rPr>
            </w:pPr>
            <w:r>
              <w:t>11 008</w:t>
            </w:r>
            <w:r>
              <w:rPr>
                <w:lang w:val="ru-RU"/>
              </w:rPr>
              <w:t xml:space="preserve"> </w:t>
            </w:r>
            <w:r w:rsidR="001C1877">
              <w:rPr>
                <w:lang w:val="ru-RU"/>
              </w:rPr>
              <w:t xml:space="preserve">тыс. </w:t>
            </w:r>
            <w:r>
              <w:rPr>
                <w:lang w:val="ru-RU"/>
              </w:rPr>
              <w:t>рублей</w:t>
            </w:r>
          </w:p>
        </w:tc>
      </w:tr>
      <w:tr w:rsidR="00284E99" w:rsidRPr="00284E99" w:rsidTr="00BD2412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99" w:rsidRPr="00B432E3" w:rsidRDefault="00284E99" w:rsidP="00043D71">
            <w:pPr>
              <w:pStyle w:val="a8"/>
              <w:widowControl/>
              <w:numPr>
                <w:ilvl w:val="0"/>
                <w:numId w:val="18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cs="Times New Roman"/>
              </w:rPr>
            </w:pPr>
          </w:p>
        </w:tc>
        <w:tc>
          <w:tcPr>
            <w:tcW w:w="4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4E99" w:rsidRPr="00981C43" w:rsidRDefault="00981C43" w:rsidP="00981C43">
            <w:pPr>
              <w:rPr>
                <w:lang w:val="ru-RU"/>
              </w:rPr>
            </w:pPr>
            <w:r>
              <w:rPr>
                <w:lang w:val="ru-RU"/>
              </w:rPr>
              <w:t>Субсидия комитета культуры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4E99" w:rsidRPr="00284E99" w:rsidRDefault="00A56944" w:rsidP="00A44C31">
            <w:pPr>
              <w:keepNext/>
              <w:keepLines/>
              <w:spacing w:before="200"/>
              <w:outlineLvl w:val="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20 130 </w:t>
            </w:r>
            <w:r w:rsidR="001C1877">
              <w:rPr>
                <w:rFonts w:cs="Times New Roman"/>
                <w:lang w:val="ru-RU"/>
              </w:rPr>
              <w:t xml:space="preserve">тыс. </w:t>
            </w:r>
            <w:r>
              <w:rPr>
                <w:lang w:val="ru-RU"/>
              </w:rPr>
              <w:t>рублей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4E99" w:rsidRPr="00284E99" w:rsidRDefault="00A56944" w:rsidP="00A44C31">
            <w:pPr>
              <w:keepNext/>
              <w:keepLines/>
              <w:spacing w:before="200" w:after="120"/>
              <w:outlineLvl w:val="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20 760 </w:t>
            </w:r>
            <w:r w:rsidR="001C1877">
              <w:rPr>
                <w:rFonts w:cs="Times New Roman"/>
                <w:lang w:val="ru-RU"/>
              </w:rPr>
              <w:t xml:space="preserve">тыс. </w:t>
            </w:r>
            <w:r>
              <w:rPr>
                <w:lang w:val="ru-RU"/>
              </w:rPr>
              <w:t>рублей</w:t>
            </w:r>
          </w:p>
        </w:tc>
      </w:tr>
      <w:tr w:rsidR="00284E99" w:rsidRPr="00284E99" w:rsidTr="00BD2412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99" w:rsidRPr="00284E99" w:rsidRDefault="00284E99" w:rsidP="00043D71">
            <w:pPr>
              <w:pStyle w:val="a8"/>
              <w:widowControl/>
              <w:numPr>
                <w:ilvl w:val="0"/>
                <w:numId w:val="18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4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4E99" w:rsidRPr="00122F6D" w:rsidRDefault="00284E99" w:rsidP="00A44C31">
            <w:pPr>
              <w:rPr>
                <w:rFonts w:cs="Times New Roman"/>
                <w:lang w:val="ru-RU"/>
              </w:rPr>
            </w:pPr>
            <w:r w:rsidRPr="00122F6D">
              <w:rPr>
                <w:rFonts w:cs="Times New Roman"/>
                <w:lang w:val="ru-RU"/>
              </w:rPr>
              <w:t>Субсидия комитета по физической культуре и спорту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4E99" w:rsidRPr="00284E99" w:rsidRDefault="00A56944" w:rsidP="00A44C31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716 142 </w:t>
            </w:r>
            <w:r w:rsidR="001C1877">
              <w:rPr>
                <w:rFonts w:cs="Times New Roman"/>
                <w:lang w:val="ru-RU"/>
              </w:rPr>
              <w:t xml:space="preserve">тыс. </w:t>
            </w:r>
            <w:r>
              <w:rPr>
                <w:lang w:val="ru-RU"/>
              </w:rPr>
              <w:t>рублей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4E99" w:rsidRPr="00284E99" w:rsidRDefault="00A56944" w:rsidP="00A44C31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254 323 </w:t>
            </w:r>
            <w:r w:rsidR="001C1877">
              <w:rPr>
                <w:rFonts w:cs="Times New Roman"/>
                <w:lang w:val="ru-RU"/>
              </w:rPr>
              <w:t xml:space="preserve">тыс. </w:t>
            </w:r>
            <w:r>
              <w:rPr>
                <w:lang w:val="ru-RU"/>
              </w:rPr>
              <w:t>рублей</w:t>
            </w:r>
          </w:p>
        </w:tc>
      </w:tr>
      <w:tr w:rsidR="00284E99" w:rsidRPr="00F53357" w:rsidTr="00BD2412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99" w:rsidRPr="00284E99" w:rsidRDefault="00284E99" w:rsidP="00043D71">
            <w:pPr>
              <w:pStyle w:val="a8"/>
              <w:widowControl/>
              <w:numPr>
                <w:ilvl w:val="0"/>
                <w:numId w:val="18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4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4E99" w:rsidRPr="00122F6D" w:rsidRDefault="00284E99" w:rsidP="00A44C31">
            <w:pPr>
              <w:rPr>
                <w:rFonts w:cs="Times New Roman"/>
                <w:lang w:val="ru-RU"/>
              </w:rPr>
            </w:pPr>
            <w:r w:rsidRPr="00122F6D">
              <w:rPr>
                <w:rFonts w:cs="Times New Roman"/>
                <w:lang w:val="ru-RU"/>
              </w:rPr>
              <w:t>Субсидия комитета по печати и взаимодействию со СМИ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4E99" w:rsidRPr="00A56944" w:rsidRDefault="00BD2412" w:rsidP="00BD241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7 880</w:t>
            </w:r>
            <w:r w:rsidR="00A56944">
              <w:rPr>
                <w:rFonts w:cs="Times New Roman"/>
                <w:lang w:val="ru-RU"/>
              </w:rPr>
              <w:t xml:space="preserve"> </w:t>
            </w:r>
            <w:r w:rsidR="001C1877">
              <w:rPr>
                <w:rFonts w:cs="Times New Roman"/>
                <w:lang w:val="ru-RU"/>
              </w:rPr>
              <w:t xml:space="preserve">тыс. </w:t>
            </w:r>
            <w:r w:rsidR="00A56944">
              <w:rPr>
                <w:lang w:val="ru-RU"/>
              </w:rPr>
              <w:t>рублей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4E99" w:rsidRPr="00A56944" w:rsidRDefault="00284E99" w:rsidP="00A44C31">
            <w:pPr>
              <w:rPr>
                <w:rFonts w:cs="Times New Roman"/>
                <w:lang w:val="ru-RU"/>
              </w:rPr>
            </w:pPr>
            <w:r w:rsidRPr="00F53357">
              <w:rPr>
                <w:rFonts w:cs="Times New Roman"/>
              </w:rPr>
              <w:t>29</w:t>
            </w:r>
            <w:r w:rsidR="00A56944">
              <w:rPr>
                <w:rFonts w:cs="Times New Roman"/>
              </w:rPr>
              <w:t xml:space="preserve"> 965</w:t>
            </w:r>
            <w:r w:rsidR="00A56944">
              <w:rPr>
                <w:rFonts w:cs="Times New Roman"/>
                <w:lang w:val="ru-RU"/>
              </w:rPr>
              <w:t xml:space="preserve"> </w:t>
            </w:r>
            <w:r w:rsidR="001C1877">
              <w:rPr>
                <w:rFonts w:cs="Times New Roman"/>
                <w:lang w:val="ru-RU"/>
              </w:rPr>
              <w:t xml:space="preserve">тыс. </w:t>
            </w:r>
            <w:r w:rsidR="00A56944">
              <w:rPr>
                <w:lang w:val="ru-RU"/>
              </w:rPr>
              <w:t>рублей</w:t>
            </w:r>
          </w:p>
        </w:tc>
      </w:tr>
      <w:tr w:rsidR="00284E99" w:rsidRPr="00F53357" w:rsidTr="00BD2412">
        <w:trPr>
          <w:trHeight w:val="35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99" w:rsidRPr="00F53357" w:rsidRDefault="00284E99" w:rsidP="00A44C31">
            <w:pPr>
              <w:rPr>
                <w:rFonts w:cs="Times New Roman"/>
                <w:b/>
              </w:rPr>
            </w:pPr>
          </w:p>
        </w:tc>
        <w:tc>
          <w:tcPr>
            <w:tcW w:w="4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4E99" w:rsidRPr="00F53357" w:rsidRDefault="004B098F" w:rsidP="004B098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Общий размер субсидий</w:t>
            </w:r>
            <w:r w:rsidR="00284E99" w:rsidRPr="00F53357">
              <w:rPr>
                <w:rFonts w:cs="Times New Roman"/>
                <w:b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4E99" w:rsidRPr="00A56944" w:rsidRDefault="00BD2412" w:rsidP="00A44C31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780 182</w:t>
            </w:r>
            <w:r w:rsidR="00A56944">
              <w:rPr>
                <w:rFonts w:cs="Times New Roman"/>
                <w:b/>
                <w:lang w:val="ru-RU"/>
              </w:rPr>
              <w:t xml:space="preserve"> </w:t>
            </w:r>
            <w:r w:rsidR="001C1877">
              <w:rPr>
                <w:rFonts w:cs="Times New Roman"/>
                <w:b/>
                <w:lang w:val="ru-RU"/>
              </w:rPr>
              <w:t xml:space="preserve">тыс. </w:t>
            </w:r>
            <w:r w:rsidR="00A56944">
              <w:rPr>
                <w:lang w:val="ru-RU"/>
              </w:rPr>
              <w:t>рублей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4E99" w:rsidRPr="00A56944" w:rsidRDefault="00A56944" w:rsidP="00A44C31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363 002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 w:rsidR="001C1877">
              <w:rPr>
                <w:rFonts w:cs="Times New Roman"/>
                <w:b/>
                <w:lang w:val="ru-RU"/>
              </w:rPr>
              <w:t xml:space="preserve">тыс. </w:t>
            </w:r>
            <w:r>
              <w:rPr>
                <w:lang w:val="ru-RU"/>
              </w:rPr>
              <w:t>рублей</w:t>
            </w:r>
          </w:p>
        </w:tc>
      </w:tr>
    </w:tbl>
    <w:p w:rsidR="00284E99" w:rsidRPr="00597F3A" w:rsidRDefault="00284E99">
      <w:pPr>
        <w:pStyle w:val="Standard"/>
        <w:jc w:val="both"/>
        <w:rPr>
          <w:lang w:val="ru-RU"/>
        </w:rPr>
      </w:pPr>
    </w:p>
    <w:p w:rsidR="00284E99" w:rsidRDefault="009F7317">
      <w:pPr>
        <w:pStyle w:val="Standard"/>
        <w:jc w:val="both"/>
        <w:rPr>
          <w:lang w:val="ru-RU"/>
        </w:rPr>
      </w:pPr>
      <w:r>
        <w:rPr>
          <w:lang w:val="ru-RU"/>
        </w:rPr>
        <w:t>А</w:t>
      </w:r>
      <w:r w:rsidR="00284E99">
        <w:rPr>
          <w:lang w:val="ru-RU"/>
        </w:rPr>
        <w:t xml:space="preserve">нализ </w:t>
      </w:r>
      <w:r>
        <w:rPr>
          <w:lang w:val="ru-RU"/>
        </w:rPr>
        <w:t xml:space="preserve">списка </w:t>
      </w:r>
      <w:r w:rsidR="00284E99">
        <w:rPr>
          <w:lang w:val="ru-RU"/>
        </w:rPr>
        <w:t>организаций, получающих средства от соответствующих комитетов дает представление о том, в какой степени и какие задачи социальной политики эти механизмы финансирования позволяют решать</w:t>
      </w:r>
      <w:r w:rsidR="001D2244">
        <w:rPr>
          <w:lang w:val="ru-RU"/>
        </w:rPr>
        <w:t xml:space="preserve">. </w:t>
      </w:r>
      <w:r w:rsidR="00284E99">
        <w:rPr>
          <w:lang w:val="ru-RU"/>
        </w:rPr>
        <w:t xml:space="preserve">Очевидным является несоизмеримый объем субсидий, распределяемых по конкурсу комитетом по физической культуре и спорту. В 2011 году львиную долю этих средств — </w:t>
      </w:r>
      <w:r w:rsidR="00D30ED0" w:rsidRPr="006374DE">
        <w:rPr>
          <w:lang w:val="ru-RU"/>
        </w:rPr>
        <w:t xml:space="preserve">500 </w:t>
      </w:r>
      <w:r w:rsidR="00FE59CE">
        <w:rPr>
          <w:lang w:val="ru-RU"/>
        </w:rPr>
        <w:t>000</w:t>
      </w:r>
      <w:r w:rsidR="00D30ED0" w:rsidRPr="006374DE">
        <w:rPr>
          <w:lang w:val="ru-RU"/>
        </w:rPr>
        <w:t xml:space="preserve"> рублей</w:t>
      </w:r>
      <w:r w:rsidR="00284E99">
        <w:rPr>
          <w:lang w:val="ru-RU"/>
        </w:rPr>
        <w:t xml:space="preserve"> получил «Благотворительный фонд поддержки и развития баскетбольного клуба «Спартак» (Санкт-Петербург), который является некоммерческой организацией. На порядок меньшие суммы (62 750 рублей и 64 200 рублей соответственно) в 2012 году получили Женский баскетбольный клуб «Спартак» и футбольный клуб «ПОЛИТЕХ», которые по своей нормативно-правовой форме являются некоммерческими партнерствами. </w:t>
      </w:r>
      <w:r w:rsidR="000C330E">
        <w:rPr>
          <w:lang w:val="ru-RU"/>
        </w:rPr>
        <w:t xml:space="preserve">Эти два примера как раз демонстрируют изменение системы финансирования бывших государственных учреждений, которые приобретают статус некоммерческих организаций и переходят на проектное финансирование своей деятельности. Однако, параллельно с финансированием проектов бывших государственных учреждений, комитет поддерживает </w:t>
      </w:r>
      <w:r w:rsidR="00284E99">
        <w:rPr>
          <w:lang w:val="ru-RU"/>
        </w:rPr>
        <w:t xml:space="preserve">и менее </w:t>
      </w:r>
      <w:r w:rsidR="00FE59CE">
        <w:rPr>
          <w:lang w:val="ru-RU"/>
        </w:rPr>
        <w:t>затратные</w:t>
      </w:r>
      <w:r w:rsidR="00284E99">
        <w:rPr>
          <w:lang w:val="ru-RU"/>
        </w:rPr>
        <w:t xml:space="preserve"> проекты</w:t>
      </w:r>
      <w:r w:rsidR="00FE59CE">
        <w:rPr>
          <w:lang w:val="ru-RU"/>
        </w:rPr>
        <w:t xml:space="preserve">: </w:t>
      </w:r>
      <w:r w:rsidR="00284E99">
        <w:rPr>
          <w:lang w:val="ru-RU"/>
        </w:rPr>
        <w:t xml:space="preserve">в 2011 году финансовую </w:t>
      </w:r>
      <w:r w:rsidR="00284E99">
        <w:rPr>
          <w:lang w:val="ru-RU"/>
        </w:rPr>
        <w:lastRenderedPageBreak/>
        <w:t>поддержку получили 17 организаций, а в 2012 — только 8 организаций.</w:t>
      </w:r>
    </w:p>
    <w:p w:rsidR="001965F1" w:rsidRDefault="001965F1">
      <w:pPr>
        <w:pStyle w:val="Standard"/>
        <w:jc w:val="both"/>
        <w:rPr>
          <w:lang w:val="ru-RU"/>
        </w:rPr>
      </w:pPr>
    </w:p>
    <w:p w:rsidR="00284E99" w:rsidRDefault="00284E99">
      <w:pPr>
        <w:pStyle w:val="Standard"/>
        <w:jc w:val="both"/>
        <w:rPr>
          <w:lang w:val="ru-RU"/>
        </w:rPr>
      </w:pPr>
      <w:r>
        <w:rPr>
          <w:lang w:val="ru-RU"/>
        </w:rPr>
        <w:t>В целом, количество организаций, получивших финансовую поддержку в виде субсидий</w:t>
      </w:r>
      <w:r w:rsidR="00E14A98">
        <w:rPr>
          <w:lang w:val="ru-RU"/>
        </w:rPr>
        <w:t xml:space="preserve"> из бюджета Санкт-Петербурга</w:t>
      </w:r>
      <w:r>
        <w:rPr>
          <w:lang w:val="ru-RU"/>
        </w:rPr>
        <w:t>, также серьезно отличается в зависимости от комитета. Средние показатели объема финансирования организаций по комитетам в 2011 году явно это демонстрирует:</w:t>
      </w:r>
    </w:p>
    <w:p w:rsidR="00284E99" w:rsidRDefault="00284E99">
      <w:pPr>
        <w:pStyle w:val="Standard"/>
        <w:jc w:val="both"/>
        <w:rPr>
          <w:lang w:val="ru-RU"/>
        </w:rPr>
      </w:pPr>
    </w:p>
    <w:p w:rsidR="00E14A98" w:rsidRDefault="00BD2412">
      <w:pPr>
        <w:pStyle w:val="Standard"/>
        <w:jc w:val="both"/>
        <w:rPr>
          <w:lang w:val="ru-RU"/>
        </w:rPr>
      </w:pPr>
      <w:r>
        <w:rPr>
          <w:lang w:val="ru-RU"/>
        </w:rPr>
        <w:t xml:space="preserve">Таблица 4. </w:t>
      </w:r>
      <w:r w:rsidR="007F7E10">
        <w:rPr>
          <w:lang w:val="ru-RU"/>
        </w:rPr>
        <w:t xml:space="preserve">Размеры субсидий, выделенных комитетами </w:t>
      </w:r>
      <w:r w:rsidR="005454F7">
        <w:rPr>
          <w:lang w:val="ru-RU"/>
        </w:rPr>
        <w:t>(данные реестра за 2011 год)</w:t>
      </w:r>
    </w:p>
    <w:p w:rsidR="00E14A98" w:rsidRDefault="00E14A98">
      <w:pPr>
        <w:pStyle w:val="Standard"/>
        <w:jc w:val="both"/>
        <w:rPr>
          <w:lang w:val="ru-RU"/>
        </w:rPr>
      </w:pPr>
    </w:p>
    <w:tbl>
      <w:tblPr>
        <w:tblW w:w="9600" w:type="dxa"/>
        <w:tblInd w:w="4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700"/>
        <w:gridCol w:w="1077"/>
        <w:gridCol w:w="2532"/>
        <w:gridCol w:w="2582"/>
      </w:tblGrid>
      <w:tr w:rsidR="00284E99" w:rsidTr="0037392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99" w:rsidRDefault="00284E9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99" w:rsidRDefault="00284E99" w:rsidP="007F7E1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Название комитета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99" w:rsidRDefault="00284E99" w:rsidP="007F7E1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Кол-во </w:t>
            </w:r>
            <w:proofErr w:type="spellStart"/>
            <w:r w:rsidR="00E14A98">
              <w:rPr>
                <w:lang w:val="ru-RU"/>
              </w:rPr>
              <w:t>орг-ций</w:t>
            </w:r>
            <w:proofErr w:type="spellEnd"/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99" w:rsidRDefault="00284E99" w:rsidP="007F7E1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Среднее значение выделяемой суммы субсидии</w:t>
            </w:r>
            <w:r w:rsidR="00042B93">
              <w:rPr>
                <w:lang w:val="ru-RU"/>
              </w:rPr>
              <w:t xml:space="preserve"> (тыс. рублей)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99" w:rsidRDefault="00284E99" w:rsidP="007F7E1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Общая сумма выделенных субсидий</w:t>
            </w:r>
            <w:r w:rsidR="00E14A98">
              <w:rPr>
                <w:lang w:val="ru-RU"/>
              </w:rPr>
              <w:t xml:space="preserve"> (тыс. рублей)</w:t>
            </w:r>
          </w:p>
        </w:tc>
      </w:tr>
      <w:tr w:rsidR="00284E99" w:rsidTr="00373929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99" w:rsidRDefault="00284E99">
            <w:pPr>
              <w:pStyle w:val="TableContents"/>
              <w:numPr>
                <w:ilvl w:val="0"/>
                <w:numId w:val="6"/>
              </w:numPr>
              <w:jc w:val="both"/>
              <w:rPr>
                <w:lang w:val="ru-RU"/>
              </w:rPr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99" w:rsidRDefault="00284E99" w:rsidP="006B240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Комитет по социальной политике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99" w:rsidRPr="00E14A98" w:rsidRDefault="005454F7" w:rsidP="006374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2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99" w:rsidRDefault="005454F7" w:rsidP="005454F7">
            <w:pPr>
              <w:pStyle w:val="TableContents"/>
              <w:jc w:val="both"/>
            </w:pPr>
            <w:r>
              <w:rPr>
                <w:lang w:val="ru-RU"/>
              </w:rPr>
              <w:t>1</w:t>
            </w:r>
            <w:r w:rsidR="00284E99">
              <w:t xml:space="preserve"> </w:t>
            </w:r>
            <w:r>
              <w:rPr>
                <w:lang w:val="ru-RU"/>
              </w:rPr>
              <w:t>809</w:t>
            </w:r>
            <w:r w:rsidR="00284E99">
              <w:t xml:space="preserve"> </w:t>
            </w:r>
            <w:r w:rsidR="001C1877">
              <w:rPr>
                <w:lang w:val="ru-RU"/>
              </w:rPr>
              <w:t xml:space="preserve">тыс. </w:t>
            </w:r>
            <w:r w:rsidR="00284E99">
              <w:rPr>
                <w:lang w:val="ru-RU"/>
              </w:rPr>
              <w:t>рублей</w:t>
            </w:r>
          </w:p>
        </w:tc>
        <w:tc>
          <w:tcPr>
            <w:tcW w:w="2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99" w:rsidRPr="00536112" w:rsidRDefault="00E14A98" w:rsidP="00F210E7">
            <w:pPr>
              <w:pStyle w:val="TableContents"/>
              <w:jc w:val="both"/>
            </w:pPr>
            <w:r>
              <w:rPr>
                <w:lang w:val="ru-RU"/>
              </w:rPr>
              <w:t>1</w:t>
            </w:r>
            <w:r w:rsidR="00284E99" w:rsidRPr="00536112">
              <w:t>0</w:t>
            </w:r>
            <w:r>
              <w:rPr>
                <w:lang w:val="ru-RU"/>
              </w:rPr>
              <w:t xml:space="preserve">3 </w:t>
            </w:r>
            <w:r w:rsidR="00284E99" w:rsidRPr="00536112">
              <w:t>1</w:t>
            </w:r>
            <w:r w:rsidR="00F210E7">
              <w:rPr>
                <w:lang w:val="ru-RU"/>
              </w:rPr>
              <w:t>13</w:t>
            </w:r>
            <w:r w:rsidR="00284E99" w:rsidRPr="00536112">
              <w:t xml:space="preserve"> </w:t>
            </w:r>
            <w:r w:rsidR="001C1877">
              <w:rPr>
                <w:lang w:val="ru-RU"/>
              </w:rPr>
              <w:t xml:space="preserve">тыс. </w:t>
            </w:r>
            <w:r w:rsidR="00284E99" w:rsidRPr="00536112">
              <w:rPr>
                <w:lang w:val="ru-RU"/>
              </w:rPr>
              <w:t>рублей</w:t>
            </w:r>
          </w:p>
        </w:tc>
      </w:tr>
      <w:tr w:rsidR="00284E99" w:rsidTr="00373929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99" w:rsidRDefault="00284E99">
            <w:pPr>
              <w:pStyle w:val="TableContents"/>
              <w:numPr>
                <w:ilvl w:val="0"/>
                <w:numId w:val="6"/>
              </w:numPr>
              <w:jc w:val="both"/>
              <w:rPr>
                <w:lang w:val="ru-RU"/>
              </w:rPr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99" w:rsidRDefault="00284E99" w:rsidP="006B240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Комитет по физической культуре и спорту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99" w:rsidRDefault="00284E99" w:rsidP="006374DE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2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99" w:rsidRDefault="005454F7" w:rsidP="005454F7">
            <w:pPr>
              <w:pStyle w:val="TableContents"/>
              <w:jc w:val="both"/>
            </w:pPr>
            <w:r>
              <w:rPr>
                <w:lang w:val="ru-RU"/>
              </w:rPr>
              <w:t>39</w:t>
            </w:r>
            <w:r w:rsidR="00284E99">
              <w:t xml:space="preserve"> </w:t>
            </w:r>
            <w:r>
              <w:rPr>
                <w:lang w:val="ru-RU"/>
              </w:rPr>
              <w:t>785</w:t>
            </w:r>
            <w:r w:rsidR="00284E99">
              <w:t xml:space="preserve"> </w:t>
            </w:r>
            <w:r w:rsidR="001C1877">
              <w:rPr>
                <w:lang w:val="ru-RU"/>
              </w:rPr>
              <w:t xml:space="preserve">тыс. </w:t>
            </w:r>
            <w:r w:rsidR="00284E99">
              <w:rPr>
                <w:lang w:val="ru-RU"/>
              </w:rPr>
              <w:t>рублей</w:t>
            </w:r>
          </w:p>
        </w:tc>
        <w:tc>
          <w:tcPr>
            <w:tcW w:w="2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99" w:rsidRPr="00536112" w:rsidRDefault="00F210E7" w:rsidP="00F210E7">
            <w:pPr>
              <w:pStyle w:val="TableContents"/>
              <w:jc w:val="both"/>
            </w:pPr>
            <w:r>
              <w:t>716 142</w:t>
            </w:r>
            <w:r w:rsidR="00284E99" w:rsidRPr="00536112">
              <w:t xml:space="preserve"> </w:t>
            </w:r>
            <w:r w:rsidR="001C1877">
              <w:rPr>
                <w:lang w:val="ru-RU"/>
              </w:rPr>
              <w:t xml:space="preserve">тыс. </w:t>
            </w:r>
            <w:r w:rsidR="00284E99" w:rsidRPr="00536112">
              <w:rPr>
                <w:lang w:val="ru-RU"/>
              </w:rPr>
              <w:t>рублей</w:t>
            </w:r>
          </w:p>
        </w:tc>
      </w:tr>
      <w:tr w:rsidR="00284E99" w:rsidTr="00373929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99" w:rsidRDefault="00284E99">
            <w:pPr>
              <w:pStyle w:val="TableContents"/>
              <w:numPr>
                <w:ilvl w:val="0"/>
                <w:numId w:val="6"/>
              </w:numPr>
              <w:jc w:val="both"/>
              <w:rPr>
                <w:lang w:val="ru-RU"/>
              </w:rPr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99" w:rsidRDefault="00284E99" w:rsidP="006B240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Комитет по вопросам СМИ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99" w:rsidRDefault="00284E99" w:rsidP="006374DE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2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99" w:rsidRDefault="00F210E7" w:rsidP="00042B93">
            <w:pPr>
              <w:pStyle w:val="TableContents"/>
              <w:jc w:val="both"/>
            </w:pPr>
            <w:r>
              <w:t>716</w:t>
            </w:r>
            <w:r w:rsidR="00284E99">
              <w:t xml:space="preserve"> </w:t>
            </w:r>
            <w:r w:rsidR="001C1877">
              <w:rPr>
                <w:lang w:val="ru-RU"/>
              </w:rPr>
              <w:t xml:space="preserve">тыс. </w:t>
            </w:r>
            <w:r w:rsidR="00284E99">
              <w:rPr>
                <w:lang w:val="ru-RU"/>
              </w:rPr>
              <w:t>рублей</w:t>
            </w:r>
          </w:p>
        </w:tc>
        <w:tc>
          <w:tcPr>
            <w:tcW w:w="2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99" w:rsidRPr="00536112" w:rsidRDefault="00F210E7" w:rsidP="00F210E7">
            <w:pPr>
              <w:pStyle w:val="TableContents"/>
              <w:jc w:val="both"/>
            </w:pPr>
            <w:r>
              <w:t>7 880</w:t>
            </w:r>
            <w:r>
              <w:rPr>
                <w:lang w:val="ru-RU"/>
              </w:rPr>
              <w:t xml:space="preserve"> </w:t>
            </w:r>
            <w:r w:rsidR="001C1877">
              <w:rPr>
                <w:lang w:val="ru-RU"/>
              </w:rPr>
              <w:t xml:space="preserve">тыс. </w:t>
            </w:r>
            <w:r w:rsidR="00284E99" w:rsidRPr="00536112">
              <w:rPr>
                <w:lang w:val="ru-RU"/>
              </w:rPr>
              <w:t>рублей</w:t>
            </w:r>
          </w:p>
        </w:tc>
      </w:tr>
      <w:tr w:rsidR="00284E99" w:rsidTr="00373929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99" w:rsidRDefault="00284E99">
            <w:pPr>
              <w:pStyle w:val="TableContents"/>
              <w:numPr>
                <w:ilvl w:val="0"/>
                <w:numId w:val="6"/>
              </w:numPr>
              <w:jc w:val="both"/>
              <w:rPr>
                <w:lang w:val="ru-RU"/>
              </w:rPr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99" w:rsidRDefault="00284E99" w:rsidP="006B240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Комитет по труду и занятости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99" w:rsidRDefault="00284E99" w:rsidP="006374DE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2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99" w:rsidRDefault="00284E99" w:rsidP="00F210E7">
            <w:pPr>
              <w:pStyle w:val="TableContents"/>
              <w:jc w:val="both"/>
            </w:pPr>
            <w:r>
              <w:t xml:space="preserve">1 511 </w:t>
            </w:r>
            <w:r w:rsidR="001C1877">
              <w:rPr>
                <w:lang w:val="ru-RU"/>
              </w:rPr>
              <w:t xml:space="preserve">тыс. </w:t>
            </w:r>
            <w:r>
              <w:rPr>
                <w:lang w:val="ru-RU"/>
              </w:rPr>
              <w:t>рублей</w:t>
            </w:r>
          </w:p>
        </w:tc>
        <w:tc>
          <w:tcPr>
            <w:tcW w:w="2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99" w:rsidRPr="00536112" w:rsidRDefault="00F210E7" w:rsidP="00F210E7">
            <w:pPr>
              <w:pStyle w:val="TableContents"/>
              <w:jc w:val="both"/>
            </w:pPr>
            <w:r>
              <w:t>19 646</w:t>
            </w:r>
            <w:r w:rsidR="00284E99" w:rsidRPr="00536112">
              <w:t xml:space="preserve"> </w:t>
            </w:r>
            <w:r w:rsidR="001C1877">
              <w:rPr>
                <w:lang w:val="ru-RU"/>
              </w:rPr>
              <w:t xml:space="preserve">тыс. </w:t>
            </w:r>
            <w:r w:rsidR="00284E99" w:rsidRPr="00536112">
              <w:rPr>
                <w:lang w:val="ru-RU"/>
              </w:rPr>
              <w:t>рублей</w:t>
            </w:r>
          </w:p>
        </w:tc>
      </w:tr>
      <w:tr w:rsidR="00284E99" w:rsidTr="00373929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99" w:rsidRDefault="00284E99">
            <w:pPr>
              <w:pStyle w:val="TableContents"/>
              <w:numPr>
                <w:ilvl w:val="0"/>
                <w:numId w:val="6"/>
              </w:numPr>
              <w:jc w:val="both"/>
              <w:rPr>
                <w:lang w:val="ru-RU"/>
              </w:rPr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99" w:rsidRDefault="00284E99" w:rsidP="006B240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Комитет по молодежной политике и взаимодействию с общественными организациями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99" w:rsidRPr="00CF3A43" w:rsidRDefault="00284E99" w:rsidP="006374DE">
            <w:pPr>
              <w:pStyle w:val="TableContents"/>
              <w:jc w:val="center"/>
              <w:rPr>
                <w:lang w:val="ru-RU"/>
              </w:rPr>
            </w:pPr>
            <w:r>
              <w:t>3</w:t>
            </w:r>
            <w:r w:rsidR="00CF3A43">
              <w:rPr>
                <w:lang w:val="ru-RU"/>
              </w:rPr>
              <w:t>4</w:t>
            </w:r>
          </w:p>
        </w:tc>
        <w:tc>
          <w:tcPr>
            <w:tcW w:w="2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99" w:rsidRDefault="00CF3A43" w:rsidP="00F210E7">
            <w:pPr>
              <w:pStyle w:val="TableContents"/>
              <w:jc w:val="both"/>
            </w:pPr>
            <w:r>
              <w:rPr>
                <w:lang w:val="ru-RU"/>
              </w:rPr>
              <w:t>3</w:t>
            </w:r>
            <w:r w:rsidR="00F210E7">
              <w:t>0</w:t>
            </w:r>
            <w:r>
              <w:rPr>
                <w:lang w:val="ru-RU"/>
              </w:rPr>
              <w:t>3</w:t>
            </w:r>
            <w:r w:rsidR="00284E99">
              <w:t xml:space="preserve"> </w:t>
            </w:r>
            <w:r w:rsidR="001C1877">
              <w:rPr>
                <w:lang w:val="ru-RU"/>
              </w:rPr>
              <w:t xml:space="preserve">тыс. </w:t>
            </w:r>
            <w:r w:rsidR="00284E99">
              <w:rPr>
                <w:lang w:val="ru-RU"/>
              </w:rPr>
              <w:t>рублей</w:t>
            </w:r>
          </w:p>
        </w:tc>
        <w:tc>
          <w:tcPr>
            <w:tcW w:w="2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99" w:rsidRPr="00536112" w:rsidRDefault="00284E99" w:rsidP="00F210E7">
            <w:pPr>
              <w:pStyle w:val="TableContents"/>
              <w:jc w:val="both"/>
            </w:pPr>
            <w:r w:rsidRPr="00536112">
              <w:t>10 326</w:t>
            </w:r>
            <w:r w:rsidR="00F210E7">
              <w:rPr>
                <w:lang w:val="ru-RU"/>
              </w:rPr>
              <w:t xml:space="preserve"> </w:t>
            </w:r>
            <w:r w:rsidR="001C1877">
              <w:rPr>
                <w:lang w:val="ru-RU"/>
              </w:rPr>
              <w:t xml:space="preserve">тыс. </w:t>
            </w:r>
            <w:r w:rsidRPr="00536112">
              <w:rPr>
                <w:lang w:val="ru-RU"/>
              </w:rPr>
              <w:t>рублей</w:t>
            </w:r>
          </w:p>
        </w:tc>
      </w:tr>
      <w:tr w:rsidR="00284E99" w:rsidTr="00373929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99" w:rsidRDefault="00284E99">
            <w:pPr>
              <w:pStyle w:val="TableContents"/>
              <w:numPr>
                <w:ilvl w:val="0"/>
                <w:numId w:val="6"/>
              </w:numPr>
              <w:jc w:val="both"/>
              <w:rPr>
                <w:lang w:val="ru-RU"/>
              </w:rPr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99" w:rsidRDefault="00284E99" w:rsidP="006B240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Комитет по культуре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99" w:rsidRDefault="00284E99" w:rsidP="006374DE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2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99" w:rsidRDefault="00284E99" w:rsidP="00F210E7">
            <w:pPr>
              <w:pStyle w:val="TableContents"/>
              <w:jc w:val="both"/>
            </w:pPr>
            <w:r>
              <w:t xml:space="preserve">838 </w:t>
            </w:r>
            <w:r w:rsidR="001C1877">
              <w:rPr>
                <w:lang w:val="ru-RU"/>
              </w:rPr>
              <w:t xml:space="preserve">тыс. </w:t>
            </w:r>
            <w:r>
              <w:rPr>
                <w:lang w:val="ru-RU"/>
              </w:rPr>
              <w:t>рублей</w:t>
            </w:r>
          </w:p>
        </w:tc>
        <w:tc>
          <w:tcPr>
            <w:tcW w:w="2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99" w:rsidRPr="00536112" w:rsidRDefault="00284E99" w:rsidP="00042B93">
            <w:pPr>
              <w:pStyle w:val="TableContents"/>
              <w:jc w:val="both"/>
            </w:pPr>
            <w:r w:rsidRPr="00536112">
              <w:t xml:space="preserve">20 130 </w:t>
            </w:r>
            <w:r w:rsidR="001C1877">
              <w:rPr>
                <w:lang w:val="ru-RU"/>
              </w:rPr>
              <w:t xml:space="preserve">тыс. </w:t>
            </w:r>
            <w:r w:rsidRPr="00536112">
              <w:rPr>
                <w:lang w:val="ru-RU"/>
              </w:rPr>
              <w:t>рублей</w:t>
            </w:r>
          </w:p>
        </w:tc>
      </w:tr>
    </w:tbl>
    <w:p w:rsidR="00284E99" w:rsidRDefault="00284E99">
      <w:pPr>
        <w:pStyle w:val="Standard"/>
        <w:jc w:val="both"/>
        <w:rPr>
          <w:lang w:val="ru-RU"/>
        </w:rPr>
      </w:pPr>
    </w:p>
    <w:p w:rsidR="00284E99" w:rsidRDefault="00834D85">
      <w:pPr>
        <w:pStyle w:val="Standard"/>
        <w:jc w:val="both"/>
        <w:rPr>
          <w:lang w:val="ru-RU"/>
        </w:rPr>
      </w:pPr>
      <w:r>
        <w:rPr>
          <w:lang w:val="ru-RU"/>
        </w:rPr>
        <w:t>Очевидно, что к</w:t>
      </w:r>
      <w:r w:rsidR="00284E99">
        <w:rPr>
          <w:lang w:val="ru-RU"/>
        </w:rPr>
        <w:t>омитет по физической культуре и спорту выделяет на порядок больше средств на поддержку проектов, реализуемых негосударственными структурами. Далее по объему следуют комитет по социальной политике и комитет по труду и занятости, которые в среднем выделяют сопоставимые суммы. Субсидии комитета по молодежной политике и взаимодействию с общественными организациями являются самыми скромными. Для сравнения, целевым образом (прямое финансирование организаций из бюджета Санкт-Петербурга) в 2011 году было профинансировано 128 организаций, средний объем субсидии составил 481 076 тысяч рублей.</w:t>
      </w:r>
    </w:p>
    <w:p w:rsidR="00284E99" w:rsidRDefault="00284E99">
      <w:pPr>
        <w:pStyle w:val="Standard"/>
        <w:jc w:val="both"/>
        <w:rPr>
          <w:lang w:val="ru-RU"/>
        </w:rPr>
      </w:pPr>
    </w:p>
    <w:p w:rsidR="00284E99" w:rsidRPr="00122F6D" w:rsidRDefault="00284E99">
      <w:pPr>
        <w:pStyle w:val="Standard"/>
        <w:jc w:val="both"/>
        <w:rPr>
          <w:lang w:val="ru-RU"/>
        </w:rPr>
      </w:pPr>
      <w:r>
        <w:rPr>
          <w:lang w:val="ru-RU"/>
        </w:rPr>
        <w:t xml:space="preserve">Помимо ограничений, связанных с несоразмерными ресурсами участвующих организаций, одной из слабых сторон процедуры предоставления субсидий является то, что они только покрывают расходы на реализованные проекты и не подразумевают авансирования. Эта осторожность государства в инвестировании, граничащая с недоверием сектору серьезно снижает эффективность процедуры, поскольку выводит за рамки значительное число организаций. Как отмечает президент </w:t>
      </w:r>
      <w:r w:rsidRPr="00122F6D">
        <w:rPr>
          <w:lang w:val="ru-RU"/>
        </w:rPr>
        <w:t>Санкт-</w:t>
      </w:r>
      <w:r>
        <w:rPr>
          <w:lang w:val="ru-RU"/>
        </w:rPr>
        <w:t>Петербургской</w:t>
      </w:r>
      <w:r w:rsidRPr="00122F6D">
        <w:rPr>
          <w:lang w:val="ru-RU"/>
        </w:rPr>
        <w:t xml:space="preserve"> ассоциации общественных объединений родителей детей-инвалидов</w:t>
      </w:r>
      <w:r>
        <w:rPr>
          <w:lang w:val="ru-RU"/>
        </w:rPr>
        <w:t xml:space="preserve"> «ГАООРДИ» Маргарита Алексеевна </w:t>
      </w:r>
      <w:proofErr w:type="spellStart"/>
      <w:r>
        <w:rPr>
          <w:lang w:val="ru-RU"/>
        </w:rPr>
        <w:t>Урманчеева</w:t>
      </w:r>
      <w:proofErr w:type="spellEnd"/>
      <w:r>
        <w:rPr>
          <w:lang w:val="ru-RU"/>
        </w:rPr>
        <w:t>: «поскольку субсидии приходят постфактум (в прошлом году субсидии были получены только в июне), сложно вести финансы, выплачивать зарплату сотрудникам»</w:t>
      </w:r>
      <w:r w:rsidR="00D37FC8">
        <w:rPr>
          <w:lang w:val="ru-RU"/>
        </w:rPr>
        <w:t>.</w:t>
      </w:r>
      <w:r w:rsidRPr="00373929">
        <w:rPr>
          <w:rStyle w:val="ab"/>
          <w:lang w:val="ru-RU"/>
        </w:rPr>
        <w:footnoteReference w:id="12"/>
      </w:r>
      <w:r>
        <w:rPr>
          <w:lang w:val="ru-RU"/>
        </w:rPr>
        <w:t xml:space="preserve"> Таким образом, субсидиями могут воспользоваться только те организации, которые обладают </w:t>
      </w:r>
      <w:r w:rsidR="00D37FC8" w:rsidRPr="00FA51D0">
        <w:rPr>
          <w:lang w:val="ru-RU"/>
        </w:rPr>
        <w:t xml:space="preserve">дополнительными </w:t>
      </w:r>
      <w:r w:rsidRPr="00FA51D0">
        <w:rPr>
          <w:lang w:val="ru-RU"/>
        </w:rPr>
        <w:t xml:space="preserve">оборотными </w:t>
      </w:r>
      <w:r w:rsidR="006374DE" w:rsidRPr="00FA51D0">
        <w:rPr>
          <w:lang w:val="ru-RU"/>
        </w:rPr>
        <w:t>средствами</w:t>
      </w:r>
      <w:r w:rsidRPr="00FA51D0">
        <w:rPr>
          <w:lang w:val="ru-RU"/>
        </w:rPr>
        <w:t xml:space="preserve"> и могут позволить себе реализовать проект за </w:t>
      </w:r>
      <w:r w:rsidRPr="00FA51D0">
        <w:rPr>
          <w:lang w:val="ru-RU"/>
        </w:rPr>
        <w:lastRenderedPageBreak/>
        <w:t xml:space="preserve">собственный счет с последующим </w:t>
      </w:r>
      <w:r>
        <w:rPr>
          <w:lang w:val="ru-RU"/>
        </w:rPr>
        <w:t>возмещением затрат.</w:t>
      </w:r>
    </w:p>
    <w:p w:rsidR="001965F1" w:rsidRDefault="001965F1">
      <w:pPr>
        <w:pStyle w:val="Standard"/>
        <w:jc w:val="both"/>
        <w:rPr>
          <w:lang w:val="ru-RU"/>
        </w:rPr>
      </w:pPr>
    </w:p>
    <w:p w:rsidR="00284E99" w:rsidRDefault="0040058E">
      <w:pPr>
        <w:pStyle w:val="Standard"/>
        <w:jc w:val="both"/>
        <w:rPr>
          <w:lang w:val="ru-RU"/>
        </w:rPr>
      </w:pPr>
      <w:r>
        <w:rPr>
          <w:lang w:val="ru-RU"/>
        </w:rPr>
        <w:t xml:space="preserve">Вычисленная средняя стоимость проектов и численность профинансированных организаций позволяет сделать вывод о финансовых возможностях и стратегиях комитетов при распределении средств. </w:t>
      </w:r>
      <w:r w:rsidR="00284E99">
        <w:rPr>
          <w:lang w:val="ru-RU"/>
        </w:rPr>
        <w:t xml:space="preserve">Учитывая опыт комитета по физической культуре и спорту, можно констатировать, что конкурс субсидий используется для финансирования </w:t>
      </w:r>
      <w:r w:rsidR="005D3046">
        <w:rPr>
          <w:lang w:val="ru-RU"/>
        </w:rPr>
        <w:t>бывших г</w:t>
      </w:r>
      <w:r w:rsidR="00284E99">
        <w:rPr>
          <w:lang w:val="ru-RU"/>
        </w:rPr>
        <w:t xml:space="preserve">осударственных </w:t>
      </w:r>
      <w:r w:rsidR="005D3046">
        <w:rPr>
          <w:lang w:val="ru-RU"/>
        </w:rPr>
        <w:t>учреждений</w:t>
      </w:r>
      <w:r w:rsidR="00284E99">
        <w:rPr>
          <w:lang w:val="ru-RU"/>
        </w:rPr>
        <w:t xml:space="preserve">, что позволяет внедрить механизмы проектного менеджмента для работы с бывшими государственными учреждениями. А это, в свою очередь, открывает возможности для включения НКО в совместные проекты и не мешает комитету поощрять мене затратные проекты, реализуемые некоммерческими организациями. </w:t>
      </w:r>
      <w:r>
        <w:rPr>
          <w:lang w:val="ru-RU"/>
        </w:rPr>
        <w:t>В то же время, комитет по молодежной политике и взаимодействию с общественными объединениями, комитет по труду и занятости</w:t>
      </w:r>
      <w:r w:rsidR="000B6484">
        <w:rPr>
          <w:lang w:val="ru-RU"/>
        </w:rPr>
        <w:t>,</w:t>
      </w:r>
      <w:r>
        <w:rPr>
          <w:lang w:val="ru-RU"/>
        </w:rPr>
        <w:t xml:space="preserve"> как правило</w:t>
      </w:r>
      <w:r w:rsidR="000B6484">
        <w:rPr>
          <w:lang w:val="ru-RU"/>
        </w:rPr>
        <w:t>,</w:t>
      </w:r>
      <w:r w:rsidR="00284E99">
        <w:rPr>
          <w:lang w:val="ru-RU"/>
        </w:rPr>
        <w:t xml:space="preserve"> финансир</w:t>
      </w:r>
      <w:r>
        <w:rPr>
          <w:lang w:val="ru-RU"/>
        </w:rPr>
        <w:t>уют</w:t>
      </w:r>
      <w:r w:rsidR="00284E99">
        <w:rPr>
          <w:lang w:val="ru-RU"/>
        </w:rPr>
        <w:t xml:space="preserve"> большое</w:t>
      </w:r>
      <w:r>
        <w:rPr>
          <w:lang w:val="ru-RU"/>
        </w:rPr>
        <w:t xml:space="preserve"> количество небольших проектов</w:t>
      </w:r>
      <w:r w:rsidR="00284E99">
        <w:rPr>
          <w:lang w:val="ru-RU"/>
        </w:rPr>
        <w:t>.</w:t>
      </w:r>
      <w:r w:rsidR="000B6484">
        <w:rPr>
          <w:lang w:val="ru-RU"/>
        </w:rPr>
        <w:t xml:space="preserve"> Комитет по социальной политике занимает особое положение, поскольку наравне с субсидиями сотрудники администрируют и компенсацию за коммунальные </w:t>
      </w:r>
      <w:proofErr w:type="gramStart"/>
      <w:r w:rsidR="000B6484">
        <w:rPr>
          <w:lang w:val="ru-RU"/>
        </w:rPr>
        <w:t>расходы</w:t>
      </w:r>
      <w:proofErr w:type="gramEnd"/>
      <w:r w:rsidR="000B6484">
        <w:rPr>
          <w:lang w:val="ru-RU"/>
        </w:rPr>
        <w:t xml:space="preserve"> и конкурс </w:t>
      </w:r>
      <w:r w:rsidR="00B11B0E">
        <w:rPr>
          <w:lang w:val="ru-RU"/>
        </w:rPr>
        <w:t xml:space="preserve">субсидий на </w:t>
      </w:r>
      <w:r w:rsidR="000B6484">
        <w:rPr>
          <w:lang w:val="ru-RU"/>
        </w:rPr>
        <w:t>поддержк</w:t>
      </w:r>
      <w:r w:rsidR="00B11B0E">
        <w:rPr>
          <w:lang w:val="ru-RU"/>
        </w:rPr>
        <w:t>у</w:t>
      </w:r>
      <w:r w:rsidR="000B6484">
        <w:rPr>
          <w:lang w:val="ru-RU"/>
        </w:rPr>
        <w:t xml:space="preserve"> СО НКО.</w:t>
      </w:r>
    </w:p>
    <w:p w:rsidR="0040058E" w:rsidRDefault="0040058E">
      <w:pPr>
        <w:pStyle w:val="Standard"/>
        <w:jc w:val="both"/>
        <w:rPr>
          <w:b/>
          <w:bCs/>
          <w:lang w:val="ru-RU"/>
        </w:rPr>
      </w:pPr>
    </w:p>
    <w:p w:rsidR="00284E99" w:rsidRDefault="00487575">
      <w:pPr>
        <w:pStyle w:val="Standard"/>
        <w:jc w:val="both"/>
        <w:rPr>
          <w:b/>
          <w:bCs/>
          <w:lang w:val="ru-RU"/>
        </w:rPr>
      </w:pPr>
      <w:r w:rsidRPr="00FC7D9A">
        <w:rPr>
          <w:b/>
          <w:bCs/>
          <w:lang w:val="ru-RU"/>
        </w:rPr>
        <w:t>Правительственная</w:t>
      </w:r>
      <w:r w:rsidR="00284E99">
        <w:rPr>
          <w:b/>
          <w:bCs/>
          <w:lang w:val="ru-RU"/>
        </w:rPr>
        <w:t xml:space="preserve"> программа поддержки СО НКО</w:t>
      </w:r>
    </w:p>
    <w:p w:rsidR="00BF3BCA" w:rsidRDefault="00BF3BCA">
      <w:pPr>
        <w:pStyle w:val="Standard"/>
        <w:jc w:val="both"/>
        <w:rPr>
          <w:lang w:val="ru-RU"/>
        </w:rPr>
      </w:pPr>
    </w:p>
    <w:p w:rsidR="00284E99" w:rsidRDefault="006C2586">
      <w:pPr>
        <w:pStyle w:val="Standard"/>
        <w:jc w:val="both"/>
        <w:rPr>
          <w:lang w:val="ru-RU"/>
        </w:rPr>
      </w:pPr>
      <w:r>
        <w:rPr>
          <w:lang w:val="ru-RU"/>
        </w:rPr>
        <w:t xml:space="preserve">Прежде чем перейти к анализу результатов финансирования НКО </w:t>
      </w:r>
      <w:r w:rsidR="00F05F5B" w:rsidRPr="005F6F4A">
        <w:rPr>
          <w:lang w:val="ru-RU"/>
        </w:rPr>
        <w:t>за счет средств, поступающих в бюджет Санкт-Петербурга из федерального бюджета</w:t>
      </w:r>
      <w:r>
        <w:rPr>
          <w:lang w:val="ru-RU"/>
        </w:rPr>
        <w:t>, необходимо сказать несколько слов о самой идее</w:t>
      </w:r>
      <w:r w:rsidR="00F05F5B">
        <w:rPr>
          <w:lang w:val="ru-RU"/>
        </w:rPr>
        <w:t xml:space="preserve"> конкурса</w:t>
      </w:r>
      <w:r>
        <w:rPr>
          <w:lang w:val="ru-RU"/>
        </w:rPr>
        <w:t>, инициатором которо</w:t>
      </w:r>
      <w:r w:rsidR="00F05F5B">
        <w:rPr>
          <w:lang w:val="ru-RU"/>
        </w:rPr>
        <w:t>го</w:t>
      </w:r>
      <w:r>
        <w:rPr>
          <w:lang w:val="ru-RU"/>
        </w:rPr>
        <w:t xml:space="preserve"> стало Министерство экон</w:t>
      </w:r>
      <w:r w:rsidR="00F05F5B">
        <w:rPr>
          <w:lang w:val="ru-RU"/>
        </w:rPr>
        <w:t>о</w:t>
      </w:r>
      <w:r>
        <w:rPr>
          <w:lang w:val="ru-RU"/>
        </w:rPr>
        <w:t xml:space="preserve">мического развития РФ. </w:t>
      </w:r>
      <w:r w:rsidR="00284E99">
        <w:rPr>
          <w:lang w:val="ru-RU"/>
        </w:rPr>
        <w:t xml:space="preserve">В 2011 году впервые была реализована федеральная программа, общий объем </w:t>
      </w:r>
      <w:proofErr w:type="gramStart"/>
      <w:r w:rsidR="00284E99">
        <w:rPr>
          <w:lang w:val="ru-RU"/>
        </w:rPr>
        <w:t>финансирования</w:t>
      </w:r>
      <w:proofErr w:type="gramEnd"/>
      <w:r w:rsidR="00284E99">
        <w:rPr>
          <w:lang w:val="ru-RU"/>
        </w:rPr>
        <w:t xml:space="preserve"> которой составил 742,1 млн. рублей. Большая часть – 600 млн. рублей была переведена на поддержку региональных правительственных программ, 132 млн. рублей было выделено на поддержку СО НКО по результатам </w:t>
      </w:r>
      <w:r>
        <w:rPr>
          <w:lang w:val="ru-RU"/>
        </w:rPr>
        <w:t>общероссийского</w:t>
      </w:r>
      <w:r w:rsidR="00284E99">
        <w:rPr>
          <w:lang w:val="ru-RU"/>
        </w:rPr>
        <w:t xml:space="preserve"> конкурса. Из оставшейся суммы 6 млн. рублей было потрачено на проведение научных исследований и 3,2 млн. рублей – на информационную поддержку правительственной программы. По результатам конкурсного отбора, 49 регионам были выделены средства на финансирование региональных правительственных программ, которые предполагают выделение средств из местного бюджета. Санкт-Петербург также попал в число этих регионов и поучил наибольший размер субсидий (по сравнению с другими регионами) – 37 591 </w:t>
      </w:r>
      <w:r w:rsidR="0010477A">
        <w:rPr>
          <w:lang w:val="ru-RU"/>
        </w:rPr>
        <w:t xml:space="preserve">тыс. </w:t>
      </w:r>
      <w:r w:rsidR="00284E99">
        <w:rPr>
          <w:lang w:val="ru-RU"/>
        </w:rPr>
        <w:t xml:space="preserve">рублей. По результатам </w:t>
      </w:r>
      <w:r w:rsidR="00FC7D9A">
        <w:rPr>
          <w:lang w:val="ru-RU"/>
        </w:rPr>
        <w:t>общероссийского</w:t>
      </w:r>
      <w:r w:rsidR="00284E99">
        <w:rPr>
          <w:lang w:val="ru-RU"/>
        </w:rPr>
        <w:t xml:space="preserve"> конкурса финансовую поддержку в 2012 году получили 69 некоммерческих организаций и общественных объединений. </w:t>
      </w:r>
      <w:r w:rsidR="00FC7D9A">
        <w:rPr>
          <w:lang w:val="ru-RU"/>
        </w:rPr>
        <w:t xml:space="preserve">Так в числе петербургских </w:t>
      </w:r>
      <w:r w:rsidR="00284E99">
        <w:rPr>
          <w:lang w:val="ru-RU"/>
        </w:rPr>
        <w:t xml:space="preserve">организаций </w:t>
      </w:r>
      <w:r w:rsidR="00FC7D9A">
        <w:rPr>
          <w:lang w:val="ru-RU"/>
        </w:rPr>
        <w:t>можно назвать</w:t>
      </w:r>
      <w:r w:rsidR="00284E99">
        <w:rPr>
          <w:lang w:val="ru-RU"/>
        </w:rPr>
        <w:t xml:space="preserve"> </w:t>
      </w:r>
      <w:r w:rsidR="00FC7D9A">
        <w:rPr>
          <w:lang w:val="ru-RU"/>
        </w:rPr>
        <w:t xml:space="preserve">две - </w:t>
      </w:r>
      <w:r w:rsidR="00284E99">
        <w:rPr>
          <w:lang w:val="ru-RU"/>
        </w:rPr>
        <w:t>«Благотворительное общество «Невский ангел» и Санкт-Петербургская благотворительная организация «Центр развития некоммерческих организаций».</w:t>
      </w:r>
      <w:r w:rsidR="00284E99" w:rsidRPr="00373929">
        <w:rPr>
          <w:rStyle w:val="ab"/>
          <w:lang w:val="ru-RU"/>
        </w:rPr>
        <w:footnoteReference w:id="13"/>
      </w:r>
      <w:r w:rsidR="0010477A">
        <w:rPr>
          <w:lang w:val="ru-RU"/>
        </w:rPr>
        <w:t xml:space="preserve"> Содержательная особенность </w:t>
      </w:r>
      <w:r w:rsidR="00FC7D9A">
        <w:rPr>
          <w:lang w:val="ru-RU"/>
        </w:rPr>
        <w:t xml:space="preserve">как федерального, так и регионального </w:t>
      </w:r>
      <w:r w:rsidR="0010477A">
        <w:rPr>
          <w:lang w:val="ru-RU"/>
        </w:rPr>
        <w:t>конкурса состоит в том, что он имеет своей целью не столько поддержку социально значимых проектов, как в случае с описанными субсидиями, сколько направлен на инфраструктурную поддержку и создание условий для развития сектора в целом.</w:t>
      </w:r>
    </w:p>
    <w:p w:rsidR="00284E99" w:rsidRDefault="00284E99">
      <w:pPr>
        <w:pStyle w:val="Standard"/>
        <w:jc w:val="both"/>
        <w:rPr>
          <w:lang w:val="ru-RU"/>
        </w:rPr>
      </w:pPr>
    </w:p>
    <w:p w:rsidR="00284E99" w:rsidRDefault="00284E99">
      <w:pPr>
        <w:pStyle w:val="Standard"/>
        <w:jc w:val="both"/>
        <w:rPr>
          <w:lang w:val="ru-RU"/>
        </w:rPr>
      </w:pPr>
      <w:r>
        <w:rPr>
          <w:lang w:val="ru-RU"/>
        </w:rPr>
        <w:t xml:space="preserve">Оценивая процедуры принятия правительственных программ и конкурсный отбор, эксперты Центра антикоррупционных исследований и инициатив </w:t>
      </w:r>
      <w:proofErr w:type="spellStart"/>
      <w:r>
        <w:rPr>
          <w:lang w:val="ru-RU"/>
        </w:rPr>
        <w:t>Трансперенси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Интернешнл</w:t>
      </w:r>
      <w:proofErr w:type="spellEnd"/>
      <w:r>
        <w:rPr>
          <w:lang w:val="ru-RU"/>
        </w:rPr>
        <w:t xml:space="preserve"> –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 обнаружили несколько ограничений проведения конкурсов</w:t>
      </w:r>
      <w:r w:rsidR="00FC7D9A">
        <w:rPr>
          <w:lang w:val="ru-RU"/>
        </w:rPr>
        <w:t xml:space="preserve"> в российских регионах</w:t>
      </w:r>
      <w:r>
        <w:rPr>
          <w:lang w:val="ru-RU"/>
        </w:rPr>
        <w:t xml:space="preserve">. Так, имели место корректировки региональных правительственных программ после их оценки Министерством экономического развития РФ. </w:t>
      </w:r>
      <w:r w:rsidR="00B81435">
        <w:rPr>
          <w:lang w:val="ru-RU"/>
        </w:rPr>
        <w:t>Кроме того, с</w:t>
      </w:r>
      <w:r>
        <w:rPr>
          <w:lang w:val="ru-RU"/>
        </w:rPr>
        <w:t xml:space="preserve">остав конкурсных комиссий во многих регионах несбалансирован. А именно, более 50% членов комиссии – </w:t>
      </w:r>
      <w:proofErr w:type="gramStart"/>
      <w:r>
        <w:rPr>
          <w:lang w:val="ru-RU"/>
        </w:rPr>
        <w:lastRenderedPageBreak/>
        <w:t>государственный</w:t>
      </w:r>
      <w:proofErr w:type="gramEnd"/>
      <w:r>
        <w:rPr>
          <w:lang w:val="ru-RU"/>
        </w:rPr>
        <w:t xml:space="preserve"> служащие. Так, в Санкт-Петербурге, 17 членов комиссии (общая численность комиссии – 21) – государственные служащие. </w:t>
      </w:r>
      <w:r w:rsidR="00B81435">
        <w:rPr>
          <w:lang w:val="ru-RU"/>
        </w:rPr>
        <w:t xml:space="preserve">В </w:t>
      </w:r>
      <w:r>
        <w:rPr>
          <w:lang w:val="ru-RU"/>
        </w:rPr>
        <w:t>некоторых регионах, к которым относится и Санкт-Петербург, срок проведения конкурса был чрезвычайно сжатым. В нашем регионе он составил 7 дней, что не способствовало открытости проведения конкурса и доступности информации для всех потенциальных участников. П</w:t>
      </w:r>
      <w:r w:rsidR="00B81435">
        <w:rPr>
          <w:lang w:val="ru-RU"/>
        </w:rPr>
        <w:t>о</w:t>
      </w:r>
      <w:r>
        <w:rPr>
          <w:lang w:val="ru-RU"/>
        </w:rPr>
        <w:t xml:space="preserve"> результатам анализа эксперты приходят к выводу, что проведение конкурсов проходит с «низкой степенью прозрачности и при отсутствии реально действующих механизмов снижения коррупционных рисков».</w:t>
      </w:r>
      <w:r w:rsidRPr="00373929">
        <w:rPr>
          <w:rStyle w:val="ab"/>
          <w:lang w:val="ru-RU"/>
        </w:rPr>
        <w:footnoteReference w:id="14"/>
      </w:r>
    </w:p>
    <w:p w:rsidR="00284E99" w:rsidRDefault="00284E99">
      <w:pPr>
        <w:pStyle w:val="Standard"/>
        <w:jc w:val="both"/>
        <w:rPr>
          <w:lang w:val="ru-RU"/>
        </w:rPr>
      </w:pPr>
    </w:p>
    <w:p w:rsidR="00284E99" w:rsidRPr="00536112" w:rsidRDefault="00284E99">
      <w:pPr>
        <w:pStyle w:val="Standard"/>
        <w:jc w:val="both"/>
        <w:rPr>
          <w:lang w:val="ru-RU"/>
        </w:rPr>
      </w:pPr>
      <w:r w:rsidRPr="00536112">
        <w:rPr>
          <w:lang w:val="ru-RU"/>
        </w:rPr>
        <w:t xml:space="preserve">30 </w:t>
      </w:r>
      <w:r>
        <w:rPr>
          <w:lang w:val="ru-RU"/>
        </w:rPr>
        <w:t xml:space="preserve">сентября 2013 года были подведены результаты конкурса экспертной комиссии, которая распределила </w:t>
      </w:r>
      <w:r w:rsidR="0007666F">
        <w:rPr>
          <w:lang w:val="ru-RU"/>
        </w:rPr>
        <w:t xml:space="preserve">субсидии </w:t>
      </w:r>
      <w:r>
        <w:rPr>
          <w:lang w:val="ru-RU"/>
        </w:rPr>
        <w:t xml:space="preserve">в размере </w:t>
      </w:r>
      <w:r w:rsidR="0007666F">
        <w:rPr>
          <w:lang w:val="ru-RU"/>
        </w:rPr>
        <w:t xml:space="preserve">44 млн. </w:t>
      </w:r>
      <w:r>
        <w:rPr>
          <w:lang w:val="ru-RU"/>
        </w:rPr>
        <w:t xml:space="preserve">рублей </w:t>
      </w:r>
      <w:r w:rsidR="0007666F">
        <w:rPr>
          <w:lang w:val="ru-RU"/>
        </w:rPr>
        <w:t xml:space="preserve">среди 86 </w:t>
      </w:r>
      <w:r w:rsidR="002743C3" w:rsidRPr="0007666F">
        <w:rPr>
          <w:lang w:val="ru-RU"/>
        </w:rPr>
        <w:t>некоммерчески</w:t>
      </w:r>
      <w:r w:rsidR="0007666F" w:rsidRPr="0007666F">
        <w:rPr>
          <w:lang w:val="ru-RU"/>
        </w:rPr>
        <w:t>х</w:t>
      </w:r>
      <w:r w:rsidR="002743C3" w:rsidRPr="0007666F">
        <w:rPr>
          <w:lang w:val="ru-RU"/>
        </w:rPr>
        <w:t xml:space="preserve"> организаци</w:t>
      </w:r>
      <w:r w:rsidR="0007666F" w:rsidRPr="0007666F">
        <w:rPr>
          <w:lang w:val="ru-RU"/>
        </w:rPr>
        <w:t>й</w:t>
      </w:r>
      <w:r w:rsidR="00FF15AC">
        <w:rPr>
          <w:lang w:val="ru-RU"/>
        </w:rPr>
        <w:t>.</w:t>
      </w:r>
      <w:r w:rsidR="0007666F">
        <w:rPr>
          <w:rStyle w:val="ab"/>
          <w:lang w:val="ru-RU"/>
        </w:rPr>
        <w:footnoteReference w:id="15"/>
      </w:r>
      <w:r w:rsidRPr="0007666F">
        <w:rPr>
          <w:lang w:val="ru-RU"/>
        </w:rPr>
        <w:t xml:space="preserve"> Субсидия предоставляется на условиях </w:t>
      </w:r>
      <w:proofErr w:type="spellStart"/>
      <w:r w:rsidRPr="0007666F">
        <w:rPr>
          <w:lang w:val="ru-RU"/>
        </w:rPr>
        <w:t>софинансирования</w:t>
      </w:r>
      <w:proofErr w:type="spellEnd"/>
      <w:r w:rsidRPr="0007666F">
        <w:rPr>
          <w:lang w:val="ru-RU"/>
        </w:rPr>
        <w:t>, приче</w:t>
      </w:r>
      <w:r>
        <w:rPr>
          <w:lang w:val="ru-RU"/>
        </w:rPr>
        <w:t xml:space="preserve">м вклад НКО должен составлять не менее 20% общей суммы проекта. Минимальный размер субсидии — 300 000 рублей, максимальный — 1 000 000 рублей. Цель конкурсного отбора — поддержать СО НКО, реализующие социальные программы, направленные на повышение качества жизни жителей Санкт-Петербурга. Субсидии возмещают затраты, но не предоставляют аванс. Основанием для предоставления субсидий является постановление правительства Санкт-Петербурга от 19.08.2013 года № </w:t>
      </w:r>
      <w:r w:rsidRPr="00536112">
        <w:rPr>
          <w:lang w:val="ru-RU"/>
        </w:rPr>
        <w:t xml:space="preserve">588 </w:t>
      </w:r>
      <w:r>
        <w:rPr>
          <w:lang w:val="ru-RU"/>
        </w:rPr>
        <w:t>«О порядке предоставления в 2013 году субсидий на поддержку социально ориентированных НКО за счет средств, поступающих в бюджет Санкт-Петербурга  из федерального бюджета».</w:t>
      </w:r>
    </w:p>
    <w:p w:rsidR="00284E99" w:rsidRDefault="00284E99">
      <w:pPr>
        <w:pStyle w:val="Standard"/>
        <w:jc w:val="both"/>
        <w:rPr>
          <w:lang w:val="ru-RU"/>
        </w:rPr>
      </w:pPr>
    </w:p>
    <w:p w:rsidR="00284E99" w:rsidRDefault="00284E99">
      <w:pPr>
        <w:pStyle w:val="Standard"/>
        <w:jc w:val="both"/>
        <w:rPr>
          <w:lang w:val="ru-RU"/>
        </w:rPr>
      </w:pPr>
      <w:r>
        <w:rPr>
          <w:lang w:val="ru-RU"/>
        </w:rPr>
        <w:t>Интересным результатом этого конкурса стало участие и победа четырех ветеранских организаций, которые традиционно пользуются возможностями целевого финансирования из бюджета:</w:t>
      </w:r>
    </w:p>
    <w:p w:rsidR="00284E99" w:rsidRPr="00122F6D" w:rsidRDefault="00284E99" w:rsidP="00CA0E12">
      <w:pPr>
        <w:pStyle w:val="a8"/>
        <w:numPr>
          <w:ilvl w:val="0"/>
          <w:numId w:val="15"/>
        </w:numPr>
        <w:rPr>
          <w:rFonts w:cs="Times New Roman"/>
          <w:lang w:val="ru-RU"/>
        </w:rPr>
      </w:pPr>
      <w:r w:rsidRPr="00122F6D">
        <w:rPr>
          <w:rFonts w:cs="Times New Roman"/>
          <w:lang w:val="ru-RU"/>
        </w:rPr>
        <w:t>Петроградское местное отделение  Санкт-Петербургской общественной организации ветеранов (пенсионеров, инвалидов) войны, труда, вооруженных Сил и правоохранительных органов "Посадское"</w:t>
      </w:r>
    </w:p>
    <w:p w:rsidR="00284E99" w:rsidRDefault="00284E99" w:rsidP="00CA0E12">
      <w:pPr>
        <w:pStyle w:val="a8"/>
        <w:numPr>
          <w:ilvl w:val="0"/>
          <w:numId w:val="15"/>
        </w:numPr>
        <w:rPr>
          <w:rFonts w:cs="Times New Roman"/>
          <w:lang w:val="ru-RU"/>
        </w:rPr>
      </w:pPr>
      <w:r w:rsidRPr="00122F6D">
        <w:rPr>
          <w:rFonts w:cs="Times New Roman"/>
          <w:lang w:val="ru-RU"/>
        </w:rPr>
        <w:t>«Солнечный Ветер» Санкт-Петербургская региональная общественная организация защиты ветеранов и пенсионеров</w:t>
      </w:r>
    </w:p>
    <w:p w:rsidR="00284E99" w:rsidRPr="00122F6D" w:rsidRDefault="00284E99" w:rsidP="00CA0E12">
      <w:pPr>
        <w:pStyle w:val="a8"/>
        <w:numPr>
          <w:ilvl w:val="0"/>
          <w:numId w:val="15"/>
        </w:numPr>
        <w:rPr>
          <w:rFonts w:cs="Times New Roman"/>
          <w:lang w:val="ru-RU"/>
        </w:rPr>
      </w:pPr>
      <w:r w:rsidRPr="00122F6D">
        <w:rPr>
          <w:rFonts w:cs="Times New Roman"/>
          <w:lang w:val="ru-RU"/>
        </w:rPr>
        <w:t>«БОЕВОЕ БРАТСТВО» Санкт-Петербургское городское отделение Всероссийской общественной организации ветеранов</w:t>
      </w:r>
    </w:p>
    <w:p w:rsidR="00284E99" w:rsidRDefault="00284E99" w:rsidP="00CA0E12">
      <w:pPr>
        <w:pStyle w:val="a8"/>
        <w:numPr>
          <w:ilvl w:val="0"/>
          <w:numId w:val="15"/>
        </w:numPr>
        <w:rPr>
          <w:rFonts w:cs="Times New Roman"/>
          <w:lang w:val="ru-RU"/>
        </w:rPr>
      </w:pPr>
      <w:r>
        <w:rPr>
          <w:rFonts w:cs="Times New Roman"/>
          <w:lang w:val="ru-RU"/>
        </w:rPr>
        <w:t>«Общество ветеранов Афганистана «Апрель» Санкт-Петербургская общественная организация</w:t>
      </w:r>
    </w:p>
    <w:p w:rsidR="00284E99" w:rsidRDefault="00284E99">
      <w:pPr>
        <w:pStyle w:val="a8"/>
        <w:ind w:left="0" w:firstLine="708"/>
        <w:jc w:val="both"/>
        <w:rPr>
          <w:rFonts w:cs="Times New Roman"/>
          <w:lang w:val="ru-RU"/>
        </w:rPr>
      </w:pPr>
    </w:p>
    <w:p w:rsidR="00284E99" w:rsidRDefault="00284E99">
      <w:pPr>
        <w:pStyle w:val="Standard"/>
        <w:jc w:val="both"/>
        <w:rPr>
          <w:lang w:val="ru-RU"/>
        </w:rPr>
      </w:pPr>
      <w:r>
        <w:rPr>
          <w:lang w:val="ru-RU"/>
        </w:rPr>
        <w:t>Возможно, отчасти участию ветеранских организаций в конкурсе способствовали законодательные новшества, которые включили направление их деятельности в список тех, которые могут быть поддержаны в рамках этого конкурса. Речь идет о  фед</w:t>
      </w:r>
      <w:r w:rsidR="004B26A3">
        <w:rPr>
          <w:lang w:val="ru-RU"/>
        </w:rPr>
        <w:t>еральном законе от 02.07.2013 N</w:t>
      </w:r>
      <w:r>
        <w:rPr>
          <w:lang w:val="ru-RU"/>
        </w:rPr>
        <w:t xml:space="preserve">172-ФЗ «О внесении изменения в статью 31.1 Федерального закона "О некоммерческих организациях», дополняющем виды деятельности социально ориентированных НКО, которым может быть оказана государственная поддержка. К ним теперь также относятся организации, работающие в сфере патриотического, в том числе военно-патриотического, воспитания российских граждан. Таким образом, традиционно ориентированные на государственную помощь организации стали участниками конкурсных процедур. Несмотря на то, что численность этих организаций незначительная, в совокупности с другими примерами освоения бюджетных средств посредством новых </w:t>
      </w:r>
      <w:r>
        <w:rPr>
          <w:lang w:val="ru-RU"/>
        </w:rPr>
        <w:lastRenderedPageBreak/>
        <w:t>механизмов проектного финансирования (о конкретном примере речь пойдет позже) эти данные свидетельствуют о зарождающемся тренде. Организации, традиционно включенные в перераспределение средств на неконкурсной основе в силу их специфики и традиционной государственной поддержки, становятся участниками открытых конкурсов. Несомненно, это  увеличивает уровень конкуренции за ресурсы и показывает, как традиционные сферы социальной ответственности государства, подверженные сокращению, переводятся на новые принципы финансирования, наравне с другими социально-значимыми вопросами.</w:t>
      </w:r>
    </w:p>
    <w:p w:rsidR="00FF15AC" w:rsidRDefault="00FF15AC">
      <w:pPr>
        <w:pStyle w:val="Standard"/>
        <w:jc w:val="both"/>
        <w:rPr>
          <w:b/>
          <w:bCs/>
          <w:lang w:val="ru-RU"/>
        </w:rPr>
      </w:pPr>
    </w:p>
    <w:p w:rsidR="00284E99" w:rsidRDefault="00463898">
      <w:pPr>
        <w:pStyle w:val="Standard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Целевое </w:t>
      </w:r>
      <w:r w:rsidR="00284E99">
        <w:rPr>
          <w:b/>
          <w:bCs/>
          <w:lang w:val="ru-RU"/>
        </w:rPr>
        <w:t xml:space="preserve">финансирование </w:t>
      </w:r>
      <w:r>
        <w:rPr>
          <w:b/>
          <w:bCs/>
          <w:lang w:val="ru-RU"/>
        </w:rPr>
        <w:t xml:space="preserve">НКО </w:t>
      </w:r>
      <w:r w:rsidR="00284E99">
        <w:rPr>
          <w:b/>
          <w:bCs/>
          <w:lang w:val="ru-RU"/>
        </w:rPr>
        <w:t>из бюджета Санкт-Петербурга</w:t>
      </w:r>
    </w:p>
    <w:p w:rsidR="00B81435" w:rsidRDefault="00B81435">
      <w:pPr>
        <w:pStyle w:val="Standard"/>
        <w:jc w:val="both"/>
        <w:rPr>
          <w:b/>
          <w:bCs/>
          <w:lang w:val="ru-RU"/>
        </w:rPr>
      </w:pPr>
    </w:p>
    <w:p w:rsidR="00996128" w:rsidRDefault="00284E99">
      <w:pPr>
        <w:pStyle w:val="Standard"/>
        <w:jc w:val="both"/>
        <w:rPr>
          <w:lang w:val="ru-RU"/>
        </w:rPr>
      </w:pPr>
      <w:r w:rsidRPr="00122F6D">
        <w:rPr>
          <w:lang w:val="ru-RU"/>
        </w:rPr>
        <w:t xml:space="preserve">Анализ </w:t>
      </w:r>
      <w:r>
        <w:rPr>
          <w:lang w:val="ru-RU"/>
        </w:rPr>
        <w:t xml:space="preserve">реестра социально ориентированных НКО, включающий весь спектр финансовой поддержки организаций, </w:t>
      </w:r>
      <w:r w:rsidRPr="00122F6D">
        <w:rPr>
          <w:lang w:val="ru-RU"/>
        </w:rPr>
        <w:t xml:space="preserve">показывает, что организации, </w:t>
      </w:r>
      <w:r>
        <w:rPr>
          <w:lang w:val="ru-RU"/>
        </w:rPr>
        <w:t>традиционно связанные</w:t>
      </w:r>
      <w:r w:rsidRPr="00122F6D">
        <w:rPr>
          <w:lang w:val="ru-RU"/>
        </w:rPr>
        <w:t xml:space="preserve"> </w:t>
      </w:r>
      <w:r>
        <w:rPr>
          <w:lang w:val="ru-RU"/>
        </w:rPr>
        <w:t>с</w:t>
      </w:r>
      <w:r w:rsidRPr="00122F6D">
        <w:rPr>
          <w:lang w:val="ru-RU"/>
        </w:rPr>
        <w:t xml:space="preserve"> </w:t>
      </w:r>
      <w:r>
        <w:rPr>
          <w:lang w:val="ru-RU"/>
        </w:rPr>
        <w:t>системой</w:t>
      </w:r>
      <w:r w:rsidRPr="00122F6D">
        <w:rPr>
          <w:lang w:val="ru-RU"/>
        </w:rPr>
        <w:t xml:space="preserve"> социального обеспечения еще с советских времен, </w:t>
      </w:r>
      <w:r>
        <w:rPr>
          <w:lang w:val="ru-RU"/>
        </w:rPr>
        <w:t>включены в</w:t>
      </w:r>
      <w:r w:rsidRPr="00122F6D">
        <w:rPr>
          <w:lang w:val="ru-RU"/>
        </w:rPr>
        <w:t xml:space="preserve"> целевы</w:t>
      </w:r>
      <w:r>
        <w:rPr>
          <w:lang w:val="ru-RU"/>
        </w:rPr>
        <w:t>е</w:t>
      </w:r>
      <w:r w:rsidRPr="00122F6D">
        <w:rPr>
          <w:lang w:val="ru-RU"/>
        </w:rPr>
        <w:t xml:space="preserve"> механизм</w:t>
      </w:r>
      <w:r>
        <w:rPr>
          <w:lang w:val="ru-RU"/>
        </w:rPr>
        <w:t>ы</w:t>
      </w:r>
      <w:r w:rsidRPr="00122F6D">
        <w:rPr>
          <w:lang w:val="ru-RU"/>
        </w:rPr>
        <w:t xml:space="preserve"> распределения средств. На федеральном уровне ярким примером может служить программа поддержки ветеранов и профсоюзов Министерства здравоохранения и социального развития (до своей реорганизации в мае 2012 года), на основании которой целевым образом распределись средства среди организаций, включенных в закрытый список. Общая сумма финансирования в 2011 году составила 850 млн</w:t>
      </w:r>
      <w:r w:rsidR="00B81435">
        <w:rPr>
          <w:lang w:val="ru-RU"/>
        </w:rPr>
        <w:t>.</w:t>
      </w:r>
      <w:r w:rsidRPr="00122F6D">
        <w:rPr>
          <w:lang w:val="ru-RU"/>
        </w:rPr>
        <w:t xml:space="preserve"> рублей.</w:t>
      </w:r>
      <w:r w:rsidRPr="00373929">
        <w:rPr>
          <w:rStyle w:val="ab"/>
        </w:rPr>
        <w:footnoteReference w:id="16"/>
      </w:r>
      <w:r w:rsidRPr="00122F6D">
        <w:rPr>
          <w:lang w:val="ru-RU"/>
        </w:rPr>
        <w:t xml:space="preserve"> Кроме того, на региональном уровне также существуют подобные финансовые механизмы. П</w:t>
      </w:r>
      <w:r>
        <w:rPr>
          <w:lang w:val="ru-RU"/>
        </w:rPr>
        <w:t>оказательным примером целевого распределения средств являются депутатские поправки в бюджет Санкт-Петербурга. Анализ целевого финансирования НКО из бюджета Санкт-Петербурга в 2010 и 2011 году показал, что на основании депутатских поправок в бюджет города политические партии ежегодно выделяют 97,5% (379 604 900 рублей в 2010 году) и 92,3% (481 076 000 рублей в 2011 году) от общей суммы региональных субсидий для НКО.</w:t>
      </w:r>
      <w:r w:rsidRPr="00373929">
        <w:rPr>
          <w:rStyle w:val="ab"/>
          <w:lang w:val="ru-RU"/>
        </w:rPr>
        <w:footnoteReference w:id="17"/>
      </w:r>
    </w:p>
    <w:p w:rsidR="00996128" w:rsidRDefault="00996128">
      <w:pPr>
        <w:pStyle w:val="Standard"/>
        <w:jc w:val="both"/>
        <w:rPr>
          <w:lang w:val="ru-RU"/>
        </w:rPr>
      </w:pPr>
    </w:p>
    <w:p w:rsidR="00284E99" w:rsidRPr="00122F6D" w:rsidRDefault="00284E99">
      <w:pPr>
        <w:pStyle w:val="Standard"/>
        <w:jc w:val="both"/>
        <w:rPr>
          <w:lang w:val="ru-RU"/>
        </w:rPr>
      </w:pPr>
      <w:r>
        <w:rPr>
          <w:lang w:val="ru-RU"/>
        </w:rPr>
        <w:t>Значительную группу получателей составляют районные организации Всероссийской общественной организации ветеранов (пенсионеров) войны, труда, вооруженных сил и правоохранительных органов; районные организации Санкт-Петербургской городской организации Общероссийской общественной организации «Всероссийское общество инвалидов», и подобные им организации различных родов войск, а также инвалидов. В целом, видно, что традиционные сферы социальной ответственности государства финансируются напрямую из бюджета посредством механизма «коллективн</w:t>
      </w:r>
      <w:r w:rsidR="00463898">
        <w:rPr>
          <w:lang w:val="ru-RU"/>
        </w:rPr>
        <w:t>ой</w:t>
      </w:r>
      <w:r>
        <w:rPr>
          <w:lang w:val="ru-RU"/>
        </w:rPr>
        <w:t xml:space="preserve"> поправк</w:t>
      </w:r>
      <w:r w:rsidR="00463898">
        <w:rPr>
          <w:lang w:val="ru-RU"/>
        </w:rPr>
        <w:t>и»</w:t>
      </w:r>
      <w:r>
        <w:rPr>
          <w:lang w:val="ru-RU"/>
        </w:rPr>
        <w:t>.</w:t>
      </w:r>
    </w:p>
    <w:p w:rsidR="00284E99" w:rsidRDefault="00284E99">
      <w:pPr>
        <w:pStyle w:val="Standard"/>
        <w:jc w:val="both"/>
        <w:rPr>
          <w:lang w:val="ru-RU"/>
        </w:rPr>
      </w:pPr>
    </w:p>
    <w:p w:rsidR="00284E99" w:rsidRPr="00E50BC4" w:rsidRDefault="00284E99" w:rsidP="005F645E">
      <w:pPr>
        <w:jc w:val="both"/>
        <w:rPr>
          <w:lang w:val="ru-RU"/>
        </w:rPr>
      </w:pPr>
      <w:r>
        <w:rPr>
          <w:lang w:val="ru-RU"/>
        </w:rPr>
        <w:t xml:space="preserve">Еще одной разновидностью прямой поддержки НКО является компенсация затрат на коммунальные расходы. </w:t>
      </w:r>
      <w:r w:rsidRPr="00122F6D">
        <w:rPr>
          <w:lang w:val="ru-RU"/>
        </w:rPr>
        <w:t xml:space="preserve">Подавляющее большинство организаций, которым были выделены </w:t>
      </w:r>
      <w:r>
        <w:rPr>
          <w:lang w:val="ru-RU"/>
        </w:rPr>
        <w:t xml:space="preserve">подобного рода </w:t>
      </w:r>
      <w:r w:rsidRPr="00122F6D">
        <w:rPr>
          <w:lang w:val="ru-RU"/>
        </w:rPr>
        <w:t>субсидии</w:t>
      </w:r>
      <w:r>
        <w:rPr>
          <w:lang w:val="ru-RU"/>
        </w:rPr>
        <w:t>,</w:t>
      </w:r>
      <w:r w:rsidRPr="00122F6D">
        <w:rPr>
          <w:lang w:val="ru-RU"/>
        </w:rPr>
        <w:t xml:space="preserve"> представляют</w:t>
      </w:r>
      <w:r w:rsidR="00B81435">
        <w:rPr>
          <w:lang w:val="ru-RU"/>
        </w:rPr>
        <w:t>ся на основании з</w:t>
      </w:r>
      <w:r w:rsidR="00B56ED6" w:rsidRPr="00B56ED6">
        <w:rPr>
          <w:lang w:val="ru-RU"/>
        </w:rPr>
        <w:t xml:space="preserve">акона Санкт-Петербурга от 22.05.1997г. № 76-24 </w:t>
      </w:r>
      <w:r w:rsidR="00B56ED6">
        <w:rPr>
          <w:lang w:val="ru-RU"/>
        </w:rPr>
        <w:t>«О государственной поддержке об</w:t>
      </w:r>
      <w:r w:rsidR="00B56ED6" w:rsidRPr="00B56ED6">
        <w:rPr>
          <w:lang w:val="ru-RU"/>
        </w:rPr>
        <w:t>щественных объединени</w:t>
      </w:r>
      <w:r w:rsidR="00B56ED6">
        <w:rPr>
          <w:lang w:val="ru-RU"/>
        </w:rPr>
        <w:t>й ветеранов войны и труда, узни</w:t>
      </w:r>
      <w:r w:rsidR="00B56ED6" w:rsidRPr="00B56ED6">
        <w:rPr>
          <w:lang w:val="ru-RU"/>
        </w:rPr>
        <w:t>ков фашистских концла</w:t>
      </w:r>
      <w:r w:rsidR="00B56ED6">
        <w:rPr>
          <w:lang w:val="ru-RU"/>
        </w:rPr>
        <w:t>герей, инвалидов и жертв полити</w:t>
      </w:r>
      <w:r w:rsidR="00B56ED6" w:rsidRPr="00B56ED6">
        <w:rPr>
          <w:lang w:val="ru-RU"/>
        </w:rPr>
        <w:t>ческих репрессий Санкт-Петербурга»</w:t>
      </w:r>
      <w:r w:rsidR="00B81435">
        <w:rPr>
          <w:lang w:val="ru-RU"/>
        </w:rPr>
        <w:t xml:space="preserve">. Прежде всего. Это такие организации как </w:t>
      </w:r>
      <w:r w:rsidRPr="00122F6D">
        <w:rPr>
          <w:lang w:val="ru-RU"/>
        </w:rPr>
        <w:t>«Ассоциация ветеранов, инвалидов и пенсионеров»</w:t>
      </w:r>
      <w:r w:rsidR="00B81435">
        <w:rPr>
          <w:lang w:val="ru-RU"/>
        </w:rPr>
        <w:t>,</w:t>
      </w:r>
      <w:r w:rsidRPr="00122F6D">
        <w:rPr>
          <w:lang w:val="ru-RU"/>
        </w:rPr>
        <w:t xml:space="preserve"> </w:t>
      </w:r>
      <w:r w:rsidR="00B81435">
        <w:rPr>
          <w:lang w:val="ru-RU"/>
        </w:rPr>
        <w:t>м</w:t>
      </w:r>
      <w:r w:rsidRPr="00122F6D">
        <w:rPr>
          <w:lang w:val="ru-RU"/>
        </w:rPr>
        <w:t>ежрегиональная общественная организации</w:t>
      </w:r>
      <w:r w:rsidR="00B81435">
        <w:rPr>
          <w:lang w:val="ru-RU"/>
        </w:rPr>
        <w:t xml:space="preserve"> </w:t>
      </w:r>
      <w:r w:rsidR="005F645E">
        <w:rPr>
          <w:lang w:val="ru-RU"/>
        </w:rPr>
        <w:t>«Всероссийское общество и</w:t>
      </w:r>
      <w:r w:rsidRPr="00122F6D">
        <w:rPr>
          <w:lang w:val="ru-RU"/>
        </w:rPr>
        <w:t>нвалидов»</w:t>
      </w:r>
      <w:r w:rsidR="005F645E">
        <w:rPr>
          <w:lang w:val="ru-RU"/>
        </w:rPr>
        <w:t>,</w:t>
      </w:r>
      <w:r w:rsidRPr="00122F6D">
        <w:rPr>
          <w:lang w:val="ru-RU"/>
        </w:rPr>
        <w:t xml:space="preserve"> «ГАООРДИ» Санкт-Петербургская ассоциация общественных объединений родителей детей-инвалидов</w:t>
      </w:r>
      <w:r w:rsidR="005F645E">
        <w:rPr>
          <w:lang w:val="ru-RU"/>
        </w:rPr>
        <w:t xml:space="preserve">, </w:t>
      </w:r>
      <w:r w:rsidRPr="00122F6D">
        <w:rPr>
          <w:lang w:val="ru-RU"/>
        </w:rPr>
        <w:t xml:space="preserve">«Кедр» региональный </w:t>
      </w:r>
      <w:r w:rsidRPr="00122F6D">
        <w:rPr>
          <w:lang w:val="ru-RU"/>
        </w:rPr>
        <w:lastRenderedPageBreak/>
        <w:t>общественный благотворительный Фонд социальной реабили</w:t>
      </w:r>
      <w:r w:rsidR="005F645E">
        <w:rPr>
          <w:lang w:val="ru-RU"/>
        </w:rPr>
        <w:t>тации и помощи инвалидам и другие.</w:t>
      </w:r>
    </w:p>
    <w:p w:rsidR="001965F1" w:rsidRDefault="001965F1">
      <w:pPr>
        <w:pStyle w:val="Standard"/>
        <w:jc w:val="both"/>
        <w:rPr>
          <w:b/>
          <w:bCs/>
          <w:lang w:val="ru-RU"/>
        </w:rPr>
      </w:pPr>
    </w:p>
    <w:p w:rsidR="00284E99" w:rsidRDefault="00284E99">
      <w:pPr>
        <w:pStyle w:val="Standard"/>
        <w:jc w:val="both"/>
        <w:rPr>
          <w:b/>
          <w:bCs/>
          <w:lang w:val="ru-RU"/>
        </w:rPr>
      </w:pPr>
      <w:r>
        <w:rPr>
          <w:b/>
          <w:bCs/>
          <w:lang w:val="ru-RU"/>
        </w:rPr>
        <w:t>Участие НКО в государственном заказе: миф или реальность?</w:t>
      </w:r>
    </w:p>
    <w:p w:rsidR="00284E99" w:rsidRDefault="00284E99">
      <w:pPr>
        <w:pStyle w:val="Standard"/>
        <w:jc w:val="both"/>
        <w:rPr>
          <w:lang w:val="ru-RU"/>
        </w:rPr>
      </w:pPr>
    </w:p>
    <w:p w:rsidR="007E3D1D" w:rsidRDefault="007E3D1D">
      <w:pPr>
        <w:pStyle w:val="Standard"/>
        <w:jc w:val="both"/>
        <w:rPr>
          <w:lang w:val="ru-RU"/>
        </w:rPr>
      </w:pPr>
      <w:r>
        <w:rPr>
          <w:lang w:val="ru-RU"/>
        </w:rPr>
        <w:t>Государственный заказ является одним их механ</w:t>
      </w:r>
      <w:r w:rsidR="00A3205E">
        <w:rPr>
          <w:lang w:val="ru-RU"/>
        </w:rPr>
        <w:t xml:space="preserve">измов аутсорсинга, который </w:t>
      </w:r>
      <w:r>
        <w:rPr>
          <w:lang w:val="ru-RU"/>
        </w:rPr>
        <w:t xml:space="preserve">ориентирован </w:t>
      </w:r>
      <w:r w:rsidR="00A3205E">
        <w:rPr>
          <w:lang w:val="ru-RU"/>
        </w:rPr>
        <w:t xml:space="preserve">на избавление от непрофильной деятельности. Отчасти это объясняет тот факт, что государственный заказ практически не задействован в некоммерческом секторе как механизм финансирования социальных проектов. </w:t>
      </w:r>
    </w:p>
    <w:p w:rsidR="00A3205E" w:rsidRDefault="00A3205E">
      <w:pPr>
        <w:pStyle w:val="Standard"/>
        <w:jc w:val="both"/>
        <w:rPr>
          <w:lang w:val="ru-RU"/>
        </w:rPr>
      </w:pPr>
    </w:p>
    <w:p w:rsidR="00284E99" w:rsidRDefault="00284E99">
      <w:pPr>
        <w:pStyle w:val="Standard"/>
        <w:jc w:val="both"/>
        <w:rPr>
          <w:lang w:val="ru-RU"/>
        </w:rPr>
      </w:pPr>
      <w:r>
        <w:rPr>
          <w:lang w:val="ru-RU"/>
        </w:rPr>
        <w:t xml:space="preserve">Найти организации, которые успешно участвовали в конкурсах на реализацию государственного заказа довольно сложно. Сложность в поиске информации о получателях бюджетных средств по результатам конкурса на государственный </w:t>
      </w:r>
      <w:proofErr w:type="gramStart"/>
      <w:r>
        <w:rPr>
          <w:lang w:val="ru-RU"/>
        </w:rPr>
        <w:t>заказ</w:t>
      </w:r>
      <w:proofErr w:type="gramEnd"/>
      <w:r>
        <w:rPr>
          <w:lang w:val="ru-RU"/>
        </w:rPr>
        <w:t xml:space="preserve"> в том числе свидетельствует о слабой информационной поддержке этого механизма и его непрозрачности. </w:t>
      </w:r>
      <w:proofErr w:type="gramStart"/>
      <w:r>
        <w:rPr>
          <w:lang w:val="ru-RU"/>
        </w:rPr>
        <w:t xml:space="preserve">Вместе с тем, успешным примером освоения механизма государственного заказа является </w:t>
      </w:r>
      <w:r w:rsidR="00FF15AC">
        <w:rPr>
          <w:lang w:val="ru-RU"/>
        </w:rPr>
        <w:t xml:space="preserve">предоставление </w:t>
      </w:r>
      <w:r>
        <w:rPr>
          <w:lang w:val="ru-RU"/>
        </w:rPr>
        <w:t>услуги сиделок для пожилых силами  благотворительного центра «Забота-ХЭСЭД Авраам».</w:t>
      </w:r>
      <w:proofErr w:type="gramEnd"/>
      <w:r>
        <w:rPr>
          <w:lang w:val="ru-RU"/>
        </w:rPr>
        <w:t xml:space="preserve"> Как отмечает директор благотворительного центра «</w:t>
      </w:r>
      <w:proofErr w:type="spellStart"/>
      <w:r>
        <w:rPr>
          <w:lang w:val="ru-RU"/>
        </w:rPr>
        <w:t>Забота-ХЭСЭД</w:t>
      </w:r>
      <w:proofErr w:type="spellEnd"/>
      <w:r>
        <w:rPr>
          <w:lang w:val="ru-RU"/>
        </w:rPr>
        <w:t xml:space="preserve"> Авраам» Леонид </w:t>
      </w:r>
      <w:proofErr w:type="spellStart"/>
      <w:r>
        <w:rPr>
          <w:lang w:val="ru-RU"/>
        </w:rPr>
        <w:t>Колтон</w:t>
      </w:r>
      <w:proofErr w:type="spellEnd"/>
      <w:r>
        <w:rPr>
          <w:lang w:val="ru-RU"/>
        </w:rPr>
        <w:t>: «Мы сначала показали, что услуга востребована, реализовали проекты при помощи субсидии, а потом участвовали в конкурсе на государственный заказ»</w:t>
      </w:r>
      <w:r w:rsidR="00FF15AC">
        <w:rPr>
          <w:lang w:val="ru-RU"/>
        </w:rPr>
        <w:t>.</w:t>
      </w:r>
      <w:r w:rsidRPr="00373929">
        <w:rPr>
          <w:rStyle w:val="ab"/>
          <w:lang w:val="ru-RU"/>
        </w:rPr>
        <w:footnoteReference w:id="18"/>
      </w:r>
      <w:r>
        <w:rPr>
          <w:lang w:val="ru-RU"/>
        </w:rPr>
        <w:t xml:space="preserve"> При этом, организация конкурировала наравне с коммерческими структурами за право реализовывать этот проект на основаниях государственного заказа. Преимущество некоммерческой организации, как считает Леонид </w:t>
      </w:r>
      <w:proofErr w:type="spellStart"/>
      <w:r>
        <w:rPr>
          <w:lang w:val="ru-RU"/>
        </w:rPr>
        <w:t>Колтон</w:t>
      </w:r>
      <w:proofErr w:type="spellEnd"/>
      <w:r>
        <w:rPr>
          <w:lang w:val="ru-RU"/>
        </w:rPr>
        <w:t xml:space="preserve">, состоит в том, что «в отличие от рынка, который ориентирован на рынок,  НКО реализуют ту повестку дня, которую «заказывают» потребители и целевая группа». Очевидно, что </w:t>
      </w:r>
      <w:r w:rsidR="00FF15AC">
        <w:rPr>
          <w:lang w:val="ru-RU"/>
        </w:rPr>
        <w:t>«</w:t>
      </w:r>
      <w:proofErr w:type="spellStart"/>
      <w:r w:rsidR="00FF15AC">
        <w:rPr>
          <w:lang w:val="ru-RU"/>
        </w:rPr>
        <w:t>Забота-</w:t>
      </w:r>
      <w:r>
        <w:rPr>
          <w:lang w:val="ru-RU"/>
        </w:rPr>
        <w:t>ХЭСЭД</w:t>
      </w:r>
      <w:proofErr w:type="spellEnd"/>
      <w:r>
        <w:rPr>
          <w:lang w:val="ru-RU"/>
        </w:rPr>
        <w:t xml:space="preserve"> Авраам</w:t>
      </w:r>
      <w:r w:rsidR="00FF15AC">
        <w:rPr>
          <w:lang w:val="ru-RU"/>
        </w:rPr>
        <w:t>»</w:t>
      </w:r>
      <w:r>
        <w:rPr>
          <w:lang w:val="ru-RU"/>
        </w:rPr>
        <w:t xml:space="preserve"> является пионером в этой сфере, а в целом же этот механизм остается неосвоенным некоммерческими организациями по нескольким причинам.</w:t>
      </w:r>
    </w:p>
    <w:p w:rsidR="00284E99" w:rsidRDefault="00284E99">
      <w:pPr>
        <w:pStyle w:val="Standard"/>
        <w:jc w:val="both"/>
        <w:rPr>
          <w:lang w:val="ru-RU"/>
        </w:rPr>
      </w:pPr>
    </w:p>
    <w:p w:rsidR="00284E99" w:rsidRDefault="00284E99">
      <w:pPr>
        <w:pStyle w:val="Standard"/>
        <w:jc w:val="both"/>
        <w:rPr>
          <w:lang w:val="ru-RU"/>
        </w:rPr>
      </w:pPr>
      <w:r>
        <w:rPr>
          <w:lang w:val="ru-RU"/>
        </w:rPr>
        <w:t>Как показывает анализ Санкт-Петербургского портала государственных закупок и обзор рабочей группы «Развитие общественных институтов» (Стратегия 2020), государственный заказ является маргинальным для целей реализации социальных проектов усилиями некоммерческих организаций и малого бизнеса. Прежде всего, потому что эта сфера монополизирована государственными и муниципальными учреждениями.</w:t>
      </w:r>
      <w:r w:rsidRPr="00373929">
        <w:rPr>
          <w:rStyle w:val="ab"/>
          <w:lang w:val="ru-RU"/>
        </w:rPr>
        <w:footnoteReference w:id="19"/>
      </w:r>
      <w:r>
        <w:rPr>
          <w:lang w:val="ru-RU"/>
        </w:rPr>
        <w:t xml:space="preserve"> Это связано с тем, что традиционно все социальные услуги предоставлялись государственными учреждениями и новые принципы и конкурсные процедуры пока не способны преодолеть инерцию существующей системы. Следует отметить, что одним из препятствий для НКО является тот факт, что в конкурсе на предоставление государственного заказа в подавляющем большинстве участвуют крупные лоты, которые требуют наличия у организаций инфраструктуры (например, организация детского отдыха). Этого, конечно, НКО не могут себе позволить. Вместе с тем, многие СО НКО города Санкт-Петербурга являются производителями комплексных, высокоспециализированных услуг, которые не выставляются на конкурс. Более того, Постановлением Правительства Санкт-Петербурга был принят «рациональный наб</w:t>
      </w:r>
      <w:r w:rsidR="00AF2384">
        <w:rPr>
          <w:lang w:val="ru-RU"/>
        </w:rPr>
        <w:t xml:space="preserve">ор социальных услуг», который планируется </w:t>
      </w:r>
      <w:r>
        <w:rPr>
          <w:lang w:val="ru-RU"/>
        </w:rPr>
        <w:t>закупать у альтернативных поставщиков. Такое ограничение, несомненно, противоречит логике формирования рынка услуг, ориентированного на потребности граждан. Таким образом, спектр предлагаемых на конкурс государственного заказа услуг не учитывает этих особенностей и большинство услуг представленных на конкурс, являются неспециализированными (</w:t>
      </w:r>
      <w:proofErr w:type="spellStart"/>
      <w:r>
        <w:rPr>
          <w:lang w:val="ru-RU"/>
        </w:rPr>
        <w:t>клининг</w:t>
      </w:r>
      <w:proofErr w:type="spellEnd"/>
      <w:r>
        <w:rPr>
          <w:lang w:val="ru-RU"/>
        </w:rPr>
        <w:t xml:space="preserve">, бухгалтерия, </w:t>
      </w:r>
      <w:r>
        <w:rPr>
          <w:lang w:val="ru-RU"/>
        </w:rPr>
        <w:lastRenderedPageBreak/>
        <w:t>транспортные услуги и т.д.). В результате, только незначительное количество НКО участвовали в конкурсах на государственный заказ, среди них можно назвать некоммерческое партнерство «Доверие», Санкт-Петербургская общественная организация «Врачи детям», АНО «Партнерство каждому ребенку», АНО «Институт раннего вмешательства» и др.</w:t>
      </w:r>
    </w:p>
    <w:p w:rsidR="00284E99" w:rsidRPr="00122F6D" w:rsidRDefault="00284E99">
      <w:pPr>
        <w:pStyle w:val="Standard"/>
        <w:jc w:val="both"/>
        <w:rPr>
          <w:lang w:val="ru-RU"/>
        </w:rPr>
      </w:pPr>
    </w:p>
    <w:p w:rsidR="00284E99" w:rsidRPr="00122F6D" w:rsidRDefault="00284E99">
      <w:pPr>
        <w:pStyle w:val="Standard"/>
        <w:jc w:val="both"/>
        <w:rPr>
          <w:lang w:val="ru-RU"/>
        </w:rPr>
      </w:pPr>
      <w:r w:rsidRPr="00122F6D">
        <w:rPr>
          <w:lang w:val="ru-RU"/>
        </w:rPr>
        <w:t>Так, на основании Закона Санкт-Петербурга «О заказе Санкт-Петербурга» (с изменениями от 31.12.2003 года) в статье 6 указано, что 5% от суммы средств, предусмотренных на финансирование закупки продукции для государственных нужд Санкт-Петербурга, могут быть распределены без проведения торгов. Это относится к продукции предприятий Всероссийского общества слепых, Всероссийского общества глухих, общественных объединений инвалидов, имеющих статус всероссийских (общероссийских), и их структурных подразделений, расположенных на территории Санкт-Петербурга.</w:t>
      </w:r>
    </w:p>
    <w:p w:rsidR="00284E99" w:rsidRPr="00122F6D" w:rsidRDefault="00284E99">
      <w:pPr>
        <w:pStyle w:val="Standard"/>
        <w:jc w:val="both"/>
        <w:rPr>
          <w:lang w:val="ru-RU"/>
        </w:rPr>
      </w:pPr>
    </w:p>
    <w:p w:rsidR="00284E99" w:rsidRPr="00122F6D" w:rsidRDefault="00284E99">
      <w:pPr>
        <w:pStyle w:val="Standard"/>
        <w:jc w:val="both"/>
        <w:rPr>
          <w:lang w:val="ru-RU"/>
        </w:rPr>
      </w:pPr>
      <w:r>
        <w:rPr>
          <w:lang w:val="ru-RU"/>
        </w:rPr>
        <w:t>Вместе с тем, в следующем году вступят в силу два законодательных новшества, которые должны стимулировать участие НКО в конкурсах государственного заказа. Так, п</w:t>
      </w:r>
      <w:r w:rsidRPr="00122F6D">
        <w:rPr>
          <w:lang w:val="ru-RU"/>
        </w:rPr>
        <w:t xml:space="preserve">озитивная дискриминация в отношении СО НКО, учредителями которых не являются федеральные или региональные органы государственной власти </w:t>
      </w:r>
      <w:r>
        <w:rPr>
          <w:lang w:val="ru-RU"/>
        </w:rPr>
        <w:t xml:space="preserve">предусмотрена </w:t>
      </w:r>
      <w:r w:rsidRPr="00122F6D">
        <w:rPr>
          <w:lang w:val="ru-RU"/>
        </w:rPr>
        <w:t>федеральны</w:t>
      </w:r>
      <w:r>
        <w:rPr>
          <w:lang w:val="ru-RU"/>
        </w:rPr>
        <w:t>м</w:t>
      </w:r>
      <w:r w:rsidRPr="00122F6D">
        <w:rPr>
          <w:lang w:val="ru-RU"/>
        </w:rPr>
        <w:t xml:space="preserve"> закон</w:t>
      </w:r>
      <w:r>
        <w:rPr>
          <w:lang w:val="ru-RU"/>
        </w:rPr>
        <w:t>ом</w:t>
      </w:r>
      <w:r w:rsidRPr="00122F6D">
        <w:rPr>
          <w:lang w:val="ru-RU"/>
        </w:rPr>
        <w:t xml:space="preserve"> «О размещении заказов на поставки товаров, выполнение работ, оказание услуг  государственных и муниципальных нужд №94-ФЗ 21.07.2005 (вступит в силу в 2014). Так, государственные и муниципальные заказчики должны будут отдавать не менее 15% от объема закупок СО НКО и малым предпринимателям. При этом начальная (максимальная) цена контракта не должна превышать 20 миллионов рублей.</w:t>
      </w:r>
      <w:r>
        <w:rPr>
          <w:lang w:val="ru-RU"/>
        </w:rPr>
        <w:t xml:space="preserve"> Кроме того, федеральный закон «О социальном обслуживании населения», который </w:t>
      </w:r>
      <w:proofErr w:type="gramStart"/>
      <w:r>
        <w:rPr>
          <w:lang w:val="ru-RU"/>
        </w:rPr>
        <w:t xml:space="preserve">прошел первое чтение в Государственной Думе </w:t>
      </w:r>
      <w:r w:rsidR="00BF3BCA">
        <w:rPr>
          <w:lang w:val="ru-RU"/>
        </w:rPr>
        <w:t xml:space="preserve">РФ </w:t>
      </w:r>
      <w:r>
        <w:rPr>
          <w:lang w:val="ru-RU"/>
        </w:rPr>
        <w:t>также должен</w:t>
      </w:r>
      <w:proofErr w:type="gramEnd"/>
      <w:r>
        <w:rPr>
          <w:lang w:val="ru-RU"/>
        </w:rPr>
        <w:t xml:space="preserve"> создать процедуры участия НКО в конкурсах по получение государственного заказа. Заместитель директора по социальному предпринимательству ХЭСЭД Авраам Сергей Захаров комментирует закон следующим образом: "вся регулирующая часть отдана регионам, это рамочный закон. Предполагается трансформация системы социального обслуживания, где будет значительный доступ для негосударственных поставщиков».</w:t>
      </w:r>
    </w:p>
    <w:p w:rsidR="00284E99" w:rsidRDefault="00284E99">
      <w:pPr>
        <w:pStyle w:val="Standard"/>
        <w:jc w:val="both"/>
        <w:rPr>
          <w:lang w:val="ru-RU"/>
        </w:rPr>
      </w:pPr>
    </w:p>
    <w:p w:rsidR="00284E99" w:rsidRPr="00122F6D" w:rsidRDefault="00284E99">
      <w:pPr>
        <w:pStyle w:val="Standard"/>
        <w:jc w:val="both"/>
        <w:rPr>
          <w:lang w:val="ru-RU"/>
        </w:rPr>
      </w:pPr>
      <w:r>
        <w:rPr>
          <w:lang w:val="ru-RU"/>
        </w:rPr>
        <w:t xml:space="preserve">Интересным примером получения государственного финансирования является </w:t>
      </w:r>
      <w:r w:rsidR="00D30ED0" w:rsidRPr="0067237F">
        <w:rPr>
          <w:lang w:val="ru-RU"/>
        </w:rPr>
        <w:t>национальная</w:t>
      </w:r>
      <w:r w:rsidRPr="00122F6D">
        <w:rPr>
          <w:lang w:val="ru-RU"/>
        </w:rPr>
        <w:t xml:space="preserve"> </w:t>
      </w:r>
      <w:r w:rsidR="0067237F">
        <w:rPr>
          <w:lang w:val="ru-RU"/>
        </w:rPr>
        <w:t xml:space="preserve">социальная </w:t>
      </w:r>
      <w:r w:rsidRPr="00122F6D">
        <w:rPr>
          <w:lang w:val="ru-RU"/>
        </w:rPr>
        <w:t>программ</w:t>
      </w:r>
      <w:r>
        <w:rPr>
          <w:lang w:val="ru-RU"/>
        </w:rPr>
        <w:t>а</w:t>
      </w:r>
      <w:r w:rsidRPr="00122F6D">
        <w:rPr>
          <w:lang w:val="ru-RU"/>
        </w:rPr>
        <w:t xml:space="preserve"> «Бабушка и дедушка – </w:t>
      </w:r>
      <w:proofErr w:type="spellStart"/>
      <w:r w:rsidRPr="00122F6D">
        <w:rPr>
          <w:lang w:val="ru-RU"/>
        </w:rPr>
        <w:t>онлайн</w:t>
      </w:r>
      <w:proofErr w:type="spellEnd"/>
      <w:r w:rsidRPr="00122F6D">
        <w:rPr>
          <w:lang w:val="ru-RU"/>
        </w:rPr>
        <w:t>»</w:t>
      </w:r>
      <w:r w:rsidR="00F31C16">
        <w:rPr>
          <w:lang w:val="ru-RU"/>
        </w:rPr>
        <w:t>,</w:t>
      </w:r>
      <w:r w:rsidR="0067237F">
        <w:rPr>
          <w:rStyle w:val="ab"/>
          <w:lang w:val="ru-RU"/>
        </w:rPr>
        <w:footnoteReference w:id="20"/>
      </w:r>
      <w:r w:rsidRPr="00122F6D">
        <w:rPr>
          <w:lang w:val="ru-RU"/>
        </w:rPr>
        <w:t xml:space="preserve"> </w:t>
      </w:r>
      <w:r>
        <w:rPr>
          <w:lang w:val="ru-RU"/>
        </w:rPr>
        <w:t>реализуемая межрегиональной</w:t>
      </w:r>
      <w:r w:rsidRPr="00122F6D">
        <w:rPr>
          <w:lang w:val="ru-RU"/>
        </w:rPr>
        <w:t xml:space="preserve"> </w:t>
      </w:r>
      <w:r>
        <w:rPr>
          <w:lang w:val="ru-RU"/>
        </w:rPr>
        <w:t>общественной</w:t>
      </w:r>
      <w:r w:rsidRPr="00122F6D">
        <w:rPr>
          <w:lang w:val="ru-RU"/>
        </w:rPr>
        <w:t xml:space="preserve"> </w:t>
      </w:r>
      <w:r>
        <w:rPr>
          <w:lang w:val="ru-RU"/>
        </w:rPr>
        <w:t>организацией</w:t>
      </w:r>
      <w:r w:rsidRPr="00122F6D">
        <w:rPr>
          <w:lang w:val="ru-RU"/>
        </w:rPr>
        <w:t xml:space="preserve"> «Ассоциация ветеранов, инвалидов и пенсионеров» (АВИП). Соглашение подразумевает совместную реализацию программы массового обучения граждан пожилого возраста основам ИКТ и получению государственных услуг в электронном виде. АВИП реализует многочисленные социально-значимые проекты, в том числе, программа оказания помощи по защите гражданских прав и решения спорных вопросов в различных сферах жизни и деятельности инвалидов, ветеранов; программа оказания гуманитарной помощи; программа «социальная сервисная служба»; программа «социальный туризм для людей пожилого возраста». </w:t>
      </w:r>
      <w:r>
        <w:rPr>
          <w:lang w:val="ru-RU"/>
        </w:rPr>
        <w:t>Учитывая участие ветеранских организаций в конкурсах на получение субсидий, можно утверждать, что конкуренция за государственное финансирование может серьезно увеличиться с приходом организаций, традиционно поддерживаемых государством и отстаивающих массово поддерживаемую повестку дня.</w:t>
      </w:r>
    </w:p>
    <w:p w:rsidR="00284E99" w:rsidRDefault="00284E99">
      <w:pPr>
        <w:pStyle w:val="Standard"/>
        <w:jc w:val="both"/>
        <w:rPr>
          <w:lang w:val="ru-RU"/>
        </w:rPr>
      </w:pPr>
    </w:p>
    <w:p w:rsidR="00284E99" w:rsidRDefault="00284E99">
      <w:pPr>
        <w:pStyle w:val="Standard"/>
        <w:jc w:val="both"/>
        <w:rPr>
          <w:lang w:val="ru-RU"/>
        </w:rPr>
      </w:pPr>
      <w:r>
        <w:rPr>
          <w:lang w:val="ru-RU"/>
        </w:rPr>
        <w:t xml:space="preserve">Подводя итог, следует отметить, что механизм государственного заказа как рыночный механизм предоставления социальных услуг, чрезвычайно ограничен и требует реформирования. Прежде всего, важным представляется нивелирование монополии государственных учреждений и создание условий </w:t>
      </w:r>
      <w:proofErr w:type="gramStart"/>
      <w:r>
        <w:rPr>
          <w:lang w:val="ru-RU"/>
        </w:rPr>
        <w:t>для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СО</w:t>
      </w:r>
      <w:proofErr w:type="gramEnd"/>
      <w:r>
        <w:rPr>
          <w:lang w:val="ru-RU"/>
        </w:rPr>
        <w:t xml:space="preserve"> НКО (обеспечение инфраструктурой, регулирование налогообложения, решение вопроса о статусе имущества </w:t>
      </w:r>
      <w:r>
        <w:rPr>
          <w:lang w:val="ru-RU"/>
        </w:rPr>
        <w:lastRenderedPageBreak/>
        <w:t>НКО, возможности предоставления кредита и т.д.), что позволило бы им выйти на рынок наравне с государственными и муниципальными учреждениями и коммерческими организациями. Кроме того, очевидно, что эти механизмы в большей степени отражает компромиссную логику, когда государство частично покрывает расходы СО НКО на определенные проекты, но не предоставляет систематические возможности (в том числе, инфраструктурные) для равноправной конкуренции.</w:t>
      </w:r>
    </w:p>
    <w:p w:rsidR="003C5F16" w:rsidRDefault="003C5F16">
      <w:pPr>
        <w:pStyle w:val="Standard"/>
        <w:tabs>
          <w:tab w:val="left" w:pos="5850"/>
        </w:tabs>
        <w:jc w:val="both"/>
        <w:rPr>
          <w:b/>
          <w:bCs/>
          <w:lang w:val="ru-RU"/>
        </w:rPr>
      </w:pPr>
    </w:p>
    <w:p w:rsidR="00284E99" w:rsidRDefault="00284E99">
      <w:pPr>
        <w:pStyle w:val="Standard"/>
        <w:tabs>
          <w:tab w:val="left" w:pos="5850"/>
        </w:tabs>
        <w:jc w:val="both"/>
        <w:rPr>
          <w:b/>
          <w:bCs/>
          <w:lang w:val="ru-RU"/>
        </w:rPr>
      </w:pPr>
      <w:r>
        <w:rPr>
          <w:b/>
          <w:bCs/>
          <w:lang w:val="ru-RU"/>
        </w:rPr>
        <w:t>Выводы</w:t>
      </w:r>
    </w:p>
    <w:p w:rsidR="00284E99" w:rsidRPr="00122F6D" w:rsidRDefault="00284E99">
      <w:pPr>
        <w:pStyle w:val="Standard"/>
        <w:tabs>
          <w:tab w:val="left" w:pos="5850"/>
        </w:tabs>
        <w:jc w:val="both"/>
        <w:rPr>
          <w:lang w:val="ru-RU"/>
        </w:rPr>
      </w:pPr>
    </w:p>
    <w:p w:rsidR="003C5F16" w:rsidRDefault="00284E99">
      <w:pPr>
        <w:pStyle w:val="Standard"/>
        <w:tabs>
          <w:tab w:val="left" w:pos="5850"/>
        </w:tabs>
        <w:jc w:val="both"/>
        <w:rPr>
          <w:lang w:val="ru-RU"/>
        </w:rPr>
      </w:pPr>
      <w:r w:rsidRPr="00122F6D">
        <w:rPr>
          <w:lang w:val="ru-RU"/>
        </w:rPr>
        <w:t xml:space="preserve">Проведенный анализ </w:t>
      </w:r>
      <w:r w:rsidR="00F31C16">
        <w:rPr>
          <w:lang w:val="ru-RU"/>
        </w:rPr>
        <w:t xml:space="preserve">реестра СО НКО, бюджета Санкт-Петербурга и правительственной программы поддержки СО НКО </w:t>
      </w:r>
      <w:r w:rsidRPr="00122F6D">
        <w:rPr>
          <w:lang w:val="ru-RU"/>
        </w:rPr>
        <w:t xml:space="preserve">позволяет сделать </w:t>
      </w:r>
      <w:r w:rsidR="00F27377">
        <w:rPr>
          <w:lang w:val="ru-RU"/>
        </w:rPr>
        <w:t xml:space="preserve">несколько </w:t>
      </w:r>
      <w:r w:rsidRPr="00122F6D">
        <w:rPr>
          <w:lang w:val="ru-RU"/>
        </w:rPr>
        <w:t>вывод</w:t>
      </w:r>
      <w:r w:rsidR="00F27377">
        <w:rPr>
          <w:lang w:val="ru-RU"/>
        </w:rPr>
        <w:t xml:space="preserve">ов. </w:t>
      </w:r>
      <w:r w:rsidR="00F31C16">
        <w:rPr>
          <w:lang w:val="ru-RU"/>
        </w:rPr>
        <w:t>Прежде всего, сравнение данных показывает</w:t>
      </w:r>
      <w:r w:rsidR="00F27377">
        <w:rPr>
          <w:lang w:val="ru-RU"/>
        </w:rPr>
        <w:t>, что реестр социально ориентированных НКО является важным источником для анализа и дальнейшего осмысления практик финансирования некоммерческих организаций. Поэтому, его систематичное ведение и доработка</w:t>
      </w:r>
      <w:r w:rsidR="003C5F16">
        <w:rPr>
          <w:lang w:val="ru-RU"/>
        </w:rPr>
        <w:t xml:space="preserve"> (</w:t>
      </w:r>
      <w:r w:rsidR="00997CDB">
        <w:rPr>
          <w:lang w:val="ru-RU"/>
        </w:rPr>
        <w:t>в том числе</w:t>
      </w:r>
      <w:r w:rsidR="00F31C16">
        <w:rPr>
          <w:lang w:val="ru-RU"/>
        </w:rPr>
        <w:t xml:space="preserve">, </w:t>
      </w:r>
      <w:r w:rsidR="003C5F16">
        <w:rPr>
          <w:lang w:val="ru-RU"/>
        </w:rPr>
        <w:t xml:space="preserve">дополнение информации о получателях и </w:t>
      </w:r>
      <w:r w:rsidR="00997CDB">
        <w:rPr>
          <w:lang w:val="ru-RU"/>
        </w:rPr>
        <w:t xml:space="preserve">предоставляемых </w:t>
      </w:r>
      <w:r w:rsidR="003C5F16">
        <w:rPr>
          <w:lang w:val="ru-RU"/>
        </w:rPr>
        <w:t>услугах)</w:t>
      </w:r>
      <w:r w:rsidR="00F27377">
        <w:rPr>
          <w:lang w:val="ru-RU"/>
        </w:rPr>
        <w:t xml:space="preserve"> – важна</w:t>
      </w:r>
      <w:r w:rsidR="00997CDB">
        <w:rPr>
          <w:lang w:val="ru-RU"/>
        </w:rPr>
        <w:t>я</w:t>
      </w:r>
      <w:r w:rsidR="00F27377">
        <w:rPr>
          <w:lang w:val="ru-RU"/>
        </w:rPr>
        <w:t xml:space="preserve"> задача для</w:t>
      </w:r>
      <w:r w:rsidR="003C5F16">
        <w:rPr>
          <w:lang w:val="ru-RU"/>
        </w:rPr>
        <w:t xml:space="preserve"> органов испо</w:t>
      </w:r>
      <w:r w:rsidR="00997CDB">
        <w:rPr>
          <w:lang w:val="ru-RU"/>
        </w:rPr>
        <w:t>лнительной власти. Её решение позволит проводить более взвешенную финансовую политику в отношении организаций «третьего» сектора с ориентацией на потребности граждан и возможности НКО.</w:t>
      </w:r>
    </w:p>
    <w:p w:rsidR="003C5F16" w:rsidRDefault="003C5F16">
      <w:pPr>
        <w:pStyle w:val="Standard"/>
        <w:tabs>
          <w:tab w:val="left" w:pos="5850"/>
        </w:tabs>
        <w:jc w:val="both"/>
        <w:rPr>
          <w:lang w:val="ru-RU"/>
        </w:rPr>
      </w:pPr>
    </w:p>
    <w:p w:rsidR="00C23EC6" w:rsidRDefault="00F27377">
      <w:pPr>
        <w:pStyle w:val="Standard"/>
        <w:tabs>
          <w:tab w:val="left" w:pos="5850"/>
        </w:tabs>
        <w:jc w:val="both"/>
        <w:rPr>
          <w:lang w:val="ru-RU"/>
        </w:rPr>
      </w:pPr>
      <w:r>
        <w:rPr>
          <w:lang w:val="ru-RU"/>
        </w:rPr>
        <w:t>В целом, опыт Санкт-Петербурга показывает</w:t>
      </w:r>
      <w:r w:rsidR="00284E99" w:rsidRPr="00122F6D">
        <w:rPr>
          <w:lang w:val="ru-RU"/>
        </w:rPr>
        <w:t>, что российские нововведения идут в ногу с европейскими тенденциями. А именно, наравне с п</w:t>
      </w:r>
      <w:r w:rsidR="00C35BED">
        <w:rPr>
          <w:lang w:val="ru-RU"/>
        </w:rPr>
        <w:t xml:space="preserve">равительствами западных стран, </w:t>
      </w:r>
      <w:r w:rsidR="00284E99" w:rsidRPr="00122F6D">
        <w:rPr>
          <w:lang w:val="ru-RU"/>
        </w:rPr>
        <w:t xml:space="preserve">министерство экономического развития </w:t>
      </w:r>
      <w:r w:rsidR="00C35BED">
        <w:rPr>
          <w:lang w:val="ru-RU"/>
        </w:rPr>
        <w:t xml:space="preserve">РФ </w:t>
      </w:r>
      <w:r w:rsidR="00284E99" w:rsidRPr="00122F6D">
        <w:rPr>
          <w:lang w:val="ru-RU"/>
        </w:rPr>
        <w:t xml:space="preserve">стремится внедрить либеральные принципы управления социальной сферой. Один из механизмов реализации этих принципов связан с развитием некоммерческого сектора в России. Прежде всего, речь идет о следующих инновациях: выделение категории социально ориентированных НКО, </w:t>
      </w:r>
      <w:r w:rsidR="00284E99">
        <w:rPr>
          <w:lang w:val="ru-RU"/>
        </w:rPr>
        <w:t xml:space="preserve">которое предполагает поддержку </w:t>
      </w:r>
      <w:r w:rsidR="00284E99" w:rsidRPr="00122F6D">
        <w:rPr>
          <w:lang w:val="ru-RU"/>
        </w:rPr>
        <w:t>организаци</w:t>
      </w:r>
      <w:r w:rsidR="00284E99">
        <w:rPr>
          <w:lang w:val="ru-RU"/>
        </w:rPr>
        <w:t>й (налоговое регулирование и финансовые возможности)</w:t>
      </w:r>
      <w:r w:rsidR="00284E99" w:rsidRPr="00122F6D">
        <w:rPr>
          <w:lang w:val="ru-RU"/>
        </w:rPr>
        <w:t>, ведущих общественно полезную деятельность, создание инфраструктурных условий для их поддержки и развития, а также открытие рынка социальных услуг для коммерчески</w:t>
      </w:r>
      <w:r w:rsidR="00C23EC6">
        <w:rPr>
          <w:lang w:val="ru-RU"/>
        </w:rPr>
        <w:t>х и некоммерческих организаций.</w:t>
      </w:r>
    </w:p>
    <w:p w:rsidR="00C23EC6" w:rsidRDefault="00C23EC6">
      <w:pPr>
        <w:pStyle w:val="Standard"/>
        <w:tabs>
          <w:tab w:val="left" w:pos="5850"/>
        </w:tabs>
        <w:jc w:val="both"/>
        <w:rPr>
          <w:lang w:val="ru-RU"/>
        </w:rPr>
      </w:pPr>
    </w:p>
    <w:p w:rsidR="00284E99" w:rsidRPr="00122F6D" w:rsidRDefault="00284E99">
      <w:pPr>
        <w:pStyle w:val="Standard"/>
        <w:tabs>
          <w:tab w:val="left" w:pos="5850"/>
        </w:tabs>
        <w:jc w:val="both"/>
        <w:rPr>
          <w:lang w:val="ru-RU"/>
        </w:rPr>
      </w:pPr>
      <w:r w:rsidRPr="00122F6D">
        <w:rPr>
          <w:lang w:val="ru-RU"/>
        </w:rPr>
        <w:t xml:space="preserve">Однако практика показывает </w:t>
      </w:r>
      <w:r>
        <w:rPr>
          <w:lang w:val="ru-RU"/>
        </w:rPr>
        <w:t>особенности и</w:t>
      </w:r>
      <w:r w:rsidRPr="00122F6D">
        <w:rPr>
          <w:lang w:val="ru-RU"/>
        </w:rPr>
        <w:t xml:space="preserve"> сложности, с которыми сталкиваются все участники этого процесса. С одной стороны, существующая система предоставления социальных услуг </w:t>
      </w:r>
      <w:r>
        <w:rPr>
          <w:lang w:val="ru-RU"/>
        </w:rPr>
        <w:t>в Санкт-Петербурге</w:t>
      </w:r>
      <w:r w:rsidRPr="00122F6D">
        <w:rPr>
          <w:lang w:val="ru-RU"/>
        </w:rPr>
        <w:t xml:space="preserve"> демонстрирует инерцию. </w:t>
      </w:r>
      <w:r>
        <w:rPr>
          <w:lang w:val="ru-RU"/>
        </w:rPr>
        <w:t>А именно, значительное количество средств выделяется организациям</w:t>
      </w:r>
      <w:r w:rsidR="00997CDB">
        <w:rPr>
          <w:lang w:val="ru-RU"/>
        </w:rPr>
        <w:t>,</w:t>
      </w:r>
      <w:r>
        <w:rPr>
          <w:lang w:val="ru-RU"/>
        </w:rPr>
        <w:t xml:space="preserve"> традиционно поддерживаемым государством на целевой основе. Это ставит некоторые организации в приоритетное положение, которое не работает на повышение эффективности реализуемых ими проектов. Вместе с тем, есть примеры переориентации этих организаций на новые принципы проектного менеджмента. Новые возможности финансирования, несомненно, открывают для НКО перспективы для получения бюджетных средств. Однако процедуры и опыт проведения конкурсов различными комитетами показывает их специфику и ограничения. Поэтому, обобщение опыт и стремление унифицировать процедуры является важной частью обсуждения сообщества НКО на городском ежегодном форуме «Социальный Петербург: новые решения»</w:t>
      </w:r>
      <w:r w:rsidR="00F27377">
        <w:rPr>
          <w:lang w:val="ru-RU"/>
        </w:rPr>
        <w:t>.</w:t>
      </w:r>
      <w:r w:rsidRPr="00373929">
        <w:rPr>
          <w:rStyle w:val="ab"/>
          <w:lang w:val="ru-RU"/>
        </w:rPr>
        <w:footnoteReference w:id="21"/>
      </w:r>
    </w:p>
    <w:p w:rsidR="00284E99" w:rsidRPr="00122F6D" w:rsidRDefault="00284E99">
      <w:pPr>
        <w:pStyle w:val="Standard"/>
        <w:tabs>
          <w:tab w:val="left" w:pos="5850"/>
        </w:tabs>
        <w:jc w:val="both"/>
        <w:rPr>
          <w:lang w:val="ru-RU"/>
        </w:rPr>
      </w:pPr>
    </w:p>
    <w:p w:rsidR="00284E99" w:rsidRDefault="00284E99" w:rsidP="00566486">
      <w:pPr>
        <w:pStyle w:val="Standard"/>
        <w:tabs>
          <w:tab w:val="left" w:pos="5850"/>
        </w:tabs>
        <w:jc w:val="both"/>
        <w:rPr>
          <w:lang w:val="ru-RU"/>
        </w:rPr>
      </w:pPr>
      <w:r>
        <w:rPr>
          <w:lang w:val="ru-RU"/>
        </w:rPr>
        <w:t>Возвращаясь к общему тезису о трансформации государства благосостояния</w:t>
      </w:r>
      <w:r w:rsidR="00CB4816">
        <w:rPr>
          <w:lang w:val="ru-RU"/>
        </w:rPr>
        <w:t>,</w:t>
      </w:r>
      <w:r>
        <w:rPr>
          <w:lang w:val="ru-RU"/>
        </w:rPr>
        <w:t xml:space="preserve"> следует отметить, что инерцию преобразованиям создают не только принимаемые на местном решения или ограниченные возможности НКО. Есть более глубокая причина, которая состоит в том, что </w:t>
      </w:r>
      <w:r w:rsidRPr="00122F6D">
        <w:rPr>
          <w:lang w:val="ru-RU"/>
        </w:rPr>
        <w:t xml:space="preserve">только незначительная часть общества </w:t>
      </w:r>
      <w:r>
        <w:rPr>
          <w:lang w:val="ru-RU"/>
        </w:rPr>
        <w:t xml:space="preserve">готова к тому, чтобы собственными </w:t>
      </w:r>
      <w:r w:rsidR="00CB4816">
        <w:rPr>
          <w:lang w:val="ru-RU"/>
        </w:rPr>
        <w:t xml:space="preserve">силами </w:t>
      </w:r>
      <w:r>
        <w:rPr>
          <w:lang w:val="ru-RU"/>
        </w:rPr>
        <w:t xml:space="preserve">решать социальные задачи. Согласно опросным данным </w:t>
      </w:r>
      <w:proofErr w:type="gramStart"/>
      <w:r>
        <w:rPr>
          <w:lang w:val="ru-RU"/>
        </w:rPr>
        <w:t>Левада-центра</w:t>
      </w:r>
      <w:proofErr w:type="gramEnd"/>
      <w:r>
        <w:rPr>
          <w:lang w:val="ru-RU"/>
        </w:rPr>
        <w:t xml:space="preserve">, 2/3 жителей </w:t>
      </w:r>
      <w:r>
        <w:rPr>
          <w:lang w:val="ru-RU"/>
        </w:rPr>
        <w:lastRenderedPageBreak/>
        <w:t>России полагает, что ответственность за решение социальных вопросов полностью лежит на государстве, которое и должно нести ответственность.</w:t>
      </w:r>
      <w:r w:rsidRPr="00373929">
        <w:rPr>
          <w:rStyle w:val="ab"/>
          <w:lang w:val="ru-RU"/>
        </w:rPr>
        <w:footnoteReference w:id="22"/>
      </w:r>
      <w:r>
        <w:rPr>
          <w:lang w:val="ru-RU"/>
        </w:rPr>
        <w:t xml:space="preserve"> А это значит, что общество не готово инвестировать не только финансовые средства (пожертвования), но и собственные усилия (волонтерство) в социально значимые проекты</w:t>
      </w:r>
      <w:r w:rsidRPr="00122F6D">
        <w:rPr>
          <w:lang w:val="ru-RU"/>
        </w:rPr>
        <w:t xml:space="preserve">. </w:t>
      </w:r>
      <w:r>
        <w:rPr>
          <w:lang w:val="ru-RU"/>
        </w:rPr>
        <w:t>Это, несомненно</w:t>
      </w:r>
      <w:r w:rsidRPr="00122F6D">
        <w:rPr>
          <w:lang w:val="ru-RU"/>
        </w:rPr>
        <w:t xml:space="preserve">, </w:t>
      </w:r>
      <w:r>
        <w:rPr>
          <w:lang w:val="ru-RU"/>
        </w:rPr>
        <w:t xml:space="preserve">отражается на несбалансированных практиках реализации социальной </w:t>
      </w:r>
      <w:proofErr w:type="gramStart"/>
      <w:r>
        <w:rPr>
          <w:lang w:val="ru-RU"/>
        </w:rPr>
        <w:t>политики</w:t>
      </w:r>
      <w:proofErr w:type="gramEnd"/>
      <w:r>
        <w:rPr>
          <w:lang w:val="ru-RU"/>
        </w:rPr>
        <w:t xml:space="preserve"> как на федеральном, так и на региональном уровне</w:t>
      </w:r>
      <w:r w:rsidRPr="00122F6D">
        <w:rPr>
          <w:lang w:val="ru-RU"/>
        </w:rPr>
        <w:t>.</w:t>
      </w:r>
      <w:bookmarkStart w:id="0" w:name="_GoBack"/>
      <w:bookmarkEnd w:id="0"/>
    </w:p>
    <w:sectPr w:rsidR="00284E99" w:rsidSect="00373929">
      <w:footerReference w:type="default" r:id="rId8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22F" w:rsidRDefault="00CD622F" w:rsidP="00373929">
      <w:r>
        <w:separator/>
      </w:r>
    </w:p>
  </w:endnote>
  <w:endnote w:type="continuationSeparator" w:id="0">
    <w:p w:rsidR="00CD622F" w:rsidRDefault="00CD622F" w:rsidP="00373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61016"/>
      <w:docPartObj>
        <w:docPartGallery w:val="Page Numbers (Bottom of Page)"/>
        <w:docPartUnique/>
      </w:docPartObj>
    </w:sdtPr>
    <w:sdtContent>
      <w:p w:rsidR="00B11B0E" w:rsidRDefault="00E277C6">
        <w:pPr>
          <w:pStyle w:val="af7"/>
          <w:jc w:val="right"/>
        </w:pPr>
        <w:fldSimple w:instr=" PAGE   \* MERGEFORMAT ">
          <w:r w:rsidR="005C1CA5">
            <w:rPr>
              <w:noProof/>
            </w:rPr>
            <w:t>1</w:t>
          </w:r>
        </w:fldSimple>
      </w:p>
    </w:sdtContent>
  </w:sdt>
  <w:p w:rsidR="00B11B0E" w:rsidRDefault="00B11B0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22F" w:rsidRDefault="00CD622F" w:rsidP="00373929">
      <w:r w:rsidRPr="00373929">
        <w:rPr>
          <w:color w:val="000000"/>
        </w:rPr>
        <w:separator/>
      </w:r>
    </w:p>
  </w:footnote>
  <w:footnote w:type="continuationSeparator" w:id="0">
    <w:p w:rsidR="00CD622F" w:rsidRDefault="00CD622F" w:rsidP="00373929">
      <w:r>
        <w:continuationSeparator/>
      </w:r>
    </w:p>
  </w:footnote>
  <w:footnote w:id="1">
    <w:p w:rsidR="00284E99" w:rsidRPr="00122F6D" w:rsidRDefault="00284E99">
      <w:pPr>
        <w:pStyle w:val="Footnote"/>
        <w:rPr>
          <w:lang w:val="ru-RU"/>
        </w:rPr>
      </w:pPr>
      <w:r w:rsidRPr="00373929">
        <w:rPr>
          <w:rStyle w:val="ab"/>
        </w:rPr>
        <w:footnoteRef/>
      </w:r>
      <w:r>
        <w:rPr>
          <w:lang w:val="ru-RU"/>
        </w:rPr>
        <w:t xml:space="preserve">Реестр доступен на сайте: </w:t>
      </w:r>
      <w:hyperlink r:id="rId1" w:history="1">
        <w:r>
          <w:t>http</w:t>
        </w:r>
        <w:r w:rsidRPr="00122F6D">
          <w:rPr>
            <w:lang w:val="ru-RU"/>
          </w:rPr>
          <w:t>://</w:t>
        </w:r>
        <w:proofErr w:type="spellStart"/>
        <w:r>
          <w:t>gov</w:t>
        </w:r>
        <w:proofErr w:type="spellEnd"/>
        <w:r w:rsidRPr="00122F6D">
          <w:rPr>
            <w:lang w:val="ru-RU"/>
          </w:rPr>
          <w:t>.</w:t>
        </w:r>
        <w:proofErr w:type="spellStart"/>
        <w:r>
          <w:t>spb</w:t>
        </w:r>
        <w:proofErr w:type="spellEnd"/>
        <w:r w:rsidRPr="00122F6D">
          <w:rPr>
            <w:lang w:val="ru-RU"/>
          </w:rPr>
          <w:t>.</w:t>
        </w:r>
        <w:proofErr w:type="spellStart"/>
        <w:r>
          <w:t>ru</w:t>
        </w:r>
        <w:proofErr w:type="spellEnd"/>
        <w:r w:rsidRPr="00122F6D">
          <w:rPr>
            <w:lang w:val="ru-RU"/>
          </w:rPr>
          <w:t>/</w:t>
        </w:r>
        <w:proofErr w:type="spellStart"/>
        <w:r>
          <w:t>gov</w:t>
        </w:r>
        <w:proofErr w:type="spellEnd"/>
        <w:r w:rsidRPr="00122F6D">
          <w:rPr>
            <w:lang w:val="ru-RU"/>
          </w:rPr>
          <w:t>/</w:t>
        </w:r>
        <w:proofErr w:type="spellStart"/>
        <w:r>
          <w:t>otrasl</w:t>
        </w:r>
        <w:proofErr w:type="spellEnd"/>
        <w:r w:rsidRPr="00122F6D">
          <w:rPr>
            <w:lang w:val="ru-RU"/>
          </w:rPr>
          <w:t>/</w:t>
        </w:r>
        <w:proofErr w:type="spellStart"/>
        <w:r>
          <w:t>trud</w:t>
        </w:r>
        <w:proofErr w:type="spellEnd"/>
        <w:r w:rsidRPr="00122F6D">
          <w:rPr>
            <w:lang w:val="ru-RU"/>
          </w:rPr>
          <w:t>/</w:t>
        </w:r>
        <w:proofErr w:type="spellStart"/>
        <w:r>
          <w:t>organizacii</w:t>
        </w:r>
        <w:proofErr w:type="spellEnd"/>
        <w:r w:rsidRPr="00122F6D">
          <w:rPr>
            <w:lang w:val="ru-RU"/>
          </w:rPr>
          <w:t>-</w:t>
        </w:r>
        <w:proofErr w:type="spellStart"/>
        <w:r>
          <w:t>tretego</w:t>
        </w:r>
        <w:proofErr w:type="spellEnd"/>
        <w:r w:rsidRPr="00122F6D">
          <w:rPr>
            <w:lang w:val="ru-RU"/>
          </w:rPr>
          <w:t>-</w:t>
        </w:r>
        <w:proofErr w:type="spellStart"/>
        <w:r>
          <w:t>sektora</w:t>
        </w:r>
        <w:proofErr w:type="spellEnd"/>
        <w:r w:rsidRPr="00122F6D">
          <w:rPr>
            <w:lang w:val="ru-RU"/>
          </w:rPr>
          <w:t>/</w:t>
        </w:r>
        <w:proofErr w:type="spellStart"/>
        <w:r>
          <w:t>reestr</w:t>
        </w:r>
        <w:proofErr w:type="spellEnd"/>
        <w:r w:rsidRPr="00122F6D">
          <w:rPr>
            <w:lang w:val="ru-RU"/>
          </w:rPr>
          <w:t>-</w:t>
        </w:r>
        <w:proofErr w:type="spellStart"/>
        <w:r>
          <w:t>socialno</w:t>
        </w:r>
        <w:proofErr w:type="spellEnd"/>
        <w:r w:rsidRPr="00122F6D">
          <w:rPr>
            <w:lang w:val="ru-RU"/>
          </w:rPr>
          <w:t>-</w:t>
        </w:r>
        <w:proofErr w:type="spellStart"/>
        <w:r>
          <w:t>orientirovannyh</w:t>
        </w:r>
        <w:proofErr w:type="spellEnd"/>
        <w:r w:rsidRPr="00122F6D">
          <w:rPr>
            <w:lang w:val="ru-RU"/>
          </w:rPr>
          <w:t>-</w:t>
        </w:r>
        <w:proofErr w:type="spellStart"/>
        <w:r>
          <w:t>nekommercheskih</w:t>
        </w:r>
        <w:proofErr w:type="spellEnd"/>
        <w:r w:rsidRPr="00122F6D">
          <w:rPr>
            <w:lang w:val="ru-RU"/>
          </w:rPr>
          <w:t>-</w:t>
        </w:r>
        <w:proofErr w:type="spellStart"/>
        <w:r>
          <w:t>organizaciyah</w:t>
        </w:r>
        <w:proofErr w:type="spellEnd"/>
        <w:r w:rsidRPr="00122F6D">
          <w:rPr>
            <w:lang w:val="ru-RU"/>
          </w:rPr>
          <w:t>-</w:t>
        </w:r>
        <w:proofErr w:type="spellStart"/>
        <w:r>
          <w:t>poluchat</w:t>
        </w:r>
        <w:proofErr w:type="spellEnd"/>
        <w:r w:rsidRPr="00122F6D">
          <w:rPr>
            <w:lang w:val="ru-RU"/>
          </w:rPr>
          <w:t>/</w:t>
        </w:r>
      </w:hyperlink>
    </w:p>
    <w:p w:rsidR="00284E99" w:rsidRDefault="00284E99">
      <w:pPr>
        <w:pStyle w:val="Footnote"/>
      </w:pPr>
    </w:p>
  </w:footnote>
  <w:footnote w:id="2">
    <w:p w:rsidR="003F322F" w:rsidRPr="003F322F" w:rsidRDefault="003F322F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 xml:space="preserve">Распоряжение доступно на сайте: </w:t>
      </w:r>
      <w:hyperlink r:id="rId2" w:history="1">
        <w:r>
          <w:rPr>
            <w:rStyle w:val="af"/>
          </w:rPr>
          <w:t>http://docs.cntd.ru/document/822402031</w:t>
        </w:r>
      </w:hyperlink>
    </w:p>
  </w:footnote>
  <w:footnote w:id="3">
    <w:p w:rsidR="00284E99" w:rsidRDefault="00284E99">
      <w:pPr>
        <w:pStyle w:val="Footer1"/>
      </w:pPr>
      <w:r w:rsidRPr="00373929">
        <w:rPr>
          <w:rStyle w:val="ab"/>
        </w:rPr>
        <w:footnoteRef/>
      </w:r>
      <w:r w:rsidRPr="00122F6D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Герман Греф</w:t>
      </w:r>
      <w:r w:rsidRPr="00122F6D">
        <w:rPr>
          <w:sz w:val="20"/>
          <w:szCs w:val="20"/>
          <w:lang w:val="ru-RU"/>
        </w:rPr>
        <w:t xml:space="preserve"> возглавлял Министерство экономического развития и торговли РФ с 2000 по 2007 г</w:t>
      </w:r>
      <w:r>
        <w:rPr>
          <w:sz w:val="20"/>
          <w:szCs w:val="20"/>
          <w:lang w:val="ru-RU"/>
        </w:rPr>
        <w:t>оды</w:t>
      </w:r>
    </w:p>
  </w:footnote>
  <w:footnote w:id="4">
    <w:p w:rsidR="00F44FA2" w:rsidRPr="00F44FA2" w:rsidRDefault="00F44FA2" w:rsidP="00F44FA2">
      <w:pPr>
        <w:pStyle w:val="Standard"/>
        <w:tabs>
          <w:tab w:val="left" w:pos="5850"/>
        </w:tabs>
        <w:jc w:val="both"/>
        <w:rPr>
          <w:lang w:val="ru-RU"/>
        </w:rPr>
      </w:pPr>
      <w:r>
        <w:rPr>
          <w:rStyle w:val="ab"/>
        </w:rPr>
        <w:footnoteRef/>
      </w:r>
      <w:r>
        <w:t xml:space="preserve"> </w:t>
      </w:r>
      <w:r w:rsidRPr="00F44FA2">
        <w:rPr>
          <w:sz w:val="20"/>
          <w:szCs w:val="20"/>
          <w:lang w:val="ru-RU"/>
        </w:rPr>
        <w:t xml:space="preserve">Оценка </w:t>
      </w:r>
      <w:proofErr w:type="gramStart"/>
      <w:r w:rsidRPr="00F44FA2">
        <w:rPr>
          <w:sz w:val="20"/>
          <w:szCs w:val="20"/>
          <w:lang w:val="ru-RU"/>
        </w:rPr>
        <w:t>эффективности деятельности учреждений социальной поддержки населения</w:t>
      </w:r>
      <w:proofErr w:type="gramEnd"/>
      <w:r w:rsidRPr="00F44FA2">
        <w:rPr>
          <w:sz w:val="20"/>
          <w:szCs w:val="20"/>
          <w:lang w:val="ru-RU"/>
        </w:rPr>
        <w:t xml:space="preserve">. Под ред. П.В.Романова и </w:t>
      </w:r>
      <w:proofErr w:type="spellStart"/>
      <w:r w:rsidRPr="00F44FA2">
        <w:rPr>
          <w:sz w:val="20"/>
          <w:szCs w:val="20"/>
          <w:lang w:val="ru-RU"/>
        </w:rPr>
        <w:t>Е.Р.Ярской-Смирновой</w:t>
      </w:r>
      <w:proofErr w:type="spellEnd"/>
      <w:r w:rsidRPr="00F44FA2">
        <w:rPr>
          <w:sz w:val="20"/>
          <w:szCs w:val="20"/>
          <w:lang w:val="ru-RU"/>
        </w:rPr>
        <w:t>. Москва, 2007</w:t>
      </w:r>
    </w:p>
  </w:footnote>
  <w:footnote w:id="5">
    <w:p w:rsidR="00284E99" w:rsidRPr="00122F6D" w:rsidRDefault="00284E99">
      <w:pPr>
        <w:pStyle w:val="a9"/>
        <w:rPr>
          <w:lang w:val="ru-RU"/>
        </w:rPr>
      </w:pPr>
      <w:r w:rsidRPr="00373929">
        <w:rPr>
          <w:rStyle w:val="ab"/>
        </w:rPr>
        <w:footnoteRef/>
      </w:r>
      <w:r w:rsidRPr="00122F6D">
        <w:t xml:space="preserve"> Helmut </w:t>
      </w:r>
      <w:proofErr w:type="spellStart"/>
      <w:r w:rsidRPr="00122F6D">
        <w:t>Anheier</w:t>
      </w:r>
      <w:proofErr w:type="spellEnd"/>
      <w:r w:rsidRPr="00122F6D">
        <w:t xml:space="preserve"> (2002). </w:t>
      </w:r>
      <w:r>
        <w:rPr>
          <w:lang w:val="en-US"/>
        </w:rPr>
        <w:t xml:space="preserve">The third sector in Europe: Five theses. </w:t>
      </w:r>
      <w:r w:rsidRPr="00536112">
        <w:rPr>
          <w:lang w:val="ru-RU"/>
        </w:rPr>
        <w:t xml:space="preserve">(доступ 8.10.2013 года: </w:t>
      </w:r>
      <w:hyperlink r:id="rId3" w:history="1">
        <w:r>
          <w:rPr>
            <w:lang w:val="ru-RU"/>
          </w:rPr>
          <w:t>http://www.lse.ac.uk/collections/CCS/publications/cswp/civil_society_wp.htm</w:t>
        </w:r>
      </w:hyperlink>
      <w:r w:rsidRPr="00536112">
        <w:rPr>
          <w:lang w:val="ru-RU"/>
        </w:rPr>
        <w:t>)</w:t>
      </w:r>
    </w:p>
    <w:p w:rsidR="00284E99" w:rsidRPr="00536112" w:rsidRDefault="00284E99">
      <w:pPr>
        <w:pStyle w:val="a9"/>
        <w:rPr>
          <w:lang w:val="ru-RU"/>
        </w:rPr>
      </w:pPr>
    </w:p>
    <w:p w:rsidR="00284E99" w:rsidRDefault="00284E99">
      <w:pPr>
        <w:pStyle w:val="a9"/>
      </w:pPr>
    </w:p>
  </w:footnote>
  <w:footnote w:id="6">
    <w:p w:rsidR="00284E99" w:rsidRPr="00122F6D" w:rsidRDefault="00284E99">
      <w:pPr>
        <w:pStyle w:val="a9"/>
        <w:rPr>
          <w:lang w:val="en-US"/>
        </w:rPr>
      </w:pPr>
      <w:r w:rsidRPr="00373929">
        <w:rPr>
          <w:rStyle w:val="ab"/>
        </w:rPr>
        <w:footnoteRef/>
      </w:r>
      <w:r w:rsidRPr="00122F6D">
        <w:rPr>
          <w:lang w:val="ru-RU"/>
        </w:rPr>
        <w:t xml:space="preserve">Социально ориентированные НКО. НП «Юристы за гражданское общество». </w:t>
      </w:r>
      <w:r>
        <w:rPr>
          <w:lang w:val="en-US"/>
        </w:rPr>
        <w:t>(</w:t>
      </w:r>
      <w:hyperlink r:id="rId4" w:history="1">
        <w:r w:rsidRPr="00122F6D">
          <w:rPr>
            <w:lang w:val="en-US"/>
          </w:rPr>
          <w:t>http://law-ngo.ru/law/social_nko/</w:t>
        </w:r>
      </w:hyperlink>
      <w:r>
        <w:rPr>
          <w:lang w:val="en-US"/>
        </w:rPr>
        <w:t>)</w:t>
      </w:r>
    </w:p>
    <w:p w:rsidR="00284E99" w:rsidRDefault="00284E99">
      <w:pPr>
        <w:pStyle w:val="a9"/>
        <w:rPr>
          <w:lang w:val="en-US"/>
        </w:rPr>
      </w:pPr>
    </w:p>
    <w:p w:rsidR="00284E99" w:rsidRDefault="00284E99">
      <w:pPr>
        <w:pStyle w:val="a9"/>
      </w:pPr>
    </w:p>
  </w:footnote>
  <w:footnote w:id="7">
    <w:p w:rsidR="00284E99" w:rsidRPr="00122F6D" w:rsidRDefault="00284E99">
      <w:pPr>
        <w:pStyle w:val="a9"/>
        <w:rPr>
          <w:lang w:val="ru-RU"/>
        </w:rPr>
      </w:pPr>
      <w:r w:rsidRPr="00373929">
        <w:rPr>
          <w:rStyle w:val="ab"/>
        </w:rPr>
        <w:footnoteRef/>
      </w:r>
      <w:proofErr w:type="spellStart"/>
      <w:proofErr w:type="gramStart"/>
      <w:r>
        <w:rPr>
          <w:lang w:val="en-US"/>
        </w:rPr>
        <w:t>Alhadeff</w:t>
      </w:r>
      <w:proofErr w:type="spellEnd"/>
      <w:r>
        <w:rPr>
          <w:lang w:val="en-US"/>
        </w:rPr>
        <w:t xml:space="preserve"> G. and Wilson S. (2002).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European Civil Society Coming of Age.</w:t>
      </w:r>
      <w:proofErr w:type="gramEnd"/>
      <w:r>
        <w:rPr>
          <w:lang w:val="en-US"/>
        </w:rPr>
        <w:t xml:space="preserve"> </w:t>
      </w:r>
      <w:r w:rsidRPr="00536112">
        <w:rPr>
          <w:lang w:val="ru-RU"/>
        </w:rPr>
        <w:t>(</w:t>
      </w:r>
      <w:hyperlink r:id="rId5" w:history="1">
        <w:r>
          <w:t>http</w:t>
        </w:r>
        <w:r w:rsidRPr="00122F6D">
          <w:rPr>
            <w:lang w:val="ru-RU"/>
          </w:rPr>
          <w:t>://</w:t>
        </w:r>
        <w:r>
          <w:t>www</w:t>
        </w:r>
        <w:r w:rsidRPr="00122F6D">
          <w:rPr>
            <w:lang w:val="ru-RU"/>
          </w:rPr>
          <w:t>.</w:t>
        </w:r>
        <w:r>
          <w:t>globalpolicy</w:t>
        </w:r>
        <w:r w:rsidRPr="00122F6D">
          <w:rPr>
            <w:lang w:val="ru-RU"/>
          </w:rPr>
          <w:t>.</w:t>
        </w:r>
        <w:r>
          <w:t>org</w:t>
        </w:r>
        <w:r w:rsidRPr="00122F6D">
          <w:rPr>
            <w:lang w:val="ru-RU"/>
          </w:rPr>
          <w:t>/</w:t>
        </w:r>
        <w:r>
          <w:t>ngos</w:t>
        </w:r>
        <w:r w:rsidRPr="00122F6D">
          <w:rPr>
            <w:lang w:val="ru-RU"/>
          </w:rPr>
          <w:t>/</w:t>
        </w:r>
        <w:r>
          <w:t>int</w:t>
        </w:r>
        <w:r w:rsidRPr="00122F6D">
          <w:rPr>
            <w:lang w:val="ru-RU"/>
          </w:rPr>
          <w:t>/</w:t>
        </w:r>
        <w:r>
          <w:t>eu</w:t>
        </w:r>
        <w:r w:rsidRPr="00122F6D">
          <w:rPr>
            <w:lang w:val="ru-RU"/>
          </w:rPr>
          <w:t>/2002/05</w:t>
        </w:r>
        <w:r>
          <w:t>civsoc</w:t>
        </w:r>
        <w:r w:rsidRPr="00122F6D">
          <w:rPr>
            <w:lang w:val="ru-RU"/>
          </w:rPr>
          <w:t>.</w:t>
        </w:r>
        <w:proofErr w:type="spellStart"/>
        <w:r>
          <w:t>htm</w:t>
        </w:r>
        <w:proofErr w:type="spellEnd"/>
      </w:hyperlink>
      <w:r w:rsidRPr="00536112">
        <w:rPr>
          <w:lang w:val="ru-RU"/>
        </w:rPr>
        <w:t>)</w:t>
      </w:r>
    </w:p>
    <w:p w:rsidR="00284E99" w:rsidRPr="00536112" w:rsidRDefault="00284E99">
      <w:pPr>
        <w:pStyle w:val="a9"/>
        <w:rPr>
          <w:lang w:val="ru-RU"/>
        </w:rPr>
      </w:pPr>
    </w:p>
    <w:p w:rsidR="00284E99" w:rsidRDefault="00284E99">
      <w:pPr>
        <w:pStyle w:val="a9"/>
      </w:pPr>
    </w:p>
  </w:footnote>
  <w:footnote w:id="8">
    <w:p w:rsidR="00F44FA2" w:rsidRPr="00F44FA2" w:rsidRDefault="00F44FA2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>
        <w:rPr>
          <w:lang w:val="ru-RU"/>
        </w:rPr>
        <w:t>Ондрушек</w:t>
      </w:r>
      <w:proofErr w:type="spellEnd"/>
      <w:r>
        <w:rPr>
          <w:lang w:val="ru-RU"/>
        </w:rPr>
        <w:t xml:space="preserve"> Д. Хрестоматия для некоммерческих организаций. Братислава, 2003</w:t>
      </w:r>
    </w:p>
  </w:footnote>
  <w:footnote w:id="9">
    <w:p w:rsidR="00411F68" w:rsidRPr="00411F68" w:rsidRDefault="00411F68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>В программе поддержки СО НКО на 2013-2014 годы указано, что в 2012 году в рамках конкурса было выделено субсидий на 37 591 рубль.</w:t>
      </w:r>
    </w:p>
  </w:footnote>
  <w:footnote w:id="10">
    <w:p w:rsidR="00C9395A" w:rsidRPr="00C9395A" w:rsidRDefault="00C9395A">
      <w:pPr>
        <w:pStyle w:val="a9"/>
      </w:pPr>
      <w:r>
        <w:rPr>
          <w:rStyle w:val="ab"/>
        </w:rPr>
        <w:footnoteRef/>
      </w:r>
      <w:r>
        <w:t xml:space="preserve"> </w:t>
      </w:r>
      <w:r w:rsidRPr="00122F6D">
        <w:rPr>
          <w:lang w:val="ru-RU"/>
        </w:rPr>
        <w:t xml:space="preserve">Подробный анализ бюджета </w:t>
      </w:r>
      <w:proofErr w:type="gramStart"/>
      <w:r w:rsidRPr="00122F6D">
        <w:rPr>
          <w:lang w:val="ru-RU"/>
        </w:rPr>
        <w:t>см</w:t>
      </w:r>
      <w:proofErr w:type="gramEnd"/>
      <w:r w:rsidRPr="00122F6D">
        <w:rPr>
          <w:lang w:val="ru-RU"/>
        </w:rPr>
        <w:t xml:space="preserve">.: Записка по результатам анализа нормативно-правовой базы, регулирующей вопросы предоставления государственной поддержки НКО в Санкт-Петербурге в 2010 году, в: Информационно-аналитические материалы о деятельности некоммерческого сектора в Санкт-Петербурге. Санкт-Петербург, 2011 (доступ </w:t>
      </w:r>
      <w:r>
        <w:rPr>
          <w:lang w:val="ru-RU"/>
        </w:rPr>
        <w:t>14.01.2013</w:t>
      </w:r>
      <w:r w:rsidRPr="00122F6D">
        <w:rPr>
          <w:lang w:val="ru-RU"/>
        </w:rPr>
        <w:t xml:space="preserve"> г. </w:t>
      </w:r>
      <w:hyperlink r:id="rId6" w:history="1">
        <w:r>
          <w:t>http</w:t>
        </w:r>
        <w:r w:rsidRPr="00122F6D">
          <w:rPr>
            <w:lang w:val="ru-RU"/>
          </w:rPr>
          <w:t>://</w:t>
        </w:r>
        <w:r>
          <w:t>www</w:t>
        </w:r>
        <w:r w:rsidRPr="00122F6D">
          <w:rPr>
            <w:lang w:val="ru-RU"/>
          </w:rPr>
          <w:t>.</w:t>
        </w:r>
        <w:r>
          <w:t>crno</w:t>
        </w:r>
        <w:r w:rsidRPr="00122F6D">
          <w:rPr>
            <w:lang w:val="ru-RU"/>
          </w:rPr>
          <w:t>.</w:t>
        </w:r>
        <w:r>
          <w:t>ru</w:t>
        </w:r>
        <w:r w:rsidRPr="00122F6D">
          <w:rPr>
            <w:lang w:val="ru-RU"/>
          </w:rPr>
          <w:t>/</w:t>
        </w:r>
        <w:r>
          <w:t>assets</w:t>
        </w:r>
        <w:r w:rsidRPr="00122F6D">
          <w:rPr>
            <w:lang w:val="ru-RU"/>
          </w:rPr>
          <w:t>/</w:t>
        </w:r>
        <w:r>
          <w:t>files</w:t>
        </w:r>
        <w:r w:rsidRPr="00122F6D">
          <w:rPr>
            <w:lang w:val="ru-RU"/>
          </w:rPr>
          <w:t>/2011-12-06_</w:t>
        </w:r>
        <w:r>
          <w:t>St</w:t>
        </w:r>
        <w:r w:rsidRPr="00122F6D">
          <w:rPr>
            <w:lang w:val="ru-RU"/>
          </w:rPr>
          <w:t>-</w:t>
        </w:r>
        <w:r>
          <w:t>Petersburg</w:t>
        </w:r>
        <w:r w:rsidRPr="00122F6D">
          <w:rPr>
            <w:lang w:val="ru-RU"/>
          </w:rPr>
          <w:t>_</w:t>
        </w:r>
        <w:r>
          <w:t>NKO</w:t>
        </w:r>
        <w:r w:rsidRPr="00122F6D">
          <w:rPr>
            <w:lang w:val="ru-RU"/>
          </w:rPr>
          <w:t>_</w:t>
        </w:r>
        <w:r>
          <w:t>collection</w:t>
        </w:r>
        <w:r w:rsidRPr="00122F6D">
          <w:rPr>
            <w:lang w:val="ru-RU"/>
          </w:rPr>
          <w:t>_</w:t>
        </w:r>
        <w:r>
          <w:t>A</w:t>
        </w:r>
        <w:r w:rsidRPr="00122F6D">
          <w:rPr>
            <w:lang w:val="ru-RU"/>
          </w:rPr>
          <w:t>4.</w:t>
        </w:r>
        <w:r>
          <w:t>pdf</w:t>
        </w:r>
      </w:hyperlink>
      <w:r w:rsidRPr="00122F6D">
        <w:rPr>
          <w:lang w:val="ru-RU"/>
        </w:rPr>
        <w:t>)</w:t>
      </w:r>
    </w:p>
  </w:footnote>
  <w:footnote w:id="11">
    <w:p w:rsidR="009F7317" w:rsidRPr="009F7317" w:rsidRDefault="009F7317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>В</w:t>
      </w:r>
      <w:r w:rsidRPr="00981C43">
        <w:rPr>
          <w:lang w:val="ru-RU"/>
        </w:rPr>
        <w:t>ыделенн</w:t>
      </w:r>
      <w:r>
        <w:rPr>
          <w:lang w:val="ru-RU"/>
        </w:rPr>
        <w:t>ая цветом общая сумма субсидий к</w:t>
      </w:r>
      <w:r w:rsidRPr="00981C43">
        <w:rPr>
          <w:lang w:val="ru-RU"/>
        </w:rPr>
        <w:t>омитета по молодежной политике не соответствует официаль</w:t>
      </w:r>
      <w:r>
        <w:rPr>
          <w:lang w:val="ru-RU"/>
        </w:rPr>
        <w:t xml:space="preserve">ным данным (10 426 тыс. рублей). Это, </w:t>
      </w:r>
      <w:r w:rsidRPr="00981C43">
        <w:rPr>
          <w:lang w:val="ru-RU"/>
        </w:rPr>
        <w:t>скорее всего, свидетельствует о том, что при составлении реестра не был учтен один грант в соответствующем размере.</w:t>
      </w:r>
    </w:p>
  </w:footnote>
  <w:footnote w:id="12">
    <w:p w:rsidR="00284E99" w:rsidRDefault="00284E99">
      <w:pPr>
        <w:pStyle w:val="Footnote"/>
      </w:pPr>
      <w:r w:rsidRPr="00373929">
        <w:rPr>
          <w:rStyle w:val="ab"/>
        </w:rPr>
        <w:footnoteRef/>
      </w:r>
      <w:r>
        <w:rPr>
          <w:lang w:val="ru-RU"/>
        </w:rPr>
        <w:t xml:space="preserve">Интервью провела </w:t>
      </w:r>
      <w:proofErr w:type="spellStart"/>
      <w:r>
        <w:rPr>
          <w:lang w:val="ru-RU"/>
        </w:rPr>
        <w:t>А.Тарасенко</w:t>
      </w:r>
      <w:proofErr w:type="spellEnd"/>
      <w:r>
        <w:rPr>
          <w:lang w:val="ru-RU"/>
        </w:rPr>
        <w:t>. Дата интервью — 11.05.2013 года</w:t>
      </w:r>
    </w:p>
  </w:footnote>
  <w:footnote w:id="13">
    <w:p w:rsidR="00284E99" w:rsidRPr="00122F6D" w:rsidRDefault="00284E99">
      <w:pPr>
        <w:pStyle w:val="a9"/>
        <w:rPr>
          <w:lang w:val="ru-RU"/>
        </w:rPr>
      </w:pPr>
      <w:r w:rsidRPr="00373929">
        <w:rPr>
          <w:rStyle w:val="ab"/>
        </w:rPr>
        <w:footnoteRef/>
      </w:r>
      <w:r w:rsidRPr="00122F6D">
        <w:rPr>
          <w:lang w:val="ru-RU"/>
        </w:rPr>
        <w:t xml:space="preserve"> Информация о результатах конкурса доступна на официальном сайте Министерства экономического развития: </w:t>
      </w:r>
      <w:hyperlink r:id="rId7" w:history="1">
        <w:r>
          <w:t>http</w:t>
        </w:r>
        <w:r w:rsidRPr="00122F6D">
          <w:rPr>
            <w:lang w:val="ru-RU"/>
          </w:rPr>
          <w:t>://</w:t>
        </w:r>
        <w:r>
          <w:t>www</w:t>
        </w:r>
        <w:r w:rsidRPr="00122F6D">
          <w:rPr>
            <w:lang w:val="ru-RU"/>
          </w:rPr>
          <w:t>.</w:t>
        </w:r>
        <w:r>
          <w:t>economy</w:t>
        </w:r>
        <w:r w:rsidRPr="00122F6D">
          <w:rPr>
            <w:lang w:val="ru-RU"/>
          </w:rPr>
          <w:t>.</w:t>
        </w:r>
        <w:r>
          <w:t>gov</w:t>
        </w:r>
        <w:r w:rsidRPr="00122F6D">
          <w:rPr>
            <w:lang w:val="ru-RU"/>
          </w:rPr>
          <w:t>.</w:t>
        </w:r>
        <w:r>
          <w:t>ru</w:t>
        </w:r>
        <w:r w:rsidRPr="00122F6D">
          <w:rPr>
            <w:lang w:val="ru-RU"/>
          </w:rPr>
          <w:t>/</w:t>
        </w:r>
        <w:r>
          <w:t>minec</w:t>
        </w:r>
        <w:r w:rsidRPr="00122F6D">
          <w:rPr>
            <w:lang w:val="ru-RU"/>
          </w:rPr>
          <w:t>/</w:t>
        </w:r>
        <w:r>
          <w:t>activity</w:t>
        </w:r>
        <w:r w:rsidRPr="00122F6D">
          <w:rPr>
            <w:lang w:val="ru-RU"/>
          </w:rPr>
          <w:t>/</w:t>
        </w:r>
        <w:r>
          <w:t>sections</w:t>
        </w:r>
        <w:r w:rsidRPr="00122F6D">
          <w:rPr>
            <w:lang w:val="ru-RU"/>
          </w:rPr>
          <w:t>/</w:t>
        </w:r>
        <w:r>
          <w:t>socorientnoncomorg</w:t>
        </w:r>
        <w:r w:rsidRPr="00122F6D">
          <w:rPr>
            <w:lang w:val="ru-RU"/>
          </w:rPr>
          <w:t>/</w:t>
        </w:r>
        <w:r>
          <w:t>doc</w:t>
        </w:r>
        <w:r w:rsidRPr="00122F6D">
          <w:rPr>
            <w:lang w:val="ru-RU"/>
          </w:rPr>
          <w:t>20111201_01</w:t>
        </w:r>
      </w:hyperlink>
    </w:p>
    <w:p w:rsidR="00284E99" w:rsidRPr="00122F6D" w:rsidRDefault="00284E99">
      <w:pPr>
        <w:pStyle w:val="a9"/>
        <w:rPr>
          <w:lang w:val="ru-RU"/>
        </w:rPr>
      </w:pPr>
    </w:p>
    <w:p w:rsidR="00284E99" w:rsidRDefault="00284E99">
      <w:pPr>
        <w:pStyle w:val="a9"/>
      </w:pPr>
    </w:p>
  </w:footnote>
  <w:footnote w:id="14">
    <w:p w:rsidR="00284E99" w:rsidRPr="00122F6D" w:rsidRDefault="00284E99">
      <w:pPr>
        <w:pStyle w:val="a9"/>
        <w:rPr>
          <w:lang w:val="ru-RU"/>
        </w:rPr>
      </w:pPr>
      <w:r w:rsidRPr="00373929">
        <w:rPr>
          <w:rStyle w:val="ab"/>
        </w:rPr>
        <w:footnoteRef/>
      </w:r>
      <w:r w:rsidRPr="00122F6D">
        <w:rPr>
          <w:lang w:val="ru-RU"/>
        </w:rPr>
        <w:t xml:space="preserve">Анализ Центра </w:t>
      </w:r>
      <w:proofErr w:type="spellStart"/>
      <w:r w:rsidRPr="00122F6D">
        <w:rPr>
          <w:lang w:val="ru-RU"/>
        </w:rPr>
        <w:t>антикоррупционных</w:t>
      </w:r>
      <w:proofErr w:type="spellEnd"/>
      <w:r w:rsidRPr="00122F6D">
        <w:rPr>
          <w:lang w:val="ru-RU"/>
        </w:rPr>
        <w:t xml:space="preserve"> исследований и инициатив </w:t>
      </w:r>
      <w:proofErr w:type="spellStart"/>
      <w:r w:rsidRPr="00122F6D">
        <w:rPr>
          <w:lang w:val="ru-RU"/>
        </w:rPr>
        <w:t>Трансперенси</w:t>
      </w:r>
      <w:proofErr w:type="spellEnd"/>
      <w:r w:rsidRPr="00122F6D">
        <w:rPr>
          <w:lang w:val="ru-RU"/>
        </w:rPr>
        <w:t xml:space="preserve"> </w:t>
      </w:r>
      <w:proofErr w:type="spellStart"/>
      <w:r w:rsidRPr="00122F6D">
        <w:rPr>
          <w:lang w:val="ru-RU"/>
        </w:rPr>
        <w:t>Интернешнл</w:t>
      </w:r>
      <w:proofErr w:type="spellEnd"/>
      <w:r w:rsidRPr="00122F6D">
        <w:rPr>
          <w:lang w:val="ru-RU"/>
        </w:rPr>
        <w:t xml:space="preserve"> – </w:t>
      </w:r>
      <w:proofErr w:type="gramStart"/>
      <w:r w:rsidRPr="00122F6D">
        <w:rPr>
          <w:lang w:val="ru-RU"/>
        </w:rPr>
        <w:t>Р</w:t>
      </w:r>
      <w:proofErr w:type="gramEnd"/>
      <w:r w:rsidRPr="00122F6D">
        <w:rPr>
          <w:lang w:val="ru-RU"/>
        </w:rPr>
        <w:t xml:space="preserve"> </w:t>
      </w:r>
      <w:r w:rsidRPr="00536112">
        <w:rPr>
          <w:lang w:val="ru-RU"/>
        </w:rPr>
        <w:t>(</w:t>
      </w:r>
      <w:r w:rsidRPr="00122F6D">
        <w:rPr>
          <w:lang w:val="ru-RU"/>
        </w:rPr>
        <w:t xml:space="preserve">доступ </w:t>
      </w:r>
      <w:r w:rsidRPr="00536112">
        <w:rPr>
          <w:lang w:val="ru-RU"/>
        </w:rPr>
        <w:t xml:space="preserve">08.10.2013 </w:t>
      </w:r>
      <w:r>
        <w:rPr>
          <w:lang w:val="ru-RU"/>
        </w:rPr>
        <w:t>года</w:t>
      </w:r>
      <w:r w:rsidRPr="00122F6D">
        <w:rPr>
          <w:lang w:val="ru-RU"/>
        </w:rPr>
        <w:t xml:space="preserve">: </w:t>
      </w:r>
      <w:hyperlink r:id="rId8" w:history="1">
        <w:r>
          <w:t>http</w:t>
        </w:r>
        <w:r w:rsidRPr="00122F6D">
          <w:rPr>
            <w:lang w:val="ru-RU"/>
          </w:rPr>
          <w:t>://</w:t>
        </w:r>
        <w:proofErr w:type="spellStart"/>
        <w:r>
          <w:t>transparency</w:t>
        </w:r>
        <w:proofErr w:type="spellEnd"/>
        <w:r w:rsidRPr="00122F6D">
          <w:rPr>
            <w:lang w:val="ru-RU"/>
          </w:rPr>
          <w:t>.</w:t>
        </w:r>
        <w:proofErr w:type="spellStart"/>
        <w:r>
          <w:t>org</w:t>
        </w:r>
        <w:proofErr w:type="spellEnd"/>
        <w:r w:rsidRPr="00122F6D">
          <w:rPr>
            <w:lang w:val="ru-RU"/>
          </w:rPr>
          <w:t>.</w:t>
        </w:r>
        <w:proofErr w:type="spellStart"/>
        <w:r>
          <w:t>ru</w:t>
        </w:r>
        <w:proofErr w:type="spellEnd"/>
        <w:r w:rsidRPr="00122F6D">
          <w:rPr>
            <w:lang w:val="ru-RU"/>
          </w:rPr>
          <w:t>/</w:t>
        </w:r>
        <w:proofErr w:type="spellStart"/>
        <w:r>
          <w:t>antikorruptcionnaia</w:t>
        </w:r>
        <w:proofErr w:type="spellEnd"/>
        <w:r w:rsidRPr="00122F6D">
          <w:rPr>
            <w:lang w:val="ru-RU"/>
          </w:rPr>
          <w:t>-</w:t>
        </w:r>
        <w:proofErr w:type="spellStart"/>
        <w:r>
          <w:t>ekspertiza</w:t>
        </w:r>
        <w:proofErr w:type="spellEnd"/>
        <w:r w:rsidRPr="00122F6D">
          <w:rPr>
            <w:lang w:val="ru-RU"/>
          </w:rPr>
          <w:t>/</w:t>
        </w:r>
        <w:proofErr w:type="spellStart"/>
        <w:r>
          <w:t>dengi</w:t>
        </w:r>
        <w:proofErr w:type="spellEnd"/>
        <w:r w:rsidRPr="00122F6D">
          <w:rPr>
            <w:lang w:val="ru-RU"/>
          </w:rPr>
          <w:t>-</w:t>
        </w:r>
        <w:proofErr w:type="spellStart"/>
        <w:r>
          <w:t>dlia</w:t>
        </w:r>
        <w:proofErr w:type="spellEnd"/>
        <w:r w:rsidRPr="00122F6D">
          <w:rPr>
            <w:lang w:val="ru-RU"/>
          </w:rPr>
          <w:t>-</w:t>
        </w:r>
        <w:proofErr w:type="spellStart"/>
        <w:r>
          <w:t>nko</w:t>
        </w:r>
        <w:proofErr w:type="spellEnd"/>
        <w:r w:rsidRPr="00122F6D">
          <w:rPr>
            <w:lang w:val="ru-RU"/>
          </w:rPr>
          <w:t>-</w:t>
        </w:r>
        <w:proofErr w:type="spellStart"/>
        <w:r>
          <w:t>vydali</w:t>
        </w:r>
        <w:proofErr w:type="spellEnd"/>
        <w:r w:rsidRPr="00122F6D">
          <w:rPr>
            <w:lang w:val="ru-RU"/>
          </w:rPr>
          <w:t>-</w:t>
        </w:r>
        <w:r>
          <w:t>s</w:t>
        </w:r>
        <w:r w:rsidRPr="00122F6D">
          <w:rPr>
            <w:lang w:val="ru-RU"/>
          </w:rPr>
          <w:t>-</w:t>
        </w:r>
        <w:proofErr w:type="spellStart"/>
        <w:r>
          <w:t>konfliktom</w:t>
        </w:r>
        <w:proofErr w:type="spellEnd"/>
        <w:r w:rsidRPr="00122F6D">
          <w:rPr>
            <w:lang w:val="ru-RU"/>
          </w:rPr>
          <w:t>-</w:t>
        </w:r>
        <w:proofErr w:type="spellStart"/>
        <w:r>
          <w:t>interesov</w:t>
        </w:r>
        <w:proofErr w:type="spellEnd"/>
      </w:hyperlink>
      <w:r>
        <w:rPr>
          <w:lang w:val="ru-RU"/>
        </w:rPr>
        <w:t>)</w:t>
      </w:r>
    </w:p>
    <w:p w:rsidR="00284E99" w:rsidRPr="00122F6D" w:rsidRDefault="00284E99">
      <w:pPr>
        <w:pStyle w:val="a9"/>
        <w:rPr>
          <w:lang w:val="ru-RU"/>
        </w:rPr>
      </w:pPr>
    </w:p>
    <w:p w:rsidR="00284E99" w:rsidRDefault="00284E99">
      <w:pPr>
        <w:pStyle w:val="a9"/>
      </w:pPr>
    </w:p>
  </w:footnote>
  <w:footnote w:id="15">
    <w:p w:rsidR="0007666F" w:rsidRPr="0007666F" w:rsidRDefault="0007666F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 xml:space="preserve">Официальная информация о результатах конкурса доступна на сайте: </w:t>
      </w:r>
      <w:hyperlink r:id="rId9" w:history="1">
        <w:r>
          <w:rPr>
            <w:rStyle w:val="af"/>
          </w:rPr>
          <w:t>http://gov.spb.ru/gov/otrasl/trud/news/39652/</w:t>
        </w:r>
      </w:hyperlink>
    </w:p>
  </w:footnote>
  <w:footnote w:id="16">
    <w:p w:rsidR="00284E99" w:rsidRPr="00122F6D" w:rsidRDefault="00284E99">
      <w:pPr>
        <w:pStyle w:val="a9"/>
        <w:rPr>
          <w:lang w:val="ru-RU"/>
        </w:rPr>
      </w:pPr>
      <w:r w:rsidRPr="00373929">
        <w:rPr>
          <w:rStyle w:val="ab"/>
        </w:rPr>
        <w:footnoteRef/>
      </w:r>
      <w:r w:rsidR="00C9395A">
        <w:rPr>
          <w:lang w:val="ru-RU"/>
        </w:rPr>
        <w:t xml:space="preserve"> </w:t>
      </w:r>
      <w:r w:rsidRPr="00122F6D">
        <w:rPr>
          <w:lang w:val="ru-RU"/>
        </w:rPr>
        <w:t xml:space="preserve">Повышение эффективности государственных инвестиций в сектор социально ориентированных НКО. Материалы Министерства экономического развития РФ (доступ 14.01.2013 </w:t>
      </w:r>
      <w:hyperlink r:id="rId10" w:history="1">
        <w:r>
          <w:t>http</w:t>
        </w:r>
        <w:r w:rsidRPr="00122F6D">
          <w:rPr>
            <w:lang w:val="ru-RU"/>
          </w:rPr>
          <w:t>://</w:t>
        </w:r>
        <w:r>
          <w:t>www</w:t>
        </w:r>
        <w:r w:rsidRPr="00122F6D">
          <w:rPr>
            <w:lang w:val="ru-RU"/>
          </w:rPr>
          <w:t>.</w:t>
        </w:r>
        <w:r>
          <w:t>economy</w:t>
        </w:r>
        <w:r w:rsidRPr="00122F6D">
          <w:rPr>
            <w:lang w:val="ru-RU"/>
          </w:rPr>
          <w:t>.</w:t>
        </w:r>
        <w:r>
          <w:t>gov</w:t>
        </w:r>
        <w:r w:rsidRPr="00122F6D">
          <w:rPr>
            <w:lang w:val="ru-RU"/>
          </w:rPr>
          <w:t>.</w:t>
        </w:r>
        <w:r>
          <w:t>ru</w:t>
        </w:r>
        <w:r w:rsidRPr="00122F6D">
          <w:rPr>
            <w:lang w:val="ru-RU"/>
          </w:rPr>
          <w:t>/</w:t>
        </w:r>
        <w:r>
          <w:t>minec</w:t>
        </w:r>
        <w:r w:rsidRPr="00122F6D">
          <w:rPr>
            <w:lang w:val="ru-RU"/>
          </w:rPr>
          <w:t>/</w:t>
        </w:r>
        <w:r>
          <w:t>about</w:t>
        </w:r>
        <w:r w:rsidRPr="00122F6D">
          <w:rPr>
            <w:lang w:val="ru-RU"/>
          </w:rPr>
          <w:t>/</w:t>
        </w:r>
        <w:r>
          <w:t>structure</w:t>
        </w:r>
        <w:r w:rsidRPr="00122F6D">
          <w:rPr>
            <w:lang w:val="ru-RU"/>
          </w:rPr>
          <w:t>/</w:t>
        </w:r>
        <w:r>
          <w:t>depstrategy</w:t>
        </w:r>
        <w:r w:rsidRPr="00122F6D">
          <w:rPr>
            <w:lang w:val="ru-RU"/>
          </w:rPr>
          <w:t>/</w:t>
        </w:r>
        <w:r>
          <w:t>doc</w:t>
        </w:r>
        <w:r w:rsidRPr="00122F6D">
          <w:rPr>
            <w:lang w:val="ru-RU"/>
          </w:rPr>
          <w:t>20110727_08</w:t>
        </w:r>
      </w:hyperlink>
      <w:r w:rsidRPr="00122F6D">
        <w:rPr>
          <w:lang w:val="ru-RU"/>
        </w:rPr>
        <w:t>)</w:t>
      </w:r>
    </w:p>
    <w:p w:rsidR="00284E99" w:rsidRPr="00122F6D" w:rsidRDefault="00284E99">
      <w:pPr>
        <w:pStyle w:val="a9"/>
        <w:rPr>
          <w:lang w:val="ru-RU"/>
        </w:rPr>
      </w:pPr>
    </w:p>
    <w:p w:rsidR="00284E99" w:rsidRDefault="00284E99">
      <w:pPr>
        <w:pStyle w:val="a9"/>
      </w:pPr>
    </w:p>
  </w:footnote>
  <w:footnote w:id="17">
    <w:p w:rsidR="00284E99" w:rsidRPr="00122F6D" w:rsidRDefault="00284E99">
      <w:pPr>
        <w:pStyle w:val="a9"/>
        <w:jc w:val="both"/>
        <w:rPr>
          <w:lang w:val="ru-RU"/>
        </w:rPr>
      </w:pPr>
      <w:r w:rsidRPr="00373929">
        <w:rPr>
          <w:rStyle w:val="ab"/>
        </w:rPr>
        <w:footnoteRef/>
      </w:r>
      <w:r w:rsidR="00C9395A">
        <w:rPr>
          <w:lang w:val="ru-RU"/>
        </w:rPr>
        <w:t xml:space="preserve"> </w:t>
      </w:r>
      <w:r w:rsidRPr="00122F6D">
        <w:rPr>
          <w:lang w:val="ru-RU"/>
        </w:rPr>
        <w:t xml:space="preserve">Подробный анализ бюджета </w:t>
      </w:r>
      <w:proofErr w:type="gramStart"/>
      <w:r w:rsidRPr="00122F6D">
        <w:rPr>
          <w:lang w:val="ru-RU"/>
        </w:rPr>
        <w:t>см</w:t>
      </w:r>
      <w:proofErr w:type="gramEnd"/>
      <w:r w:rsidRPr="00122F6D">
        <w:rPr>
          <w:lang w:val="ru-RU"/>
        </w:rPr>
        <w:t xml:space="preserve">.: Записка по результатам анализа нормативно-правовой базы, регулирующей вопросы предоставления государственной поддержки НКО в Санкт-Петербурге в 2010 году, в: Информационно-аналитические материалы о деятельности некоммерческого сектора в Санкт-Петербурге. Санкт-Петербург, 2011 (доступ </w:t>
      </w:r>
      <w:r>
        <w:rPr>
          <w:lang w:val="ru-RU"/>
        </w:rPr>
        <w:t>14.01.2013</w:t>
      </w:r>
      <w:r w:rsidRPr="00122F6D">
        <w:rPr>
          <w:lang w:val="ru-RU"/>
        </w:rPr>
        <w:t xml:space="preserve"> г. </w:t>
      </w:r>
      <w:hyperlink r:id="rId11" w:history="1">
        <w:r>
          <w:t>http</w:t>
        </w:r>
        <w:r w:rsidRPr="00122F6D">
          <w:rPr>
            <w:lang w:val="ru-RU"/>
          </w:rPr>
          <w:t>://</w:t>
        </w:r>
        <w:r>
          <w:t>www</w:t>
        </w:r>
        <w:r w:rsidRPr="00122F6D">
          <w:rPr>
            <w:lang w:val="ru-RU"/>
          </w:rPr>
          <w:t>.</w:t>
        </w:r>
        <w:r>
          <w:t>crno</w:t>
        </w:r>
        <w:r w:rsidRPr="00122F6D">
          <w:rPr>
            <w:lang w:val="ru-RU"/>
          </w:rPr>
          <w:t>.</w:t>
        </w:r>
        <w:r>
          <w:t>ru</w:t>
        </w:r>
        <w:r w:rsidRPr="00122F6D">
          <w:rPr>
            <w:lang w:val="ru-RU"/>
          </w:rPr>
          <w:t>/</w:t>
        </w:r>
        <w:r>
          <w:t>assets</w:t>
        </w:r>
        <w:r w:rsidRPr="00122F6D">
          <w:rPr>
            <w:lang w:val="ru-RU"/>
          </w:rPr>
          <w:t>/</w:t>
        </w:r>
        <w:r>
          <w:t>files</w:t>
        </w:r>
        <w:r w:rsidRPr="00122F6D">
          <w:rPr>
            <w:lang w:val="ru-RU"/>
          </w:rPr>
          <w:t>/2011-12-06_</w:t>
        </w:r>
        <w:r>
          <w:t>St</w:t>
        </w:r>
        <w:r w:rsidRPr="00122F6D">
          <w:rPr>
            <w:lang w:val="ru-RU"/>
          </w:rPr>
          <w:t>-</w:t>
        </w:r>
        <w:r>
          <w:t>Petersburg</w:t>
        </w:r>
        <w:r w:rsidRPr="00122F6D">
          <w:rPr>
            <w:lang w:val="ru-RU"/>
          </w:rPr>
          <w:t>_</w:t>
        </w:r>
        <w:r>
          <w:t>NKO</w:t>
        </w:r>
        <w:r w:rsidRPr="00122F6D">
          <w:rPr>
            <w:lang w:val="ru-RU"/>
          </w:rPr>
          <w:t>_</w:t>
        </w:r>
        <w:r>
          <w:t>collection</w:t>
        </w:r>
        <w:r w:rsidRPr="00122F6D">
          <w:rPr>
            <w:lang w:val="ru-RU"/>
          </w:rPr>
          <w:t>_</w:t>
        </w:r>
        <w:r>
          <w:t>A</w:t>
        </w:r>
        <w:r w:rsidRPr="00122F6D">
          <w:rPr>
            <w:lang w:val="ru-RU"/>
          </w:rPr>
          <w:t>4.</w:t>
        </w:r>
        <w:proofErr w:type="spellStart"/>
        <w:r>
          <w:t>pdf</w:t>
        </w:r>
        <w:proofErr w:type="spellEnd"/>
      </w:hyperlink>
      <w:r w:rsidRPr="00122F6D">
        <w:rPr>
          <w:lang w:val="ru-RU"/>
        </w:rPr>
        <w:t>)</w:t>
      </w:r>
    </w:p>
    <w:p w:rsidR="00284E99" w:rsidRDefault="00284E99">
      <w:pPr>
        <w:pStyle w:val="a9"/>
        <w:jc w:val="both"/>
      </w:pPr>
    </w:p>
  </w:footnote>
  <w:footnote w:id="18">
    <w:p w:rsidR="00284E99" w:rsidRDefault="00284E99">
      <w:pPr>
        <w:pStyle w:val="Footnote"/>
      </w:pPr>
      <w:r w:rsidRPr="00373929">
        <w:rPr>
          <w:rStyle w:val="ab"/>
        </w:rPr>
        <w:footnoteRef/>
      </w:r>
      <w:r>
        <w:rPr>
          <w:lang w:val="ru-RU"/>
        </w:rPr>
        <w:t xml:space="preserve">Интервью проводила </w:t>
      </w:r>
      <w:proofErr w:type="spellStart"/>
      <w:r>
        <w:rPr>
          <w:lang w:val="ru-RU"/>
        </w:rPr>
        <w:t>А.Тарасенко</w:t>
      </w:r>
      <w:proofErr w:type="spellEnd"/>
      <w:r>
        <w:rPr>
          <w:lang w:val="ru-RU"/>
        </w:rPr>
        <w:t>, Дата интервью: 4.07.2013 г.</w:t>
      </w:r>
    </w:p>
  </w:footnote>
  <w:footnote w:id="19">
    <w:p w:rsidR="00284E99" w:rsidRPr="00122F6D" w:rsidRDefault="00284E99">
      <w:pPr>
        <w:pStyle w:val="a9"/>
        <w:jc w:val="both"/>
        <w:rPr>
          <w:lang w:val="ru-RU"/>
        </w:rPr>
      </w:pPr>
      <w:r w:rsidRPr="00373929">
        <w:rPr>
          <w:rStyle w:val="ab"/>
        </w:rPr>
        <w:footnoteRef/>
      </w:r>
      <w:r w:rsidRPr="00122F6D">
        <w:rPr>
          <w:lang w:val="ru-RU"/>
        </w:rPr>
        <w:t>Аналитическая записка «Совершенствование институциональных условий функционирования НКО, привлечение НКО к предоставлению государственных (муниципальных) услуг (работ), подготовленная Институтом экономики города. (</w:t>
      </w:r>
      <w:hyperlink r:id="rId12" w:history="1">
        <w:r>
          <w:t>http</w:t>
        </w:r>
        <w:r w:rsidRPr="00122F6D">
          <w:rPr>
            <w:lang w:val="ru-RU"/>
          </w:rPr>
          <w:t>://</w:t>
        </w:r>
        <w:proofErr w:type="spellStart"/>
        <w:r>
          <w:t>strategy</w:t>
        </w:r>
        <w:proofErr w:type="spellEnd"/>
        <w:r w:rsidRPr="00122F6D">
          <w:rPr>
            <w:lang w:val="ru-RU"/>
          </w:rPr>
          <w:t>2020.</w:t>
        </w:r>
        <w:proofErr w:type="spellStart"/>
        <w:r>
          <w:t>rian</w:t>
        </w:r>
        <w:proofErr w:type="spellEnd"/>
        <w:r w:rsidRPr="00122F6D">
          <w:rPr>
            <w:lang w:val="ru-RU"/>
          </w:rPr>
          <w:t>.</w:t>
        </w:r>
        <w:proofErr w:type="spellStart"/>
        <w:r>
          <w:t>ru</w:t>
        </w:r>
        <w:proofErr w:type="spellEnd"/>
        <w:r w:rsidRPr="00122F6D">
          <w:rPr>
            <w:lang w:val="ru-RU"/>
          </w:rPr>
          <w:t>/</w:t>
        </w:r>
        <w:r>
          <w:t>g</w:t>
        </w:r>
        <w:r w:rsidRPr="00122F6D">
          <w:rPr>
            <w:lang w:val="ru-RU"/>
          </w:rPr>
          <w:t>16_</w:t>
        </w:r>
        <w:proofErr w:type="spellStart"/>
        <w:r>
          <w:t>docs</w:t>
        </w:r>
        <w:proofErr w:type="spellEnd"/>
        <w:r w:rsidRPr="00122F6D">
          <w:rPr>
            <w:lang w:val="ru-RU"/>
          </w:rPr>
          <w:t>/20111201/366213790.</w:t>
        </w:r>
        <w:proofErr w:type="spellStart"/>
        <w:r>
          <w:t>html</w:t>
        </w:r>
        <w:proofErr w:type="spellEnd"/>
      </w:hyperlink>
      <w:r w:rsidRPr="00122F6D">
        <w:rPr>
          <w:lang w:val="ru-RU"/>
        </w:rPr>
        <w:t>)</w:t>
      </w:r>
    </w:p>
    <w:p w:rsidR="00284E99" w:rsidRPr="00122F6D" w:rsidRDefault="00284E99">
      <w:pPr>
        <w:pStyle w:val="a9"/>
        <w:jc w:val="both"/>
        <w:rPr>
          <w:lang w:val="ru-RU"/>
        </w:rPr>
      </w:pPr>
    </w:p>
    <w:p w:rsidR="00284E99" w:rsidRDefault="00284E99">
      <w:pPr>
        <w:pStyle w:val="a9"/>
        <w:jc w:val="both"/>
      </w:pPr>
    </w:p>
  </w:footnote>
  <w:footnote w:id="20">
    <w:p w:rsidR="0067237F" w:rsidRPr="0067237F" w:rsidRDefault="0067237F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 xml:space="preserve">Официальный сайт национальной социальной программы «Бабушка и дедушка </w:t>
      </w:r>
      <w:proofErr w:type="spellStart"/>
      <w:r>
        <w:rPr>
          <w:lang w:val="ru-RU"/>
        </w:rPr>
        <w:t>он-лайн</w:t>
      </w:r>
      <w:proofErr w:type="spellEnd"/>
      <w:r>
        <w:rPr>
          <w:lang w:val="ru-RU"/>
        </w:rPr>
        <w:t xml:space="preserve">»: </w:t>
      </w:r>
      <w:hyperlink r:id="rId13" w:history="1">
        <w:r>
          <w:rPr>
            <w:rStyle w:val="af"/>
          </w:rPr>
          <w:t>http://babushka-on-line.ru/o-programme.html</w:t>
        </w:r>
      </w:hyperlink>
    </w:p>
  </w:footnote>
  <w:footnote w:id="21">
    <w:p w:rsidR="00284E99" w:rsidRDefault="00284E99">
      <w:pPr>
        <w:pStyle w:val="Footnote"/>
        <w:rPr>
          <w:lang w:val="ru-RU"/>
        </w:rPr>
      </w:pPr>
      <w:r w:rsidRPr="00373929">
        <w:rPr>
          <w:rStyle w:val="ab"/>
        </w:rPr>
        <w:footnoteRef/>
      </w:r>
      <w:r>
        <w:rPr>
          <w:lang w:val="ru-RU"/>
        </w:rPr>
        <w:t>Официальный сайт ежегодного городского</w:t>
      </w:r>
      <w:r w:rsidR="00997CDB">
        <w:rPr>
          <w:lang w:val="ru-RU"/>
        </w:rPr>
        <w:t xml:space="preserve"> форума «Социальный Петербург. Н</w:t>
      </w:r>
      <w:r>
        <w:rPr>
          <w:lang w:val="ru-RU"/>
        </w:rPr>
        <w:t xml:space="preserve">овые решения»: </w:t>
      </w:r>
      <w:hyperlink r:id="rId14" w:history="1">
        <w:r>
          <w:rPr>
            <w:lang w:val="ru-RU"/>
          </w:rPr>
          <w:t>http://www.soc-spb.ru/</w:t>
        </w:r>
      </w:hyperlink>
    </w:p>
    <w:p w:rsidR="00284E99" w:rsidRDefault="00284E99">
      <w:pPr>
        <w:pStyle w:val="Footnote"/>
      </w:pPr>
    </w:p>
  </w:footnote>
  <w:footnote w:id="22">
    <w:p w:rsidR="00284E99" w:rsidRPr="00C23EC6" w:rsidRDefault="00284E99" w:rsidP="00C23EC6">
      <w:pPr>
        <w:pStyle w:val="a9"/>
        <w:jc w:val="both"/>
        <w:rPr>
          <w:lang w:val="ru-RU"/>
        </w:rPr>
      </w:pPr>
      <w:r w:rsidRPr="00373929">
        <w:rPr>
          <w:rStyle w:val="ab"/>
        </w:rPr>
        <w:footnoteRef/>
      </w:r>
      <w:r w:rsidRPr="00122F6D">
        <w:rPr>
          <w:lang w:val="ru-RU"/>
        </w:rPr>
        <w:t xml:space="preserve"> </w:t>
      </w:r>
      <w:proofErr w:type="gramStart"/>
      <w:r w:rsidRPr="00122F6D">
        <w:rPr>
          <w:lang w:val="ru-RU"/>
        </w:rPr>
        <w:t>См</w:t>
      </w:r>
      <w:proofErr w:type="gramEnd"/>
      <w:r w:rsidRPr="00122F6D">
        <w:rPr>
          <w:lang w:val="ru-RU"/>
        </w:rPr>
        <w:t>, например: Л.А.Седов. Государственный патернализм и представление о политической свободе в России. (</w:t>
      </w:r>
      <w:hyperlink r:id="rId15" w:history="1">
        <w:r>
          <w:t>http</w:t>
        </w:r>
        <w:r w:rsidRPr="00122F6D">
          <w:rPr>
            <w:lang w:val="ru-RU"/>
          </w:rPr>
          <w:t>://</w:t>
        </w:r>
        <w:r>
          <w:t>www</w:t>
        </w:r>
        <w:r w:rsidRPr="00122F6D">
          <w:rPr>
            <w:lang w:val="ru-RU"/>
          </w:rPr>
          <w:t>.</w:t>
        </w:r>
        <w:r>
          <w:t>levada</w:t>
        </w:r>
        <w:r w:rsidRPr="00122F6D">
          <w:rPr>
            <w:lang w:val="ru-RU"/>
          </w:rPr>
          <w:t>.</w:t>
        </w:r>
        <w:r>
          <w:t>ru</w:t>
        </w:r>
        <w:r w:rsidRPr="00122F6D">
          <w:rPr>
            <w:lang w:val="ru-RU"/>
          </w:rPr>
          <w:t>/13-08-2007/</w:t>
        </w:r>
        <w:r>
          <w:t>la</w:t>
        </w:r>
        <w:r w:rsidRPr="00122F6D">
          <w:rPr>
            <w:lang w:val="ru-RU"/>
          </w:rPr>
          <w:t>-</w:t>
        </w:r>
        <w:r>
          <w:t>sedov</w:t>
        </w:r>
        <w:r w:rsidRPr="00122F6D">
          <w:rPr>
            <w:lang w:val="ru-RU"/>
          </w:rPr>
          <w:t>-</w:t>
        </w:r>
        <w:r>
          <w:t>gosudarstvennyi</w:t>
        </w:r>
        <w:r w:rsidRPr="00122F6D">
          <w:rPr>
            <w:lang w:val="ru-RU"/>
          </w:rPr>
          <w:t>-</w:t>
        </w:r>
        <w:r>
          <w:t>paternalizm</w:t>
        </w:r>
        <w:r w:rsidRPr="00122F6D">
          <w:rPr>
            <w:lang w:val="ru-RU"/>
          </w:rPr>
          <w:t>-</w:t>
        </w:r>
        <w:r>
          <w:t>i</w:t>
        </w:r>
        <w:r w:rsidRPr="00122F6D">
          <w:rPr>
            <w:lang w:val="ru-RU"/>
          </w:rPr>
          <w:t>-</w:t>
        </w:r>
        <w:r>
          <w:t>predstavlenie</w:t>
        </w:r>
        <w:r w:rsidRPr="00122F6D">
          <w:rPr>
            <w:lang w:val="ru-RU"/>
          </w:rPr>
          <w:t>-</w:t>
        </w:r>
        <w:r>
          <w:t>o</w:t>
        </w:r>
        <w:r w:rsidRPr="00122F6D">
          <w:rPr>
            <w:lang w:val="ru-RU"/>
          </w:rPr>
          <w:t>-</w:t>
        </w:r>
        <w:r>
          <w:t>politicheskoi</w:t>
        </w:r>
        <w:r w:rsidRPr="00122F6D">
          <w:rPr>
            <w:lang w:val="ru-RU"/>
          </w:rPr>
          <w:t>-</w:t>
        </w:r>
        <w:r>
          <w:t>svobode</w:t>
        </w:r>
        <w:r w:rsidRPr="00122F6D">
          <w:rPr>
            <w:lang w:val="ru-RU"/>
          </w:rPr>
          <w:t>-</w:t>
        </w:r>
        <w:r>
          <w:t>v</w:t>
        </w:r>
        <w:r w:rsidRPr="00122F6D">
          <w:rPr>
            <w:lang w:val="ru-RU"/>
          </w:rPr>
          <w:t>-</w:t>
        </w:r>
        <w:proofErr w:type="spellStart"/>
        <w:r>
          <w:t>rossii</w:t>
        </w:r>
        <w:proofErr w:type="spellEnd"/>
      </w:hyperlink>
      <w:r w:rsidRPr="00122F6D">
        <w:rPr>
          <w:lang w:val="ru-RU"/>
        </w:rPr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3D6"/>
    <w:multiLevelType w:val="hybridMultilevel"/>
    <w:tmpl w:val="FCECA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E4329"/>
    <w:multiLevelType w:val="multilevel"/>
    <w:tmpl w:val="57FAAD9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0D437D86"/>
    <w:multiLevelType w:val="hybridMultilevel"/>
    <w:tmpl w:val="B31E09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1D32EB"/>
    <w:multiLevelType w:val="multilevel"/>
    <w:tmpl w:val="16D66BD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10996A3F"/>
    <w:multiLevelType w:val="multilevel"/>
    <w:tmpl w:val="7F4648C0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5">
    <w:nsid w:val="18E36D93"/>
    <w:multiLevelType w:val="hybridMultilevel"/>
    <w:tmpl w:val="9BE8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4F711C"/>
    <w:multiLevelType w:val="multilevel"/>
    <w:tmpl w:val="16D66BD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2301161F"/>
    <w:multiLevelType w:val="multilevel"/>
    <w:tmpl w:val="BB2E742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5143006"/>
    <w:multiLevelType w:val="multilevel"/>
    <w:tmpl w:val="1B74B6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2648621E"/>
    <w:multiLevelType w:val="hybridMultilevel"/>
    <w:tmpl w:val="8A987F90"/>
    <w:lvl w:ilvl="0" w:tplc="0419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0">
    <w:nsid w:val="2ABF13F8"/>
    <w:multiLevelType w:val="hybridMultilevel"/>
    <w:tmpl w:val="A2E84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032E66"/>
    <w:multiLevelType w:val="hybridMultilevel"/>
    <w:tmpl w:val="BA38A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8E320D"/>
    <w:multiLevelType w:val="multilevel"/>
    <w:tmpl w:val="CE042D7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463F2CAF"/>
    <w:multiLevelType w:val="multilevel"/>
    <w:tmpl w:val="C1AECE1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55073FC3"/>
    <w:multiLevelType w:val="hybridMultilevel"/>
    <w:tmpl w:val="57DE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3E067D"/>
    <w:multiLevelType w:val="multilevel"/>
    <w:tmpl w:val="3F38D162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6CEB3127"/>
    <w:multiLevelType w:val="hybridMultilevel"/>
    <w:tmpl w:val="CDBE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D71E1F"/>
    <w:multiLevelType w:val="hybridMultilevel"/>
    <w:tmpl w:val="963E72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8"/>
  </w:num>
  <w:num w:numId="5">
    <w:abstractNumId w:val="13"/>
  </w:num>
  <w:num w:numId="6">
    <w:abstractNumId w:val="1"/>
  </w:num>
  <w:num w:numId="7">
    <w:abstractNumId w:val="4"/>
  </w:num>
  <w:num w:numId="8">
    <w:abstractNumId w:val="12"/>
  </w:num>
  <w:num w:numId="9">
    <w:abstractNumId w:val="6"/>
  </w:num>
  <w:num w:numId="10">
    <w:abstractNumId w:val="3"/>
  </w:num>
  <w:num w:numId="11">
    <w:abstractNumId w:val="9"/>
  </w:num>
  <w:num w:numId="12">
    <w:abstractNumId w:val="2"/>
  </w:num>
  <w:num w:numId="13">
    <w:abstractNumId w:val="11"/>
  </w:num>
  <w:num w:numId="14">
    <w:abstractNumId w:val="16"/>
  </w:num>
  <w:num w:numId="15">
    <w:abstractNumId w:val="17"/>
  </w:num>
  <w:num w:numId="16">
    <w:abstractNumId w:val="14"/>
  </w:num>
  <w:num w:numId="17">
    <w:abstractNumId w:val="10"/>
  </w:num>
  <w:num w:numId="18">
    <w:abstractNumId w:val="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kClkREq6tKzgQjfjiHwDECnJAg=" w:salt="Y9tLnLCTh64BzB5QcTwtfw==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929"/>
    <w:rsid w:val="00023AA9"/>
    <w:rsid w:val="000243FB"/>
    <w:rsid w:val="000322CA"/>
    <w:rsid w:val="00042B93"/>
    <w:rsid w:val="00043D71"/>
    <w:rsid w:val="00053E0F"/>
    <w:rsid w:val="00071EBB"/>
    <w:rsid w:val="0007666F"/>
    <w:rsid w:val="0009102C"/>
    <w:rsid w:val="00097C9B"/>
    <w:rsid w:val="000A6990"/>
    <w:rsid w:val="000B6484"/>
    <w:rsid w:val="000B7F97"/>
    <w:rsid w:val="000C330E"/>
    <w:rsid w:val="00102A45"/>
    <w:rsid w:val="0010477A"/>
    <w:rsid w:val="0011255F"/>
    <w:rsid w:val="0011430F"/>
    <w:rsid w:val="00122F6D"/>
    <w:rsid w:val="00141EC0"/>
    <w:rsid w:val="00164AAD"/>
    <w:rsid w:val="00166632"/>
    <w:rsid w:val="0017346D"/>
    <w:rsid w:val="001827A6"/>
    <w:rsid w:val="00190C46"/>
    <w:rsid w:val="001935A5"/>
    <w:rsid w:val="001965F1"/>
    <w:rsid w:val="001A17C0"/>
    <w:rsid w:val="001C1877"/>
    <w:rsid w:val="001D2244"/>
    <w:rsid w:val="00203991"/>
    <w:rsid w:val="0020471B"/>
    <w:rsid w:val="00211DAE"/>
    <w:rsid w:val="00216FF1"/>
    <w:rsid w:val="002743C3"/>
    <w:rsid w:val="00284E99"/>
    <w:rsid w:val="002B323E"/>
    <w:rsid w:val="002C353A"/>
    <w:rsid w:val="002D0F2E"/>
    <w:rsid w:val="003628E5"/>
    <w:rsid w:val="00373929"/>
    <w:rsid w:val="003838DA"/>
    <w:rsid w:val="00394DEC"/>
    <w:rsid w:val="003A2CF6"/>
    <w:rsid w:val="003A4637"/>
    <w:rsid w:val="003C4DE9"/>
    <w:rsid w:val="003C5F16"/>
    <w:rsid w:val="003F322F"/>
    <w:rsid w:val="0040058E"/>
    <w:rsid w:val="00411F68"/>
    <w:rsid w:val="004217EC"/>
    <w:rsid w:val="00426AC3"/>
    <w:rsid w:val="0044272A"/>
    <w:rsid w:val="00463898"/>
    <w:rsid w:val="004644DB"/>
    <w:rsid w:val="00465EF2"/>
    <w:rsid w:val="00487575"/>
    <w:rsid w:val="00495BE9"/>
    <w:rsid w:val="004B098F"/>
    <w:rsid w:val="004B26A3"/>
    <w:rsid w:val="004C4DFF"/>
    <w:rsid w:val="0051057D"/>
    <w:rsid w:val="0051502B"/>
    <w:rsid w:val="00536112"/>
    <w:rsid w:val="005454F7"/>
    <w:rsid w:val="005561EC"/>
    <w:rsid w:val="00566486"/>
    <w:rsid w:val="005731C3"/>
    <w:rsid w:val="00576338"/>
    <w:rsid w:val="00587437"/>
    <w:rsid w:val="00597F3A"/>
    <w:rsid w:val="005C1CA5"/>
    <w:rsid w:val="005D3046"/>
    <w:rsid w:val="005E636B"/>
    <w:rsid w:val="005F645E"/>
    <w:rsid w:val="005F6F4A"/>
    <w:rsid w:val="00603996"/>
    <w:rsid w:val="00611AA6"/>
    <w:rsid w:val="00613D39"/>
    <w:rsid w:val="006325BD"/>
    <w:rsid w:val="006374DE"/>
    <w:rsid w:val="0067237F"/>
    <w:rsid w:val="006B240D"/>
    <w:rsid w:val="006B69A9"/>
    <w:rsid w:val="006C2586"/>
    <w:rsid w:val="006D00ED"/>
    <w:rsid w:val="006F7AAA"/>
    <w:rsid w:val="00717B5E"/>
    <w:rsid w:val="00717B96"/>
    <w:rsid w:val="00730DBF"/>
    <w:rsid w:val="00742EE9"/>
    <w:rsid w:val="00752285"/>
    <w:rsid w:val="00753829"/>
    <w:rsid w:val="007845AD"/>
    <w:rsid w:val="00784707"/>
    <w:rsid w:val="00786833"/>
    <w:rsid w:val="007C379A"/>
    <w:rsid w:val="007C5E68"/>
    <w:rsid w:val="007E3D1D"/>
    <w:rsid w:val="007F41E5"/>
    <w:rsid w:val="007F7E10"/>
    <w:rsid w:val="00810496"/>
    <w:rsid w:val="0082207C"/>
    <w:rsid w:val="00824607"/>
    <w:rsid w:val="00834101"/>
    <w:rsid w:val="00834D85"/>
    <w:rsid w:val="00876820"/>
    <w:rsid w:val="008806DF"/>
    <w:rsid w:val="008B5FED"/>
    <w:rsid w:val="008C5CAA"/>
    <w:rsid w:val="00911F34"/>
    <w:rsid w:val="00912338"/>
    <w:rsid w:val="00914594"/>
    <w:rsid w:val="009717A9"/>
    <w:rsid w:val="00981C43"/>
    <w:rsid w:val="00987C4D"/>
    <w:rsid w:val="00996128"/>
    <w:rsid w:val="00997CDB"/>
    <w:rsid w:val="009A0CE6"/>
    <w:rsid w:val="009A3D53"/>
    <w:rsid w:val="009B7C86"/>
    <w:rsid w:val="009C75E7"/>
    <w:rsid w:val="009D1DBC"/>
    <w:rsid w:val="009E1108"/>
    <w:rsid w:val="009E45B4"/>
    <w:rsid w:val="009F2022"/>
    <w:rsid w:val="009F7317"/>
    <w:rsid w:val="00A02261"/>
    <w:rsid w:val="00A3205E"/>
    <w:rsid w:val="00A44C31"/>
    <w:rsid w:val="00A56944"/>
    <w:rsid w:val="00A77BF4"/>
    <w:rsid w:val="00A8606E"/>
    <w:rsid w:val="00A945B3"/>
    <w:rsid w:val="00AA02C8"/>
    <w:rsid w:val="00AA45A4"/>
    <w:rsid w:val="00AE4E7A"/>
    <w:rsid w:val="00AF07C3"/>
    <w:rsid w:val="00AF2384"/>
    <w:rsid w:val="00AF67D9"/>
    <w:rsid w:val="00B11B0E"/>
    <w:rsid w:val="00B432E3"/>
    <w:rsid w:val="00B56ED6"/>
    <w:rsid w:val="00B65348"/>
    <w:rsid w:val="00B779B0"/>
    <w:rsid w:val="00B81435"/>
    <w:rsid w:val="00B8541D"/>
    <w:rsid w:val="00BA4554"/>
    <w:rsid w:val="00BD2412"/>
    <w:rsid w:val="00BF3BCA"/>
    <w:rsid w:val="00C03ADB"/>
    <w:rsid w:val="00C0478D"/>
    <w:rsid w:val="00C11E35"/>
    <w:rsid w:val="00C2218F"/>
    <w:rsid w:val="00C23EC6"/>
    <w:rsid w:val="00C32894"/>
    <w:rsid w:val="00C35BED"/>
    <w:rsid w:val="00C509FA"/>
    <w:rsid w:val="00C86D11"/>
    <w:rsid w:val="00C9395A"/>
    <w:rsid w:val="00CA0E12"/>
    <w:rsid w:val="00CB4816"/>
    <w:rsid w:val="00CC5E69"/>
    <w:rsid w:val="00CD622F"/>
    <w:rsid w:val="00CF3A43"/>
    <w:rsid w:val="00D0547C"/>
    <w:rsid w:val="00D2057B"/>
    <w:rsid w:val="00D30ED0"/>
    <w:rsid w:val="00D37FC8"/>
    <w:rsid w:val="00D90E13"/>
    <w:rsid w:val="00DA1EFE"/>
    <w:rsid w:val="00DA2193"/>
    <w:rsid w:val="00DE2BFF"/>
    <w:rsid w:val="00DE651F"/>
    <w:rsid w:val="00E135C2"/>
    <w:rsid w:val="00E14A98"/>
    <w:rsid w:val="00E277C6"/>
    <w:rsid w:val="00E32A43"/>
    <w:rsid w:val="00E50BC4"/>
    <w:rsid w:val="00E7161D"/>
    <w:rsid w:val="00E80801"/>
    <w:rsid w:val="00E9054C"/>
    <w:rsid w:val="00E97CE2"/>
    <w:rsid w:val="00EA6C3D"/>
    <w:rsid w:val="00EF72E9"/>
    <w:rsid w:val="00F058A7"/>
    <w:rsid w:val="00F05F5B"/>
    <w:rsid w:val="00F11852"/>
    <w:rsid w:val="00F1197D"/>
    <w:rsid w:val="00F210E7"/>
    <w:rsid w:val="00F27377"/>
    <w:rsid w:val="00F31C16"/>
    <w:rsid w:val="00F35632"/>
    <w:rsid w:val="00F44FA2"/>
    <w:rsid w:val="00F4638F"/>
    <w:rsid w:val="00F53357"/>
    <w:rsid w:val="00F544B7"/>
    <w:rsid w:val="00F768FC"/>
    <w:rsid w:val="00FA51D0"/>
    <w:rsid w:val="00FB11C6"/>
    <w:rsid w:val="00FB6511"/>
    <w:rsid w:val="00FC7D9A"/>
    <w:rsid w:val="00FD1881"/>
    <w:rsid w:val="00FD3DC2"/>
    <w:rsid w:val="00FE59CE"/>
    <w:rsid w:val="00FF15AC"/>
    <w:rsid w:val="00FF2CF9"/>
    <w:rsid w:val="00FF45FE"/>
    <w:rsid w:val="00FF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0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7392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link w:val="a4"/>
    <w:uiPriority w:val="99"/>
    <w:qFormat/>
    <w:rsid w:val="00373929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A02261"/>
    <w:rPr>
      <w:rFonts w:ascii="Cambria" w:hAnsi="Cambria" w:cs="Times New Roman"/>
      <w:b/>
      <w:bCs/>
      <w:kern w:val="28"/>
      <w:sz w:val="32"/>
      <w:szCs w:val="32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373929"/>
    <w:pPr>
      <w:spacing w:after="120"/>
    </w:pPr>
  </w:style>
  <w:style w:type="paragraph" w:styleId="a5">
    <w:name w:val="Subtitle"/>
    <w:basedOn w:val="a3"/>
    <w:next w:val="Textbody"/>
    <w:link w:val="a6"/>
    <w:uiPriority w:val="99"/>
    <w:qFormat/>
    <w:rsid w:val="00373929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uiPriority w:val="99"/>
    <w:locked/>
    <w:rsid w:val="00A02261"/>
    <w:rPr>
      <w:rFonts w:ascii="Cambria" w:hAnsi="Cambria" w:cs="Times New Roman"/>
      <w:kern w:val="3"/>
      <w:sz w:val="24"/>
      <w:szCs w:val="24"/>
      <w:lang w:val="de-DE" w:eastAsia="ja-JP" w:bidi="fa-IR"/>
    </w:rPr>
  </w:style>
  <w:style w:type="paragraph" w:styleId="a7">
    <w:name w:val="List"/>
    <w:basedOn w:val="Textbody"/>
    <w:uiPriority w:val="99"/>
    <w:rsid w:val="00373929"/>
  </w:style>
  <w:style w:type="paragraph" w:customStyle="1" w:styleId="Caption1">
    <w:name w:val="Caption1"/>
    <w:basedOn w:val="Standard"/>
    <w:uiPriority w:val="99"/>
    <w:rsid w:val="0037392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73929"/>
    <w:pPr>
      <w:suppressLineNumbers/>
    </w:pPr>
  </w:style>
  <w:style w:type="paragraph" w:styleId="a8">
    <w:name w:val="List Paragraph"/>
    <w:basedOn w:val="Standard"/>
    <w:uiPriority w:val="99"/>
    <w:qFormat/>
    <w:rsid w:val="00373929"/>
    <w:pPr>
      <w:ind w:left="720"/>
    </w:pPr>
  </w:style>
  <w:style w:type="paragraph" w:customStyle="1" w:styleId="Footnote">
    <w:name w:val="Footnote"/>
    <w:basedOn w:val="Standard"/>
    <w:uiPriority w:val="99"/>
    <w:rsid w:val="00373929"/>
    <w:pPr>
      <w:suppressLineNumbers/>
      <w:ind w:left="283" w:hanging="283"/>
    </w:pPr>
    <w:rPr>
      <w:sz w:val="20"/>
      <w:szCs w:val="20"/>
    </w:rPr>
  </w:style>
  <w:style w:type="paragraph" w:styleId="a9">
    <w:name w:val="footnote text"/>
    <w:basedOn w:val="Standard"/>
    <w:link w:val="aa"/>
    <w:uiPriority w:val="99"/>
    <w:rsid w:val="0037392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A02261"/>
    <w:rPr>
      <w:rFonts w:cs="Times New Roman"/>
      <w:kern w:val="3"/>
      <w:sz w:val="20"/>
      <w:szCs w:val="20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373929"/>
    <w:pPr>
      <w:suppressLineNumbers/>
    </w:pPr>
  </w:style>
  <w:style w:type="paragraph" w:customStyle="1" w:styleId="TableHeading">
    <w:name w:val="Table Heading"/>
    <w:basedOn w:val="TableContents"/>
    <w:uiPriority w:val="99"/>
    <w:rsid w:val="00373929"/>
    <w:pPr>
      <w:jc w:val="center"/>
    </w:pPr>
    <w:rPr>
      <w:b/>
      <w:bCs/>
    </w:rPr>
  </w:style>
  <w:style w:type="paragraph" w:customStyle="1" w:styleId="Footer1">
    <w:name w:val="Footer1"/>
    <w:basedOn w:val="Standard"/>
    <w:uiPriority w:val="99"/>
    <w:rsid w:val="00373929"/>
    <w:pPr>
      <w:suppressLineNumbers/>
      <w:tabs>
        <w:tab w:val="center" w:pos="4677"/>
        <w:tab w:val="right" w:pos="9355"/>
      </w:tabs>
    </w:pPr>
  </w:style>
  <w:style w:type="paragraph" w:customStyle="1" w:styleId="Heading31">
    <w:name w:val="Heading 31"/>
    <w:basedOn w:val="a3"/>
    <w:next w:val="Textbody"/>
    <w:uiPriority w:val="99"/>
    <w:rsid w:val="00373929"/>
    <w:pPr>
      <w:outlineLvl w:val="2"/>
    </w:pPr>
    <w:rPr>
      <w:rFonts w:ascii="Times New Roman" w:eastAsia="MS PMincho" w:hAnsi="Times New Roman"/>
      <w:b/>
      <w:bCs/>
    </w:rPr>
  </w:style>
  <w:style w:type="character" w:customStyle="1" w:styleId="NumberingSymbols">
    <w:name w:val="Numbering Symbols"/>
    <w:uiPriority w:val="99"/>
    <w:rsid w:val="00373929"/>
  </w:style>
  <w:style w:type="character" w:customStyle="1" w:styleId="ListLabel1">
    <w:name w:val="ListLabel 1"/>
    <w:uiPriority w:val="99"/>
    <w:rsid w:val="00373929"/>
  </w:style>
  <w:style w:type="character" w:customStyle="1" w:styleId="BulletSymbols">
    <w:name w:val="Bullet Symbols"/>
    <w:uiPriority w:val="99"/>
    <w:rsid w:val="00373929"/>
    <w:rPr>
      <w:rFonts w:ascii="OpenSymbol" w:hAnsi="OpenSymbol"/>
    </w:rPr>
  </w:style>
  <w:style w:type="character" w:customStyle="1" w:styleId="FootnoteSymbol">
    <w:name w:val="Footnote Symbol"/>
    <w:uiPriority w:val="99"/>
    <w:rsid w:val="00373929"/>
  </w:style>
  <w:style w:type="character" w:customStyle="1" w:styleId="Footnoteanchor">
    <w:name w:val="Footnote anchor"/>
    <w:uiPriority w:val="99"/>
    <w:rsid w:val="00373929"/>
    <w:rPr>
      <w:position w:val="0"/>
      <w:vertAlign w:val="superscript"/>
    </w:rPr>
  </w:style>
  <w:style w:type="character" w:customStyle="1" w:styleId="Internetlink">
    <w:name w:val="Internet link"/>
    <w:uiPriority w:val="99"/>
    <w:rsid w:val="00373929"/>
    <w:rPr>
      <w:color w:val="000080"/>
      <w:u w:val="single"/>
    </w:rPr>
  </w:style>
  <w:style w:type="character" w:styleId="ab">
    <w:name w:val="footnote reference"/>
    <w:basedOn w:val="a0"/>
    <w:uiPriority w:val="99"/>
    <w:rsid w:val="00373929"/>
    <w:rPr>
      <w:rFonts w:cs="Times New Roman"/>
      <w:position w:val="0"/>
      <w:vertAlign w:val="superscript"/>
    </w:rPr>
  </w:style>
  <w:style w:type="character" w:customStyle="1" w:styleId="VisitedInternetLink">
    <w:name w:val="Visited Internet Link"/>
    <w:uiPriority w:val="99"/>
    <w:rsid w:val="00373929"/>
    <w:rPr>
      <w:color w:val="800000"/>
      <w:u w:val="single"/>
    </w:rPr>
  </w:style>
  <w:style w:type="table" w:styleId="ac">
    <w:name w:val="Table Grid"/>
    <w:basedOn w:val="a1"/>
    <w:uiPriority w:val="99"/>
    <w:rsid w:val="00495B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0B7F97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6961"/>
    <w:rPr>
      <w:kern w:val="3"/>
      <w:sz w:val="0"/>
      <w:szCs w:val="0"/>
      <w:lang w:val="de-DE" w:eastAsia="ja-JP" w:bidi="fa-IR"/>
    </w:rPr>
  </w:style>
  <w:style w:type="numbering" w:customStyle="1" w:styleId="WWNum4">
    <w:name w:val="WWNum4"/>
    <w:rsid w:val="00ED6961"/>
    <w:pPr>
      <w:numPr>
        <w:numId w:val="1"/>
      </w:numPr>
    </w:pPr>
  </w:style>
  <w:style w:type="numbering" w:customStyle="1" w:styleId="WWNum2">
    <w:name w:val="WWNum2"/>
    <w:rsid w:val="00ED6961"/>
    <w:pPr>
      <w:numPr>
        <w:numId w:val="2"/>
      </w:numPr>
    </w:pPr>
  </w:style>
  <w:style w:type="numbering" w:customStyle="1" w:styleId="WWNum1">
    <w:name w:val="WWNum1"/>
    <w:rsid w:val="00ED6961"/>
    <w:pPr>
      <w:numPr>
        <w:numId w:val="3"/>
      </w:numPr>
    </w:pPr>
  </w:style>
  <w:style w:type="character" w:styleId="af">
    <w:name w:val="Hyperlink"/>
    <w:basedOn w:val="a0"/>
    <w:uiPriority w:val="99"/>
    <w:semiHidden/>
    <w:unhideWhenUsed/>
    <w:rsid w:val="003F322F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3838D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38D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38DA"/>
    <w:rPr>
      <w:kern w:val="3"/>
      <w:sz w:val="20"/>
      <w:szCs w:val="20"/>
      <w:lang w:val="de-DE" w:eastAsia="ja-JP" w:bidi="fa-IR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38D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38DA"/>
    <w:rPr>
      <w:b/>
      <w:bCs/>
      <w:kern w:val="3"/>
      <w:sz w:val="20"/>
      <w:szCs w:val="20"/>
      <w:lang w:val="de-DE" w:eastAsia="ja-JP" w:bidi="fa-IR"/>
    </w:rPr>
  </w:style>
  <w:style w:type="paragraph" w:styleId="af5">
    <w:name w:val="header"/>
    <w:basedOn w:val="a"/>
    <w:link w:val="af6"/>
    <w:uiPriority w:val="99"/>
    <w:semiHidden/>
    <w:unhideWhenUsed/>
    <w:rsid w:val="00B11B0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11B0E"/>
    <w:rPr>
      <w:kern w:val="3"/>
      <w:sz w:val="24"/>
      <w:szCs w:val="24"/>
      <w:lang w:val="de-DE" w:eastAsia="ja-JP" w:bidi="fa-IR"/>
    </w:rPr>
  </w:style>
  <w:style w:type="paragraph" w:styleId="af7">
    <w:name w:val="footer"/>
    <w:basedOn w:val="a"/>
    <w:link w:val="af8"/>
    <w:uiPriority w:val="99"/>
    <w:unhideWhenUsed/>
    <w:rsid w:val="00B11B0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11B0E"/>
    <w:rPr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andard">
    <w:name w:val="WWNum4"/>
    <w:pPr>
      <w:numPr>
        <w:numId w:val="1"/>
      </w:numPr>
    </w:pPr>
  </w:style>
  <w:style w:type="numbering" w:customStyle="1" w:styleId="Title">
    <w:name w:val="WWNum2"/>
    <w:pPr>
      <w:numPr>
        <w:numId w:val="2"/>
      </w:numPr>
    </w:pPr>
  </w:style>
  <w:style w:type="numbering" w:customStyle="1" w:styleId="TitleChar">
    <w:name w:val="WWNum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y.org.ru/antikorruptcionnaia-ekspertiza/dengi-dlia-nko-vydali-s-konfliktom-interesov" TargetMode="External"/><Relationship Id="rId13" Type="http://schemas.openxmlformats.org/officeDocument/2006/relationships/hyperlink" Target="http://babushka-on-line.ru/o-programme.html" TargetMode="External"/><Relationship Id="rId3" Type="http://schemas.openxmlformats.org/officeDocument/2006/relationships/hyperlink" Target="http://www.lse.ac.uk/collections/CCS/publications/cswp/civil_society_wp.htm" TargetMode="External"/><Relationship Id="rId7" Type="http://schemas.openxmlformats.org/officeDocument/2006/relationships/hyperlink" Target="http://www.economy.gov.ru/minec/activity/sections/socorientnoncomorg/doc20111201_01" TargetMode="External"/><Relationship Id="rId12" Type="http://schemas.openxmlformats.org/officeDocument/2006/relationships/hyperlink" Target="http://strategy2020.rian.ru/g16_docs/20111201/366213790.html" TargetMode="External"/><Relationship Id="rId2" Type="http://schemas.openxmlformats.org/officeDocument/2006/relationships/hyperlink" Target="http://docs.cntd.ru/document/822402031" TargetMode="External"/><Relationship Id="rId1" Type="http://schemas.openxmlformats.org/officeDocument/2006/relationships/hyperlink" Target="http://gov.spb.ru/gov/otrasl/trud/organizacii-tretego-sektora/reestr-socialno-orientirovannyh-nekommercheskih-organizaciyah-poluchat/" TargetMode="External"/><Relationship Id="rId6" Type="http://schemas.openxmlformats.org/officeDocument/2006/relationships/hyperlink" Target="http://www.crno.ru/assets/files/2011-12-06_St-Petersburg_NKO_collection_A4.pdf" TargetMode="External"/><Relationship Id="rId11" Type="http://schemas.openxmlformats.org/officeDocument/2006/relationships/hyperlink" Target="http://www.crno.ru/assets/files/2011-12-06_St-Petersburg_NKO_collection_A4.pdf" TargetMode="External"/><Relationship Id="rId5" Type="http://schemas.openxmlformats.org/officeDocument/2006/relationships/hyperlink" Target="http://www.globalpolicy.org/ngos/int/eu/2002/05civsoc.htm" TargetMode="External"/><Relationship Id="rId15" Type="http://schemas.openxmlformats.org/officeDocument/2006/relationships/hyperlink" Target="http://www.levada.ru/13-08-2007/la-sedov-gosudarstvennyi-paternalizm-i-predstavlenie-o-politicheskoi-svobode-v-rossii" TargetMode="External"/><Relationship Id="rId10" Type="http://schemas.openxmlformats.org/officeDocument/2006/relationships/hyperlink" Target="http://www.economy.gov.ru/minec/about/structure/depstrategy/doc20110727_08" TargetMode="External"/><Relationship Id="rId4" Type="http://schemas.openxmlformats.org/officeDocument/2006/relationships/hyperlink" Target="http://law-ngo.ru/law/social_nko/" TargetMode="External"/><Relationship Id="rId9" Type="http://schemas.openxmlformats.org/officeDocument/2006/relationships/hyperlink" Target="http://gov.spb.ru/gov/otrasl/trud/news/39652/" TargetMode="External"/><Relationship Id="rId14" Type="http://schemas.openxmlformats.org/officeDocument/2006/relationships/hyperlink" Target="http://www.soc-sp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75D26-6636-423B-9C8C-BAA00D0A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6378</Words>
  <Characters>36358</Characters>
  <Application>Microsoft Office Word</Application>
  <DocSecurity>8</DocSecurity>
  <Lines>302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Спонсировать нельзя поддерживать:</vt:lpstr>
      <vt:lpstr>Спонсировать нельзя поддерживать:</vt:lpstr>
    </vt:vector>
  </TitlesOfParts>
  <Company>Microsoft</Company>
  <LinksUpToDate>false</LinksUpToDate>
  <CharactersWithSpaces>42651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Спонсировать нельзя поддерживать:</dc:title>
  <dc:subject/>
  <dc:creator>Admin</dc:creator>
  <cp:keywords/>
  <dc:description/>
  <cp:lastModifiedBy>Admin</cp:lastModifiedBy>
  <cp:revision>30</cp:revision>
  <dcterms:created xsi:type="dcterms:W3CDTF">2013-10-22T16:56:00Z</dcterms:created>
  <dcterms:modified xsi:type="dcterms:W3CDTF">2013-10-24T19:38:00Z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