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032553"/>
          <w:sz w:val="56"/>
          <w:szCs w:val="60"/>
          <w:lang w:val="en-US"/>
        </w:rPr>
      </w:pPr>
      <w:r w:rsidRPr="003B5B55">
        <w:rPr>
          <w:rFonts w:ascii="Georgia Bold Italic" w:hAnsi="Georgia Bold Italic" w:cs="Georgia Bold Italic"/>
          <w:color w:val="032553"/>
          <w:sz w:val="56"/>
          <w:szCs w:val="60"/>
          <w:lang w:val="en-US"/>
        </w:rPr>
        <w:t>Рыцарь российского реализма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BE0004"/>
          <w:sz w:val="18"/>
          <w:szCs w:val="20"/>
          <w:lang w:val="en-US"/>
        </w:rPr>
      </w:pP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BE0004"/>
          <w:sz w:val="18"/>
          <w:szCs w:val="20"/>
          <w:lang w:val="en-US"/>
        </w:rPr>
      </w:pPr>
      <w:r w:rsidRPr="003B5B55">
        <w:rPr>
          <w:rFonts w:ascii="Georgia Bold Italic" w:hAnsi="Georgia Bold Italic" w:cs="Georgia Bold Italic"/>
          <w:color w:val="BE0004"/>
          <w:sz w:val="18"/>
          <w:szCs w:val="20"/>
          <w:lang w:val="en-US"/>
        </w:rPr>
        <w:t>29 ноября 2016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BE0004"/>
          <w:sz w:val="22"/>
          <w:lang w:val="en-US"/>
        </w:rPr>
      </w:pPr>
      <w:hyperlink r:id="rId5" w:history="1">
        <w:r w:rsidRPr="003B5B55">
          <w:rPr>
            <w:rFonts w:ascii="Georgia Bold Italic" w:hAnsi="Georgia Bold Italic" w:cs="Georgia Bold Italic"/>
            <w:color w:val="BE0004"/>
            <w:sz w:val="22"/>
            <w:lang w:val="en-US"/>
          </w:rPr>
          <w:t>Дмитрий Новиков</w:t>
        </w:r>
      </w:hyperlink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i/>
          <w:iCs/>
          <w:color w:val="032553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b/>
          <w:bCs/>
          <w:i/>
          <w:iCs/>
          <w:color w:val="032553"/>
          <w:sz w:val="28"/>
          <w:szCs w:val="32"/>
          <w:lang w:val="en-US"/>
        </w:rPr>
        <w:t>Дмитрий Новиков</w:t>
      </w:r>
      <w:r w:rsidRPr="003B5B55">
        <w:rPr>
          <w:rFonts w:ascii="Georgia Bold Italic" w:hAnsi="Georgia Bold Italic" w:cs="Georgia Bold Italic"/>
          <w:i/>
          <w:iCs/>
          <w:color w:val="032553"/>
          <w:sz w:val="28"/>
          <w:szCs w:val="32"/>
          <w:lang w:val="en-US"/>
        </w:rPr>
        <w:t xml:space="preserve"> - научный сотрудник Центра комплексных европейских и международных исследований Национального исследовательского университета «Высшая школа экономики» (ЦКЕМИ НИУ ВШЭ), Россия.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i/>
          <w:iCs/>
          <w:color w:val="032553"/>
          <w:sz w:val="28"/>
          <w:szCs w:val="32"/>
          <w:lang w:val="en-US"/>
        </w:rPr>
      </w:pP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i/>
          <w:iCs/>
          <w:color w:val="032553"/>
          <w:sz w:val="28"/>
          <w:szCs w:val="32"/>
          <w:lang w:val="en-US"/>
        </w:rPr>
      </w:pP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032553"/>
          <w:sz w:val="28"/>
          <w:szCs w:val="32"/>
          <w:lang w:val="en-US"/>
        </w:rPr>
      </w:pPr>
      <w:r w:rsidRPr="003B5B55">
        <w:rPr>
          <w:rFonts w:ascii="Georgia Bold Italic" w:hAnsi="Georgia Bold Italic" w:cs="Georgia Bold Italic"/>
          <w:color w:val="BE0004"/>
          <w:sz w:val="28"/>
          <w:szCs w:val="32"/>
          <w:lang w:val="en-US"/>
        </w:rPr>
        <w:t>Резюме:</w:t>
      </w:r>
      <w:r w:rsidRPr="003B5B55">
        <w:rPr>
          <w:rFonts w:ascii="Georgia Bold Italic" w:hAnsi="Georgia Bold Italic" w:cs="Georgia Bold Italic"/>
          <w:color w:val="032553"/>
          <w:sz w:val="28"/>
          <w:szCs w:val="32"/>
          <w:lang w:val="en-US"/>
        </w:rPr>
        <w:t xml:space="preserve"> История знает не так много людей, чей моральный и политический авторитет не иссяк после ухода с высших государственных должностей. </w:t>
      </w:r>
      <w:proofErr w:type="gramStart"/>
      <w:r w:rsidRPr="003B5B55">
        <w:rPr>
          <w:rFonts w:ascii="Georgia Bold Italic" w:hAnsi="Georgia Bold Italic" w:cs="Georgia Bold Italic"/>
          <w:color w:val="032553"/>
          <w:sz w:val="28"/>
          <w:szCs w:val="32"/>
          <w:lang w:val="en-US"/>
        </w:rPr>
        <w:t>Еще меньше – тех, к кому продолжали чутко прислушиваться сильные мира сего.</w:t>
      </w:r>
      <w:proofErr w:type="gramEnd"/>
      <w:r w:rsidRPr="003B5B55">
        <w:rPr>
          <w:rFonts w:ascii="Georgia Bold Italic" w:hAnsi="Georgia Bold Italic" w:cs="Georgia Bold Italic"/>
          <w:color w:val="032553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032553"/>
          <w:sz w:val="28"/>
          <w:szCs w:val="32"/>
          <w:lang w:val="en-US"/>
        </w:rPr>
        <w:t>Евгений Максимович Примаков, безусловно, из той же когорты.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32"/>
          <w:szCs w:val="36"/>
          <w:lang w:val="en-US"/>
        </w:rPr>
      </w:pPr>
      <w:r w:rsidRPr="003B5B55">
        <w:rPr>
          <w:rFonts w:ascii="Arial" w:hAnsi="Arial" w:cs="Arial"/>
          <w:b/>
          <w:bCs/>
          <w:color w:val="FFFFFF"/>
          <w:sz w:val="32"/>
          <w:szCs w:val="36"/>
          <w:lang w:val="en-US"/>
        </w:rPr>
        <w:t>Давайте дружить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032553"/>
          <w:sz w:val="22"/>
          <w:lang w:val="en-US"/>
        </w:rPr>
      </w:pPr>
      <w:r w:rsidRPr="003B5B55">
        <w:rPr>
          <w:rFonts w:ascii="Georgia Bold Italic" w:hAnsi="Georgia Bold Italic" w:cs="Georgia Bold Italic"/>
          <w:color w:val="BE0004"/>
          <w:sz w:val="22"/>
          <w:lang w:val="en-US"/>
        </w:rPr>
        <w:t xml:space="preserve">Ключевые слова: </w:t>
      </w:r>
      <w:hyperlink r:id="rId6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власть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7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международные отношения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8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дипломатия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9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внешняя политика России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0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Министерство иностранных дел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1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Национальные интересы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2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холодная война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3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Ближний Восток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4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бывший СССР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5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идеология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6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США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7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Россия</w:t>
        </w:r>
      </w:hyperlink>
      <w:r w:rsidRPr="003B5B55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8" w:history="1">
        <w:r w:rsidRPr="003B5B55">
          <w:rPr>
            <w:rFonts w:ascii="Georgia Bold Italic" w:hAnsi="Georgia Bold Italic" w:cs="Georgia Bold Italic"/>
            <w:color w:val="032553"/>
            <w:sz w:val="22"/>
            <w:lang w:val="en-US"/>
          </w:rPr>
          <w:t>ЕС</w:t>
        </w:r>
      </w:hyperlink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032553"/>
          <w:sz w:val="22"/>
          <w:lang w:val="en-US"/>
        </w:rPr>
      </w:pP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История знает не так много людей, чей моральный и политический авторитет не иссяк после ухода с высших государственных должностей.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Еще меньше – тех, к кому продолжали чутко прислушиваться сильные мира сего.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Из современных политических мыслителей к таким фигурам относятся бывший государственный секретарь США Генри Киссинджер, раньше в этой роли выступали отец китайского экономического чуда Дэн Сяопин и основатель Сингапура Ли Куан Ю. </w:t>
      </w:r>
      <w:hyperlink r:id="rId19" w:history="1">
        <w:r w:rsidRPr="003B5B55">
          <w:rPr>
            <w:rFonts w:ascii="Georgia Bold Italic" w:hAnsi="Georgia Bold Italic" w:cs="Georgia Bold Italic"/>
            <w:color w:val="BE0004"/>
            <w:sz w:val="28"/>
            <w:szCs w:val="32"/>
            <w:lang w:val="en-US"/>
          </w:rPr>
          <w:t>Евгений Максимович Примаков,</w:t>
        </w:r>
      </w:hyperlink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безусловно, из той же когорты.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Сегодня о Примакове говорят прежде всего, как о выдающемся государственном и общественном деятеле – премьере, министре, политике.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Однако масштаб и разносторонность привели к парадоксу: Примаков-государственный деятель практически затмил Примакова-международника.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Между тем, эти две ипостаси неразделимы.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Отдавая почести примаковской дипломатии, заложившей основы внешней политики современной России, необходимо анализировать истоки и эволюцию сформированного Примаковым интеллектуального капитала, на котором она строилась.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Тем более, что академическая карьера Евгения </w:t>
      </w:r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lastRenderedPageBreak/>
        <w:t>Максимовича служит уникальной полувековой летописью формирования современной стратегической мысли нашей страны.</w:t>
      </w:r>
      <w:proofErr w:type="gramEnd"/>
      <w:r w:rsidRPr="003B5B55">
        <w:rPr>
          <w:rFonts w:ascii="Georgia Bold Italic" w:hAnsi="Georgia Bold Italic" w:cs="Georgia Bold Italic"/>
          <w:i/>
          <w:iCs/>
          <w:color w:val="262626"/>
          <w:sz w:val="28"/>
          <w:szCs w:val="32"/>
          <w:lang w:val="en-US"/>
        </w:rPr>
        <w:t xml:space="preserve"> 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262626"/>
          <w:sz w:val="28"/>
          <w:szCs w:val="32"/>
          <w:lang w:val="en-US"/>
        </w:rPr>
      </w:pP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u w:val="single"/>
          <w:lang w:val="en-US"/>
        </w:rPr>
      </w:pPr>
      <w:r w:rsidRPr="003B5B55">
        <w:rPr>
          <w:rFonts w:ascii="Georgia Bold Italic" w:hAnsi="Georgia Bold Italic" w:cs="Georgia Bold Italic"/>
          <w:b/>
          <w:bCs/>
          <w:color w:val="262626"/>
          <w:sz w:val="28"/>
          <w:szCs w:val="32"/>
          <w:u w:val="single"/>
          <w:lang w:val="en-US"/>
        </w:rPr>
        <w:t>У истоков советского реализма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Ретроспективно систему взглядов на международные дела Примакова обычно характеризуют как реалистскую, за ним самим закрепилась репутация стойкого прагматика, отстаивающего примат национальных интересов на мировой арене.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Устойчивое восприятие Примакова как крупнейшего представителя реалистской традиции в советско-российском академическом и политическом истеблишменте во многом основывается на его деятельности в качестве руководителя разведки, а впоследствии – министра иностранных дел и премьер-министра.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Пребывание Примакова на Смоленской площади и в особенности – символический «разворот над Атлантикой» в марте 1999 г. (уже в качестве главы правительства) наметили глубокий психологический разворот постсоветской России от политики ценностей к политике интересов, а ему самому создали репутацию «русского Киссинджера».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Парадоксально, однако, что о концептуальных основах «примаковского реализма», которые сформировались гораздо раньше – в 1970-е гг.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(в специфических условиях формального господства марксистко-ленинской идеологии и научного коммунизма) до сих пор написано мало.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Это рождает поверхностное, а иногда и искаженное понимание феномена Примакова-международника и сформировавшейся при его участии советско-российской школы международных исследований.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А ведь на ее интеллектуальном наследии базируется стратегическое мышление современной России.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Отчасти из-за активного вовлечения Примакова в политическую бурю девяностых его внешнеполитическая философия подверглась сильной мифологизации.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Критики, особенно на Западе, нередко сводят ее к некоему утонченному антиамериканизму (если не реваншизму), удовлетворяющему спрос психологически неготовой к принятию «однополярного мира» части российских академических и политических элит.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такая трактовка не соответствует истине.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Сам Примаков неоднократно отмечал, что «Россия далека от того, чтобы утверждать свое значение в мировых делах через конфронтацию с кем бы то ни было», всегда подчеркивал значение открытого, честного разговора как в международной, так и во внутренней политике.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Втягивание в «драку ради драки», без четкого определения стратегических целей Евгений Максимович полагал наихудшим проявлением политической близорукости.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Прагматизм в оценках российских возможностей и интересов, направленность на их утверждение через диалог вызывали уважение и личную симпатию у западных партнеров.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hyperlink r:id="rId20" w:history="1">
        <w:proofErr w:type="gramStart"/>
        <w:r w:rsidRPr="003B5B55">
          <w:rPr>
            <w:rFonts w:ascii="Georgia Bold Italic" w:hAnsi="Georgia Bold Italic" w:cs="Georgia Bold Italic"/>
            <w:color w:val="BE0004"/>
            <w:sz w:val="28"/>
            <w:szCs w:val="32"/>
            <w:lang w:val="en-US"/>
          </w:rPr>
          <w:t>Мадлен Олбрайт</w:t>
        </w:r>
      </w:hyperlink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называла Примакова «непоколебимым защитником национальных интересов своей страны и прагматичным дипломатом», который в то же время «видел новые возможности партнерства для России и Запада после окончания холодной войны».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hyperlink r:id="rId21" w:history="1">
        <w:proofErr w:type="gramStart"/>
        <w:r w:rsidRPr="003B5B55">
          <w:rPr>
            <w:rFonts w:ascii="Georgia Bold Italic" w:hAnsi="Georgia Bold Italic" w:cs="Georgia Bold Italic"/>
            <w:color w:val="BE0004"/>
            <w:sz w:val="28"/>
            <w:szCs w:val="32"/>
            <w:lang w:val="en-US"/>
          </w:rPr>
          <w:t>Генри Киссинджер</w:t>
        </w:r>
      </w:hyperlink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не скупился на высокие оценки, называя Примакова «настоящим патриотом России, который отстаивал интересы своей страны с отвагой, энергией и мудростью, при этом, он проявлял изобретательность в том, чтобы попытаться улучшить отношения с другими государствами, в том числе, что самое главное, с Соединенными Штатами».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Трудно найти большее признание, чем высокая оценка от политических визави, с которыми Евгения Максимовича, несмотря на противоречия, связывали теплые дружеские отношения.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Безосновательны более характерные для российского дискурса попытки представить Примакова и некоторых других «старых» международников, составлявших костяк советской, а затем и новой российской внешнеполитической экспертизы, в качестве государственников марксисткой закваски, адаптировавших узкое (по нынешним меркам) мировоззрение и методологию советской академической науки к новым реалиям.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Критика Примакова как представителя старой номенклатуры (с неизбежным упоминанием ее отрицательных качеств, особенно – косности и ориентированности на прошлое), никогда не была состоятельной ни в политической – когда начало успешного и во многом спасительного для России премьерства преподносилось едва ли не как коммунистическая реставрация, – ни в академической плоскости.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Наоборот, стремление к дедогматизации науки прошло через всю академическую карьеру Примакова.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«Мы прошли в аспирантуре МГУ хорошую марксистскую школу, – отмечал он в своих воспоминаниях.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– Позже многие из нас (и я в том числе), не порывая с марксизмом, стали отходить от представлений о нем как о единственной науке, чуть ли не религии».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 этом Примаков никогда не стремился отгородиться от советской академической школы и «порвать» с традицией, в рамках которой работал многие десятилетия.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«Мы были хорошо теоретически подкованы и имели все основания считать, что нельзя “с водой выплескивать ребенка”.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Конечно, марксистские постулаты не могут применяться вне времени и пространства, но этот вывод ни в коей мере не относится к марксистской методологии, которая имеет историческую ценность».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Легкий марксистский флер, особенно при описании Ближнего Востока, всегда оставался частью ироничного примаковского стиля, который мало изменился с начала 1970-х годов.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В одной из последних книг «Конфиденциально: Ближний Восток» он запросто называл Насера и других лидеров ближневосточной деколонизации «мелкобуржуазными революционерами» (и это в 2012 г., когда советская академическая традиция, казалось, уже окончательно изжила себя) и скрупулезно углублялся в диалектику знакомых и важных для советских экспертов (но зачастую малопонятных для нынешнего поколения) понятий «арабского» и «исламского социализма».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тут же, анализируя истоки социально-политических трансформаций в регионе, Примаков резко переворачивает традиционные для советской школы схемы, указывая, что «сам процесс создания государственного сектора начинался как мера, направленная против иностранного влияния, попыток внешних сил сохранить в новой форме свой контроль над освободившимися от колониальной зависимости государствами».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Экономический базис и политическая надстройка – в данном случае международная система, – таким образом, меняются в рамках примаковского анализа местами, и это одна из важнейших черт становления советских реалистов: международный контекст для них постепенно вытеснил экономический детерминизм и ленинский тезис о том, что «внешняя политика является продолжением внутренней»; внешние импульсы стали рассматриваться ими как столь же, а быть может и в большей степени важные для поведения акторов.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Эта трансформация международной науки была общим местом для обеих сверхдержав.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Созданная усилиями Эварда Карра, Ганса Моргентау, Кеннета Томпсона школа классического реализма (позже эволюционировавшая в более утонченную структурную теорию), была направлена прямо против господствовавшего в западной международной науке в межвоенный период идеалистического подхода и, не в меньшей степени, американского мессианизма, способствуя объективизации американской внешней политики.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 в СССР, и в США известная деидеализация международной науки являлась фактором почти экзистенциального значения для стабилизации послевоенного мира.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Советском Союзе этот процесс, направлявшийся как экстремальными обстоятельствами холодной войны, так и проникавшим в советскую экспертизу интеллектуальным влиянием американских стратегических концепций, был более закрыт и шел непросто.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Советская наука о международных отношениях рождалась в условиях сильнейшего идеологического прессинга, в почти схоластических дебатах вокруг различных интерпретаций марксистко-ленинских установок.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этом отношении одной из главных заслуг Евгения Максимовича, его учителей, учеников и коллег является создание аналитически состоятельной экспертизы.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 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Для Примакова борьба с характерным для советской международной науки догматизмом стала одним из главных факторов его становления как ученого-международника.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Начав как востоковед-экономист (кандидатская диссертация посвящена деятельности иностранных нефтяных компаний на Аравийском полуострове, защищена в 1960 г.), Евгений Максимович сместил фокус своих интересов в международную политику, сочтя чисто экономическую интерпретацию малодостаточной для объяснения международных процессов на Ближнем Востоке.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Этому видимо способствовала его «полевая работа» в качестве собственного корреспондента «Правды» на Ближнем Востоке, в ходе которой он получил возможность постоянно жить в Каире и много путешествовать, встречаться и знакомиться с мнениями ключевых действующих лиц проходящих в регионе процессов.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В защищенной в 1969 г. (во многом – по итогам его многолетнего пребывания в центре событий) докторской диссертации (на тему «Социальное и экономическое развитие Египта») Примаков попытался расширить задаваемые научным коммунизмом границы анализа процессов на Ближнем Востоке, опираясь на глубокую переоценку основ внутри- и внешнеполитического поведения насеровского режима в Египте (что затрагивало, по сути, и природу других, схожих, постколониальных режимов в арабских странах).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То, что теоретики пятидесятых определяли как арабский социализм Примаков предлагал «рассматривать, как категорию арабского национализма», опираясь на тезис о том, что Египет, Сирия и некоторые другие арабские государства «находятся в фазе предсоциалистичесокго развития».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За кажущейся догматической софистикой скрывался большой концептуальный смысл, позволивший существенно расширить границы политического анализа.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поздних воспоминаниях Примаков скромно уточнял, что не «принадлежал к авторам этой теории, хотя никогда не отвергал ее».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он сыграл большую роль в продвижении этого тезиса как исходного пункта для анализа международных ситуаций на Ближнем Востоке и не только.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Такой подход позволил расширить методологические границы прогнозирования поведения стран, фактически переходя к реалистскому представлению о балансировании государств между двумя военно-политическими блоками, в частности о «проводимой в условиях холодной войны Каиром политикой балансирования между “свободным миром” и “социалистическим лагерем” с целью сохранить свою независимость».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прошлое фактически ушло и распространенное в советской экспертно-политической среде еще в 1950-е гг.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мнение о неизбежном (или, по крайней мере, возможном) антагонизме ведущих капиталистических стран в борьбе за рынки сбыта и капитала на Ближнем Востоке – за влияние на новые независимые страны.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Структурный характер конфронтации холодной войны заставлял советских международников описывать биполярное противостояние в категориях, близких к структурному реализму.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«При всех разногласиях, – писал Примаков после заключения Кэмп-Дэвидского соглашения, – общая политическая линия США, Великобритании и Франции в отношении арабского мира образовывалась на базе стремления втянуть суверенные арабские страны в военные блоки, руководимые Западом.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Это стремление подогревалось опасением, что ряд независимых арабских стран примкнет к советскому лагерю».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 этом, критикуя американскую политику 1980-х гг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.,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которая «в еще большей, чем прежде, степени, стала базироваться на стремлении к “универсализации” борьбы против Советского Союза путем распространения с глобального на региональный уровень», Примаков деликатно призывал и к переосмыслению советской внешней политики, напрямую обращаясь к реалистской аргументации. «Политика может давать стабильный результат только лишь в том случае, если она строится на реальностях: на правильном понимании соотношения сил, его динамики, объективных потребностей и объективных интересов различных обществ», – писал Примаков в 1985 г., в канун начала радикальных перемен, повлекших и неизбежную к тому времени перестройку внешней политики СССР.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Разумеется, отнюдь не только США в период биполярного противостояния «грешили» идеологизацией подходов к глобальным и региональным международным проблемам, и прежде всего – отношениям со своим спарринг-партнером.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Объективное, без идеологических шор восприятие политической реальности, которые отрабатывали Примаков его коллеги по ИМЭМО и другим институтам, позволили развить метод ситуационного анализа, который стал одним из наиболее эффективных инструментов анализа международных вызовов.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Примаков, сочетавший в себе глубокий интеллект, эрудицию и непревзойденное обаяние, стал подлинным мастером ведения «ситанов», на которых практически не было ни запретных тем, ни – особенно во второй половине восьмидесятых – существенных методологических и концептуальных ограничений.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«Мы спрогнозировали бомбардировки американской авиацией Камбоджи во время вьетнамской войны, – отмечал Примаков в своих воспоминаниях, 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–  за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четыре месяца до их начала; после смерти Насера – поворот Садата в сторону Запада и отход от тесных отношений с СССР; наконец, после победы исламской революции в Иране – неизбежность войны между этой страной и Ираком, она началась через десять месяцев после проведения ситуационного анализа».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За это «ноу-хау» советской экспертизы Примаков был награждены Государственной премией СССР (1980).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Во многом благодаря советской международной экспертизе – в которой Примаков уже тогда играл одну из центральных ролей, в 1970-е – начале 1980-х гг.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внешняя политика страны оказалась более деидеализированной и нацеленной на защиту объективных жизненных интересов.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Тем парадоксальнее, что с конца восьмидесятых, когда окончательно пали идеологические рамки, лидеры Перестройки, а затем и новая российская элита оказались в плену новой мифологии.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Она была связана уже с полностью перевернутым по сравнению с мировоззрением холодной войны представлением о мире, в котором России следует стать частью цивилизационного, а затем и стратегического Запада на правах младшего партнера.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 смену неоправданным амбициям пришли неоправданные уступки.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этот период великой трансформации нашей страны Примакову, уже государственному деятелю, по сути вновь пришлось взяться за то, что он делал в течение почти всей своей академической карьеры – бороться за прагматичную внешнюю политику, ее смещение из области иллюзий в сферу объективного.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Однако концепция нового внешнеполитического курса, который Примаков предложил во второй половине 1990-х гг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.,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оказалась гораздо сложнее сухого реализма, ставшего визитной карточкой примаковских «ситанов».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 это напоминает нам о гораздо большей сложности и комплексности политической философии Примакова, характеризующей его как выдающегося мыслителя-международника.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262626"/>
          <w:sz w:val="28"/>
          <w:szCs w:val="32"/>
          <w:lang w:val="en-US"/>
        </w:rPr>
      </w:pP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u w:val="single"/>
          <w:lang w:val="en-US"/>
        </w:rPr>
      </w:pPr>
      <w:r w:rsidRPr="003B5B55">
        <w:rPr>
          <w:rFonts w:ascii="Georgia Bold Italic" w:hAnsi="Georgia Bold Italic" w:cs="Georgia Bold Italic"/>
          <w:b/>
          <w:bCs/>
          <w:color w:val="262626"/>
          <w:sz w:val="28"/>
          <w:szCs w:val="32"/>
          <w:u w:val="single"/>
          <w:lang w:val="en-US"/>
        </w:rPr>
        <w:t>Идеалист-прагматик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Несмотря на внешнюю схожесть, «примаковский реализм» не был в полной мере тождественен ни классическому реализму, ни его более поздним версиям.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Деидеализация советской, а затем и российской внешней политики – черта, которая роднила советских реалистов и их западных коллег, в представлении Примакова никогда не служила приглашением в статичный, недружелюбный мир Фукидида и Моргентау.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Объективизация внешнеполитического анализа не означала для него деморализации внешней политики.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«Принижение общечеловеческих ценностей, даже их игнорирование – это мы уже проходили, когда утверждали, что над всем превалирует классовый подход», – отмечал Евгений Максимович в одной из последних своих книг «Мысли вслух».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этом стремлении соблюсти баланс национальных интересов и ценностей он больше походил на другого выдающегося представителя американского реализма – Генри Киссинджера.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Основатель классического реализма Ганс Моргентау как-то назвал Киссинджера «многогранным как Одиссей», отмечая его невероятную комплексность и кажущуюся противоречивость его политической философии – эту же характеристику можно отнести и к Примакову.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Напрашивающееся сравнение Примакова с патриархом американской </w:t>
      </w:r>
      <w:r w:rsidRPr="003B5B55">
        <w:rPr>
          <w:rFonts w:ascii="Georgia Bold Italic" w:hAnsi="Georgia Bold Italic" w:cs="Georgia Bold Italic"/>
          <w:i/>
          <w:iCs/>
          <w:color w:val="262626"/>
          <w:sz w:val="28"/>
          <w:szCs w:val="32"/>
          <w:lang w:val="en-US"/>
        </w:rPr>
        <w:t>Realpolitik</w:t>
      </w:r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тем более неслучайно, что эти два выдающихся международника-практика во многом сыграли схожие исторические роли.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 Примаков, и Киссинджер в известной степени выполнили функции кризис-менеджеров внешних политик своих государств в тот период, когда они особенно в этом нуждались.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«Киссинджерианство» как теория и практика американской дипломатии в 70-е гг.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сыграло значимую роль в преодолении структурного кризиса, который американская сверхдержава переживала в тот период: выведя США из вьетнамского тупика и сформировав новую стратегическую связку с Пекином – на фоне «разрядки» с Советским Союзом.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Примаков и его соратники выполнили схожую роль в период великой трансформации нашей страны, сопровождаемой системным кризисом, в том числе и внешней политики.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В известной степени это сходство подтверждает формулу </w:t>
      </w:r>
      <w:hyperlink r:id="rId22" w:history="1">
        <w:r w:rsidRPr="003B5B55">
          <w:rPr>
            <w:rFonts w:ascii="Georgia Bold Italic" w:hAnsi="Georgia Bold Italic" w:cs="Georgia Bold Italic"/>
            <w:color w:val="BE0004"/>
            <w:sz w:val="28"/>
            <w:szCs w:val="32"/>
            <w:lang w:val="en-US"/>
          </w:rPr>
          <w:t>Кеннета Уолтца</w:t>
        </w:r>
      </w:hyperlink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об одинаковости всех стран, различающихся лишь в возможностях.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 Примаков, и Киссинджер, несмотря на разность социально-идеологических систем, которые они представляли, предлагали объективные ответы своих стран на схожие структурные вызовы.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Главным пунктом политической программы был в обоих случаях отказ от мессианско-идеализированных подходов в пользу отношений на основе иерархии интересов, что создавало твердую почву для диалога.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«Если одно государство рассматривает внутренние представления о справедливости как угрозу для своего существования – дипломатический диалог невозможен», – описывал Киссинджер проблему, особенно актуальную в искрящейся от идеологических конфронтаций второй половине XX века.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Преодоление этой проблемы стало лейтмотивом киссинджерианской дипломатии 1970-х годов.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 излете XX века, когда центральное ценностное противоречие, казалось, разрешилось, Примаков формировал новую внешнеполитическую философию постсоветской России во многом на тех же принципах.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именно плотная спайка идеализма и реализма – наиболее важная черта, объединявшая две эти школы и личности, их воплощающие.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Ни Примаков, ни Киссинджер никогда не отказывались в полной мере от принципа морального универсализма как одного из маяков политики.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«При всей значимости национальных культур, в том числе политических, они не могут и не приходят на смену отнюдь не аморфным общечеловеческим ценностям и интересам», – отмечал Евгений Максимович в «Мыслях вслух».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Идеалы американской демократии, защита которых была для Киссинджера во многом идентична защите национальных интересов, также являлись универсальной ценностной основой.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Во многом в этой связи Киссинджер отказывался от утилитарного подхода некоторых представителей теории модернизации, указывающих, что жизнеспособность модели определяется ее экономической эффективностью, а значит следует сосредоточиться исключительно на экономическом превосходстве над социалистическим блоком.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«Если мы не сможем сделать концепции свободы и уважения человеческого достоинства значимыми для новых наций, – писал он в книге “Необходимость выбора”, – хваленое экономическое соперничество между нами и коммунизмом не будет иметь никакого смысла».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Присущие взглядам Примакова и Киссинджера элементы универсализма имели, однако, отличную природу, и от вильсонианского, и от марксисткого идеализма, которые последовательно отвергались обоими мыслителями.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Фундаментальной целью для реалистов-практиков типа Киссинджера и Примакова было поддержание международного мира, цена нарушения которого в ядерный век была особенно высока.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«Естественно, что центральной проблемой в веке, давшем две мировых войны, за которыми последовала холодная война, является проблема поддержания мира.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Парадоксально, однако, что все надежды направлены на самое смертоносное оружие в человеческой истории», – с тревогой отмечал Киссинджер в одной из ранних своих работ «Ядерное оружие и внешняя политика» (опубликованной в 1959 г., всего за три года до Карибского кризиса).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Для Примакова военно-стратегическое измерение отношений двух стран и связанный с этим вопрос их выживания также служил и отправной точкой анализа и прочным фундаментом, в привязке к которому он мыслил настоящее и будущее международной системы.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«С появлением ракетно-ядерного вооружения, способного уничтожить не только две сверхдержавы, но и весь остальной мир, стали относить мирное сосуществование к категории более или менее постоянной, – отмечал Примаков.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– Но при этом не забывали добавлять, что это не означает прекращения противостояния и не притупляет идеологическую борьбу.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Такое видение отношений с Западом... порождало перманентную нестабильность, неустойчивость на мировой арене.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Создавался замкнутый круг, в котором раскручивалась гонка вооружений».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Принципиальным различием между примаковским и киссенджерианским реализмом, однако, было видение вариантов преодоления противостояния холодной войны.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Для Киссинджера единственным приемлемым выходом из биполярности была победа западного лагеря.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Его моральный универсализм все же сохранял конкретную географическую привязку – США, что во многом и позволяло ему жестко бороться за национальные интересы, не предавая ценностей.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 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Для Примакова ответ на тот же вопрос никогда не был столь же очевиден.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Будучи одним из наиболее решительных и умелых защитников национальных интересов, Евгений Максимович мыслил категориями сохранности и благополучия всей мировой системы – возможно к этому его подталкивала марксистко-ленинская традиция, так или иначе определявшая образ мысли всей советской, а затем и новой российской интеллектуальной элиты.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«Единство мира интерпретировалось как часть общей формулы: единство и борьба противоположностей», – писал Примаков, отмечая, что благодаря ядерному сдерживанию «акцент впервые стал делаться на первой части этой формулы, а второй давалось ограниченное толкование, исключающее ядерное столкновение.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Это уже было большим достижением, но, как представляется, гораздо устойчивее, органичнее и более последовательно выглядел бы вывод о единстве мира, если бы он базировался на признании конвергенции».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Теория конвергенции занимала важное место во взглядах Евгения Максимовича как на перспективы преодоления противостояния двух противоположных социально-политических блоков, так и на достижение устойчивости международной системы после окончания эпохи биполярности.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Возможность достижения единства противоположностей в международной системе по Примакову рассматривалась в двух плоскостях: «с точки зрения научнотехнической революции, охватывающей в той или иной степени весь мир, и общечеловеческих ценностей и интересов, выражающихся в стремлении всех избежать термоядерной войны».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Ставка на сочетание идеалистической веры в конвергенцию противостоящих сторон через технологический и социальный прогресс с прагматичным расчетом на силу ядерного устрашения оказалась во многом верной.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Однако выход из холодной войны в той форме, в которой он произошел, получился дефектным: уже в 1990-е гг.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 место логики конвергенции пришла логика поглощения.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Теория и политика примаковской дипломатии была направлена на исправление этого дефекта.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262626"/>
          <w:sz w:val="28"/>
          <w:szCs w:val="32"/>
          <w:lang w:val="en-US"/>
        </w:rPr>
      </w:pP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u w:val="single"/>
          <w:lang w:val="en-US"/>
        </w:rPr>
      </w:pPr>
      <w:r w:rsidRPr="003B5B55">
        <w:rPr>
          <w:rFonts w:ascii="Georgia Bold Italic" w:hAnsi="Georgia Bold Italic" w:cs="Georgia Bold Italic"/>
          <w:b/>
          <w:bCs/>
          <w:color w:val="262626"/>
          <w:sz w:val="28"/>
          <w:szCs w:val="32"/>
          <w:u w:val="single"/>
          <w:lang w:val="en-US"/>
        </w:rPr>
        <w:t>«Доктрина Примакова»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Глубокое понимание комплекса предложенных идей, который сегодня уже стал известен как «доктрина Примакова», невозможно без учета особенностей примаковской внешнеполитической философии, в основе которой лежало балансирование между реализмом в анализе текущих международных проблем и осторожным идеализмом формируемого образа будущего.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Анализ предложенного Примаковым многовекторного курса с позиций только одного подхода может вести к искаженному пониманию примаковской дипломатии 1990-х гг.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 во многом базирующейся на ней дальнейшей внешней политики России.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Критика «однополярности», стержневая для всей внешнеполитической концепции Примакова, и часто принимаемая за плохо скрываемый антиамериканизм, была направлена против тех же проблем, с которыми боролся и Киссинджер: против субъективных оценок международной реальности и их асимметричных последствий.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Примаков указывал на уязвимость и идеологизированность самого понятия «однополярность», господствовавшего при описании международной системы в 1990-е и 2000-е годы.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Дисбаланс в российско-американских отношениях, очевидное нежелание Вашингтона считаться с Москвой, хотя та продолжала тянуть лямку ядерного сдерживания и во многом – оставаться гарантом стратегической стабильности, служили для Примакова явными признаками болезни возникшего после холодной войны международного порядка: «…опираясь на представление об ассиметричности, сложившейся после окончания холодной войны, иными словами, на ложный вывод о победе в ней США и поражении СССР, Вашингтон исходил из неправомерности равноправия Соединенных Штатов с Россией в мировых делах».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Возможно, отсутствие на Западе соизмеримых Киссинджеру фигур, готовых строить новый мир на тех же принципах, стало одной из причин многих нынешних проблем.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«Генри Киссинджер беспредельно предан идее главенства Соединенных Штатов в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мире…,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однако, это не идентично тому, что он игнорирует существование других центров силы», – отмечал Примаков.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 точки зрения Примакова «однополярность» всегда оставалась химерой, искажавшей гораздо более сложную картину мироустройства.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«Лидерство США характеризует нынешнюю многополярную систему, а не идентично признанию однополярного мироустройства», – указывал он в одной из своих поздних книг.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результате естественной эволюции международной системы «вывод об однополярном мироустройстве стал размываться все более ощутимым процессом неравномерности развития различных стран».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Мир победившего Запада оказался миром множества акторов с беспредельно низкой управляемостью – и в этом, по мнению Примакова, и заключался главный дефект международного порядка, сложившегося после окончания холодной войны.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Если в 1980-е гг.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международная стабильность могла быть достигнута посредством встречного движения двух равновесных субъектов, мир девяностых и тем более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2000-х годов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стал представлять собой совокупность множества плохо сбалансированных и разнонаправленно двигавшихся элементов.</w:t>
      </w:r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Тем не менее Примаков полагал возможным достичь устойчивого состояния международной системы и в этом более сложном и заведомо менее стабильном мире.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Конвергенция и рост взаимозависимости, состоявшиеся, пусть не в той форме, в какой их представляли себе в 1980-е гг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.,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должны были помочь снизить международные противоречия. Описывая позитивные эффекты глобализации, Примаков указывал, что «если интеграционные процессы на межгосударственном уровне способствуют увеличению числа центров в современном мире, его многополярности, то транснационализация предпринимательской деятельности привязывает эти центры друг к другу», из чего делается вывод, что «полюса современного мира оказываются взаимозависимыми не только в результате качественного прорывного развития наукоемкого производства, но и новых форм производственных отношений.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таких условиях ныне складывающаяся многополярность не несет в себе ядро раздора, противостояния, конфронтации».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этих процессах Евгений Максимович видел особую роль для России – как одного из столпов системы стратегического сдерживания и как страны с колоссальными возможностями для экономического и технологического развития, способную стать стабилизатором международной системы и одновременно – одним из флагманов ее дальнейшего развития.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При этом Примаков жестко указывал, что «модернизация, которая ставит своей целью выведение России на уровень производительных сил и высших достижений общественного развития, свойственных нынешнему технологическому укладу, не означает необходимости "раствориться" нашей стране в западном мире, который в целом достиг этого уклада».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Этот упор на многовекторность, часто путаемый критиками с антиамериканизмом или в более широком смысле – антизападничеством, на деле отражает объективные потребности России в диверсификации связей, а мира в более прочной полицентричности.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Показательно, что и выбор более слабой в геополитическом плане, но технологичной Европы в рамках ЕС, по сей день многими отстаиваемый, не казался Примакову панацеей.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«Существует близкая, но несколько иная идеология выбора Европейского союза в качестве единственного союзника в деле модернизации, что противопоставляется всем остальным направлениям, в том числе Китаю.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Считаю, что многовекторная политика намного плодотворнее для модернизации России».</w:t>
      </w:r>
      <w:proofErr w:type="gramEnd"/>
    </w:p>
    <w:p w:rsidR="003B5B55" w:rsidRPr="003B5B55" w:rsidRDefault="003B5B55" w:rsidP="003B5B55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Примаков одним из первых указал на необходимость «разворота» нашей страны на Восток.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Такой разворот, несмотря на сохранявшиеся идеологические и политические противоречия Москвы и Пекина, стратегически вызрел уже в 1980-е гг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.,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когда контуры нынешнего глобального перераспределения сил лишь только намечались.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Отстаивая необходимость нормализации отношений с Китаем и одновременного поступательного развития отношений с другими ведущими азиатскими странами, Примаков указывал на то, что «сила нашей внешней политики… в максимальном охвате различных государств, и особенно в развитии отношений с азиатскими странами.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 такой конфигурации нам будет легче иметь дело и с Западом».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 этом Примаков указывал на то, что любой «разворот» на Восток будет бесперспективным без решительной модернизации Сибири и Дальнего Востока.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«Не было никакого сомнения ни тогда, ни сейчас, – указывал он, – что будущее России во многом зависит от того, сумеем ли мы поднять эту громадную, богатейшую, но чрезвычайно малонаселенную часть нашей страны».</w:t>
      </w:r>
      <w:proofErr w:type="gramEnd"/>
    </w:p>
    <w:p w:rsidR="00AE5CAC" w:rsidRPr="003B5B55" w:rsidRDefault="003B5B55" w:rsidP="003B5B55">
      <w:pPr>
        <w:rPr>
          <w:sz w:val="22"/>
        </w:rPr>
      </w:pP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Теория и политика Примакова и в советский, и в современный российский период были направлены на преодоление противоречий международной системы и создание прочной основы для долгосрочного сотрудничества.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«Дов</w:t>
      </w:r>
      <w:bookmarkStart w:id="0" w:name="_GoBack"/>
      <w:bookmarkEnd w:id="0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ерие и сотрудничество, – писал Примаков в 2005 г. – вот два направления, которые могут обеспечить нормальное развитие российско-американских отношений в интересах не только обеих стран, но и всего мира».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Альтернативой сотрудничеству ему виделась хаотизация мировой политики, взрывной рост таких неконтролируемых вызовов как международный терроризм и расползание глобальной системы безопасности, включая режим нераспространения ядерного оружия.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Многое из этого, в условиях отсутствия реального партнерства между Москвой и Вашингтоном, другими центрами силы, сегодня уже стало реальностью.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Именно присущего Примакову умения балансировать между национальными и международными интересами, искать общие точки соприкосновения, видеть лучшее будущее и выбирать оптимальный путь для его достижения по-видимому не хватает нынешним элитам.</w:t>
      </w:r>
      <w:proofErr w:type="gramEnd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3B5B55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 именно наличие этих умений позволяет отнести Евгения Максимовича к плеяде блестящих представителей реалисткой мысли, великих дипломатов современности.</w:t>
      </w:r>
      <w:proofErr w:type="gramEnd"/>
    </w:p>
    <w:sectPr w:rsidR="00AE5CAC" w:rsidRPr="003B5B55" w:rsidSect="00AE5C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 Bold Italic">
    <w:panose1 w:val="020408020504050902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5"/>
    <w:rsid w:val="003B5B55"/>
    <w:rsid w:val="00A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5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5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5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5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lobalaffairs.ru/tag/Russia's_foreign_policy" TargetMode="External"/><Relationship Id="rId20" Type="http://schemas.openxmlformats.org/officeDocument/2006/relationships/hyperlink" Target="http://www.globalaffairs.ru/person/p_303" TargetMode="External"/><Relationship Id="rId21" Type="http://schemas.openxmlformats.org/officeDocument/2006/relationships/hyperlink" Target="http://www.globalaffairs.ru/person/p_81" TargetMode="External"/><Relationship Id="rId22" Type="http://schemas.openxmlformats.org/officeDocument/2006/relationships/hyperlink" Target="http://www.globalaffairs.ru/person/p_2512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globalaffairs.ru/tag/Ministry_of_Foreign_Affairs" TargetMode="External"/><Relationship Id="rId11" Type="http://schemas.openxmlformats.org/officeDocument/2006/relationships/hyperlink" Target="http://www.globalaffairs.ru/tag/National_interest" TargetMode="External"/><Relationship Id="rId12" Type="http://schemas.openxmlformats.org/officeDocument/2006/relationships/hyperlink" Target="http://www.globalaffairs.ru/tag/t_1" TargetMode="External"/><Relationship Id="rId13" Type="http://schemas.openxmlformats.org/officeDocument/2006/relationships/hyperlink" Target="http://www.globalaffairs.ru/tag/t_207" TargetMode="External"/><Relationship Id="rId14" Type="http://schemas.openxmlformats.org/officeDocument/2006/relationships/hyperlink" Target="http://www.globalaffairs.ru/tag/t_92" TargetMode="External"/><Relationship Id="rId15" Type="http://schemas.openxmlformats.org/officeDocument/2006/relationships/hyperlink" Target="http://www.globalaffairs.ru/tag/t_144" TargetMode="External"/><Relationship Id="rId16" Type="http://schemas.openxmlformats.org/officeDocument/2006/relationships/hyperlink" Target="http://www.globalaffairs.ru/tag/t_150" TargetMode="External"/><Relationship Id="rId17" Type="http://schemas.openxmlformats.org/officeDocument/2006/relationships/hyperlink" Target="http://www.globalaffairs.ru/tag/t_225" TargetMode="External"/><Relationship Id="rId18" Type="http://schemas.openxmlformats.org/officeDocument/2006/relationships/hyperlink" Target="http://www.globalaffairs.ru/tag/t_38" TargetMode="External"/><Relationship Id="rId19" Type="http://schemas.openxmlformats.org/officeDocument/2006/relationships/hyperlink" Target="http://www.globalaffairs.ru/person/p_8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obalaffairs.ru/person/p_3032" TargetMode="External"/><Relationship Id="rId6" Type="http://schemas.openxmlformats.org/officeDocument/2006/relationships/hyperlink" Target="http://www.globalaffairs.ru/tag/governtment" TargetMode="External"/><Relationship Id="rId7" Type="http://schemas.openxmlformats.org/officeDocument/2006/relationships/hyperlink" Target="http://www.globalaffairs.ru/tag/international_relations" TargetMode="External"/><Relationship Id="rId8" Type="http://schemas.openxmlformats.org/officeDocument/2006/relationships/hyperlink" Target="http://www.globalaffairs.ru/tag/diplomac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4869</Words>
  <Characters>27757</Characters>
  <Application>Microsoft Macintosh Word</Application>
  <DocSecurity>0</DocSecurity>
  <Lines>231</Lines>
  <Paragraphs>65</Paragraphs>
  <ScaleCrop>false</ScaleCrop>
  <Company/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2017-03-15T18:26:00Z</dcterms:created>
  <dcterms:modified xsi:type="dcterms:W3CDTF">2017-03-15T18:29:00Z</dcterms:modified>
</cp:coreProperties>
</file>