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5" w:rsidRPr="00A21220" w:rsidRDefault="007F4475" w:rsidP="007F44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СЕТИ ТРАНСФЕРА ТЕХНОЛОГИЙ В МИРОВОМ ТЕХНОЛОГИЧЕСКОМ ОБЩЕСТВЕ</w:t>
      </w:r>
    </w:p>
    <w:p w:rsidR="007F4475" w:rsidRPr="00A21220" w:rsidRDefault="007F4475" w:rsidP="007F44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475" w:rsidRPr="00A21220" w:rsidRDefault="007F4475" w:rsidP="007F44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Мартынов М.В., Сафонов А.А., *Увайсов С.У.</w:t>
      </w:r>
      <w:r w:rsidRPr="00A21220">
        <w:rPr>
          <w:rFonts w:ascii="Times New Roman" w:hAnsi="Times New Roman"/>
          <w:i/>
          <w:sz w:val="20"/>
          <w:szCs w:val="20"/>
        </w:rPr>
        <w:t xml:space="preserve"> </w:t>
      </w:r>
      <w:r w:rsidRPr="00A21220">
        <w:rPr>
          <w:rFonts w:ascii="Times New Roman" w:hAnsi="Times New Roman"/>
          <w:i/>
          <w:sz w:val="20"/>
          <w:szCs w:val="20"/>
        </w:rPr>
        <w:br/>
        <w:t>Москва ОАО «МКБ «КОМПАС»; *Москва, МИЭМ</w:t>
      </w:r>
      <w:r w:rsidRPr="00A21220">
        <w:rPr>
          <w:rFonts w:ascii="Times New Roman" w:hAnsi="Times New Roman"/>
          <w:i/>
          <w:sz w:val="20"/>
          <w:szCs w:val="20"/>
        </w:rPr>
        <w:br/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статье рассматриваются сети трансфера технологий, решающие  задачи передачи (трансфера) технологий между научным сектором и компаниями, а также внутри промышленного сектора и поиска партнеров для осуществления кооперации в разработке с внедрением новых наукоемких технологий. 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A21220">
        <w:rPr>
          <w:rFonts w:ascii="Times New Roman" w:hAnsi="Times New Roman"/>
          <w:b/>
          <w:sz w:val="20"/>
          <w:szCs w:val="20"/>
          <w:lang w:val="en-US"/>
        </w:rPr>
        <w:t>Technology transfer networks in the worldwide meaning. Martynov M.V. Cafonov A.A., Uvaysov S. U.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 xml:space="preserve">The article deals with technology transfer network, solving the </w:t>
      </w:r>
      <w:proofErr w:type="gramStart"/>
      <w:r w:rsidRPr="00A21220">
        <w:rPr>
          <w:rFonts w:ascii="Times New Roman" w:hAnsi="Times New Roman"/>
          <w:sz w:val="20"/>
          <w:szCs w:val="20"/>
          <w:lang w:val="en-US"/>
        </w:rPr>
        <w:t>technology  transfer</w:t>
      </w:r>
      <w:proofErr w:type="gramEnd"/>
      <w:r w:rsidRPr="00A21220">
        <w:rPr>
          <w:rFonts w:ascii="Times New Roman" w:hAnsi="Times New Roman"/>
          <w:sz w:val="20"/>
          <w:szCs w:val="20"/>
          <w:lang w:val="en-US"/>
        </w:rPr>
        <w:t xml:space="preserve"> problem between the research sector and companies as well as under the industrial sector and partners searching problem for development cooperation under the new technologies introduction.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На текущий момент в мире существует много сетей трансфера технологий, каждая из которых решает, в целом, схожие, но различающиеся в деталях задачи. В данной статье собраны материалы по нескольким сетям для систематизации и структурирования информации для создания новой, инновационной, сети. 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данном контексте «сеть»  выступает как инструмент инновационной инфраструктуры, позволяющий эффективно распространять технологическую информацию и осуществлять поиск партнеров для реализации инновационных проектов. 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Рассмотрим задачи трансферных сетей:</w:t>
      </w:r>
    </w:p>
    <w:p w:rsidR="007F4475" w:rsidRPr="00A21220" w:rsidRDefault="007F4475" w:rsidP="007F44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передача/трансфер технологий между научным сектором и компаниями, а также внутри промышленного сектора;</w:t>
      </w:r>
    </w:p>
    <w:p w:rsidR="007F4475" w:rsidRPr="00A21220" w:rsidRDefault="007F4475" w:rsidP="007F44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поиск партнеров для осуществления кооперации в разработке и внедрении новых наукоемких технологий.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Члены сети собирают информацию о предлагаемых или требуемых технологиях, проводят технологический аудит и формируют, таким образом, единую базу технологических запросов и предложений сети. Клиентами таких сетей обычно становятся компании малого, среднего и крупного бизнеса, академические и отраслевые научно-исследовательские институты, университеты, частные лица, осуществляющие продвижение технологической информации и поиск технологических партнеров.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Сеть развивается как структура распределенного типа - каждый член сети взаимодействует с другими партнерами и клиентами. Деятельность членов сети направлена на поиск партнеров и установление технологического сотрудничества между заинтересованными сторонами (продавцом и покупателем технологии) с целью осуществления дальнейшей коммерциализации технологий. Поиск партнеров и установление сотрудничества достигается путем сопоставления существующих технологических предложений с выявленными рыночными технологическими запросами. Технологические запросы и предложения партнеров и клиентов сети, как правило, представлены в виде структурированных анкет (профилей). Профили позволяют потенциальным партнерам получить первичные представления о предлагаемой или искомой технологии, ее коммерческих аспектах, инновационности, главных преимуществах, правах интеллектуальной собственности и характеристиках желаемого партнерства.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Для осуществления поиска партнеров и продвижения технологической информации в сети используются такие инструменты, как:</w:t>
      </w:r>
    </w:p>
    <w:p w:rsidR="007F4475" w:rsidRPr="00A21220" w:rsidRDefault="007F4475" w:rsidP="007F44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единая база технологических запросов и предложений;</w:t>
      </w:r>
    </w:p>
    <w:p w:rsidR="007F4475" w:rsidRPr="00A21220" w:rsidRDefault="007F4475" w:rsidP="007F44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технологический аудит – проверка предложений/запросов на техническую состоятельность и готовность к трансферу;</w:t>
      </w:r>
    </w:p>
    <w:p w:rsidR="007F4475" w:rsidRPr="00A21220" w:rsidRDefault="007F4475" w:rsidP="007F44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веб-сайт сети – информационный ресурс, на котором представлена база технологических запросов и предложений сети;</w:t>
      </w:r>
    </w:p>
    <w:p w:rsidR="007F4475" w:rsidRPr="00A21220" w:rsidRDefault="007F4475" w:rsidP="007F44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периодическая информационная рассылка с информацией о деятельности сети и новых профилях;</w:t>
      </w:r>
    </w:p>
    <w:p w:rsidR="007F4475" w:rsidRPr="00A21220" w:rsidRDefault="007F4475" w:rsidP="007F44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сетевое взаимодействие с членами и партнерами сети.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Рассмотрим существующие крупнейшие трансферные сети.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Enterprise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Europe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Network</w:t>
      </w:r>
      <w:r w:rsidRPr="00A21220">
        <w:rPr>
          <w:rFonts w:ascii="Times New Roman" w:hAnsi="Times New Roman"/>
          <w:sz w:val="20"/>
          <w:szCs w:val="20"/>
        </w:rPr>
        <w:t xml:space="preserve"> (</w:t>
      </w:r>
      <w:r w:rsidRPr="00A21220">
        <w:rPr>
          <w:rFonts w:ascii="Times New Roman" w:hAnsi="Times New Roman"/>
          <w:sz w:val="20"/>
          <w:szCs w:val="20"/>
          <w:lang w:val="en-US"/>
        </w:rPr>
        <w:t>EEN</w:t>
      </w:r>
      <w:r w:rsidRPr="00A21220">
        <w:rPr>
          <w:rFonts w:ascii="Times New Roman" w:hAnsi="Times New Roman"/>
          <w:sz w:val="20"/>
          <w:szCs w:val="20"/>
        </w:rPr>
        <w:t xml:space="preserve">) – трансферная сеть Евро-союза, объединяющая около 600 организаций поддержки бизнеса из более чем 50 странах мира. Членские организации включают палаты торговли и промышленности, технологические центры, научно-исследовательские институты и агентства по развитию. </w:t>
      </w:r>
      <w:proofErr w:type="gramStart"/>
      <w:r w:rsidRPr="00A21220">
        <w:rPr>
          <w:rFonts w:ascii="Times New Roman" w:hAnsi="Times New Roman"/>
          <w:sz w:val="20"/>
          <w:szCs w:val="20"/>
        </w:rPr>
        <w:t>Запущена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в феврале 2008 года генеральной комиссией по предпринимательству и промышленности, строится на бывшем Евро Инфо-центре (</w:t>
      </w:r>
      <w:r w:rsidRPr="00A21220">
        <w:rPr>
          <w:rFonts w:ascii="Times New Roman" w:hAnsi="Times New Roman"/>
          <w:sz w:val="20"/>
          <w:szCs w:val="20"/>
          <w:lang w:val="en-US"/>
        </w:rPr>
        <w:t>EIC</w:t>
      </w:r>
      <w:r w:rsidRPr="00A21220">
        <w:rPr>
          <w:rFonts w:ascii="Times New Roman" w:hAnsi="Times New Roman"/>
          <w:sz w:val="20"/>
          <w:szCs w:val="20"/>
        </w:rPr>
        <w:t xml:space="preserve">) и сети инновационного центра </w:t>
      </w:r>
      <w:r w:rsidRPr="00A21220">
        <w:rPr>
          <w:rFonts w:ascii="Times New Roman" w:hAnsi="Times New Roman"/>
          <w:sz w:val="20"/>
          <w:szCs w:val="20"/>
          <w:lang w:val="en-US"/>
        </w:rPr>
        <w:t>IRC</w:t>
      </w:r>
      <w:r w:rsidRPr="00A21220">
        <w:rPr>
          <w:rFonts w:ascii="Times New Roman" w:hAnsi="Times New Roman"/>
          <w:sz w:val="20"/>
          <w:szCs w:val="20"/>
        </w:rPr>
        <w:t>, созданных в 1987 и 1995 годах соответственно.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Российская сеть трансфера технологий (Russian Technology Transfer Network, RTTN) создана в 2002 г. и объединяет более 70 российских инновационных центра (из 29 регионов РФ и стран СНГ). Это проект, который был инициирован Региональным Инновационным Технологическим Центром (РИТЦ) наукограда Обнинска в партнерстве с Инновационным Центром наукограда Кольцово (ИЦК) в рамках реализации </w:t>
      </w:r>
      <w:r w:rsidRPr="00A21220">
        <w:rPr>
          <w:rFonts w:ascii="Times New Roman" w:hAnsi="Times New Roman"/>
          <w:sz w:val="20"/>
          <w:szCs w:val="20"/>
        </w:rPr>
        <w:lastRenderedPageBreak/>
        <w:t xml:space="preserve">проекта TACIS FINRUS 9804 «Инновационные центры и наукограды Российской Федерации». </w:t>
      </w:r>
      <w:proofErr w:type="gramStart"/>
      <w:r w:rsidRPr="00A21220">
        <w:rPr>
          <w:rFonts w:ascii="Times New Roman" w:hAnsi="Times New Roman"/>
          <w:sz w:val="20"/>
          <w:szCs w:val="20"/>
        </w:rPr>
        <w:t>В ходе проекта инновационные центры наукоградов установили партнерские отношения с инновационными релей-центрами Европейской сети IRC (Innovation Relay-Centers), включая Steinbeis-Europa-Zentrum (Штутгарт, Германия) и RECITAL (Пиза, Италия).</w:t>
      </w:r>
      <w:proofErr w:type="gramEnd"/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Coventry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University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Enterprises</w:t>
      </w:r>
      <w:r w:rsidRPr="00A21220">
        <w:rPr>
          <w:rFonts w:ascii="Times New Roman" w:hAnsi="Times New Roman"/>
          <w:sz w:val="20"/>
          <w:szCs w:val="20"/>
        </w:rPr>
        <w:t xml:space="preserve"> (</w:t>
      </w:r>
      <w:r w:rsidRPr="00A21220">
        <w:rPr>
          <w:rFonts w:ascii="Times New Roman" w:hAnsi="Times New Roman"/>
          <w:sz w:val="20"/>
          <w:szCs w:val="20"/>
          <w:lang w:val="en-US"/>
        </w:rPr>
        <w:t>CUE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Ltd</w:t>
      </w:r>
      <w:r w:rsidRPr="00A21220">
        <w:rPr>
          <w:rFonts w:ascii="Times New Roman" w:hAnsi="Times New Roman"/>
          <w:sz w:val="20"/>
          <w:szCs w:val="20"/>
        </w:rPr>
        <w:t xml:space="preserve">), дочерняя компания корпорации высшего образования </w:t>
      </w:r>
      <w:r w:rsidRPr="00A21220">
        <w:rPr>
          <w:rFonts w:ascii="Times New Roman" w:hAnsi="Times New Roman"/>
          <w:sz w:val="20"/>
          <w:szCs w:val="20"/>
          <w:lang w:val="en-US"/>
        </w:rPr>
        <w:t>Coventry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University</w:t>
      </w:r>
      <w:r w:rsidRPr="00A21220">
        <w:rPr>
          <w:rFonts w:ascii="Times New Roman" w:hAnsi="Times New Roman"/>
          <w:sz w:val="20"/>
          <w:szCs w:val="20"/>
        </w:rPr>
        <w:t xml:space="preserve">, через которую в университет запускает большинство своих коммерческих программ и бизнес-партнерства, приносящие доход. Работая на региональном, национальном, европейском и международном уровнях, </w:t>
      </w:r>
      <w:r w:rsidRPr="00A21220">
        <w:rPr>
          <w:rFonts w:ascii="Times New Roman" w:hAnsi="Times New Roman"/>
          <w:sz w:val="20"/>
          <w:szCs w:val="20"/>
          <w:lang w:val="en-US"/>
        </w:rPr>
        <w:t>CUE</w:t>
      </w:r>
      <w:r w:rsidRPr="00A21220">
        <w:rPr>
          <w:rFonts w:ascii="Times New Roman" w:hAnsi="Times New Roman"/>
          <w:sz w:val="20"/>
          <w:szCs w:val="20"/>
        </w:rPr>
        <w:t xml:space="preserve"> поддерживает корпоративные цели и стремится к максимальному увеличению коммерческого потенциала университета, опыта и ресурсов.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1220">
        <w:rPr>
          <w:rFonts w:ascii="Times New Roman" w:hAnsi="Times New Roman"/>
          <w:sz w:val="20"/>
          <w:szCs w:val="20"/>
          <w:lang w:val="en-US"/>
        </w:rPr>
        <w:t xml:space="preserve">The CEI Science &amp; Technology Network (S&amp;TN) </w:t>
      </w:r>
      <w:r w:rsidRPr="00A21220">
        <w:rPr>
          <w:rFonts w:ascii="Times New Roman" w:hAnsi="Times New Roman"/>
          <w:sz w:val="20"/>
          <w:szCs w:val="20"/>
        </w:rPr>
        <w:t>запущена</w:t>
      </w:r>
      <w:r w:rsidRPr="00A2122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>в</w:t>
      </w:r>
      <w:r w:rsidRPr="00A2122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>начале</w:t>
      </w:r>
      <w:r w:rsidRPr="00A21220">
        <w:rPr>
          <w:rFonts w:ascii="Times New Roman" w:hAnsi="Times New Roman"/>
          <w:sz w:val="20"/>
          <w:szCs w:val="20"/>
          <w:lang w:val="en-US"/>
        </w:rPr>
        <w:t xml:space="preserve"> 2004 </w:t>
      </w:r>
      <w:r w:rsidRPr="00A21220">
        <w:rPr>
          <w:rFonts w:ascii="Times New Roman" w:hAnsi="Times New Roman"/>
          <w:sz w:val="20"/>
          <w:szCs w:val="20"/>
        </w:rPr>
        <w:t>года</w:t>
      </w:r>
      <w:r w:rsidRPr="00A21220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A2122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>С целью укрепления научно-технического сотрудничества обеспечивает финансовую поддержку для организации семинаров, конференций, семинаров и учебных курсов. Молодые ученые из стран ЦЕИ, особенно не входящие в ЕС государства-члены, предоставляется возможность принять участие в такой деятельности и проведения научных исследований по различным темам.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National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Technology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Transfer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Network</w:t>
      </w:r>
      <w:r w:rsidRPr="00A21220">
        <w:rPr>
          <w:rFonts w:ascii="Times New Roman" w:hAnsi="Times New Roman"/>
          <w:sz w:val="20"/>
          <w:szCs w:val="20"/>
        </w:rPr>
        <w:t xml:space="preserve"> (</w:t>
      </w:r>
      <w:r w:rsidRPr="00A21220">
        <w:rPr>
          <w:rFonts w:ascii="Times New Roman" w:hAnsi="Times New Roman"/>
          <w:sz w:val="20"/>
          <w:szCs w:val="20"/>
          <w:lang w:val="en-US"/>
        </w:rPr>
        <w:t>NTTN</w:t>
      </w:r>
      <w:r w:rsidRPr="00A21220">
        <w:rPr>
          <w:rFonts w:ascii="Times New Roman" w:hAnsi="Times New Roman"/>
          <w:sz w:val="20"/>
          <w:szCs w:val="20"/>
        </w:rPr>
        <w:t>) – национальная сеть трансфера технологий Украины. Проект создания сети для унификации информационных ресурсов государственных, общественных и частных инновационных структур Украины, предприятий, учреждений и организаций в одну сетевую трансферную технологию и ее дальнейшей интеграции в европейскую сеть EEN.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DARPA, являясь одной из наиболее эффективных научно-исследовательских организаций Министерства обороны США, обладает очень развитой системой коммуникаций с научно-исследовательской средой, промышленностью, бывшими сотрудниками DARPA, проводит активную публичную политику, направленную на формирование необходимого общественного мнения о деятельности Агентства. Организации присущи  открытость информации о проводимых конкурсах, запросах, доступность руководителей проектов для общественности – все их контакты </w:t>
      </w:r>
      <w:proofErr w:type="gramStart"/>
      <w:r w:rsidRPr="00A21220">
        <w:rPr>
          <w:rFonts w:ascii="Times New Roman" w:hAnsi="Times New Roman"/>
          <w:sz w:val="20"/>
          <w:szCs w:val="20"/>
        </w:rPr>
        <w:t>открыто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размещены на сайте DARPA и любой разработчик может связаться с ними напрямую и предложить свою идею.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Трансферные сети развёрнуты по всему миру и поддерживаются крупнейшими компаниями. Сети трансфера технологий призваны глобально </w:t>
      </w:r>
      <w:proofErr w:type="gramStart"/>
      <w:r w:rsidRPr="00A21220">
        <w:rPr>
          <w:rFonts w:ascii="Times New Roman" w:hAnsi="Times New Roman"/>
          <w:sz w:val="20"/>
          <w:szCs w:val="20"/>
        </w:rPr>
        <w:t>объединить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инновационные центры мира.  В конечном счёте, такие сети содействуют развитию инновационного бизнеса и коммерциализации наукоемких технологий.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Таким </w:t>
      </w:r>
      <w:proofErr w:type="gramStart"/>
      <w:r w:rsidRPr="00A21220">
        <w:rPr>
          <w:rFonts w:ascii="Times New Roman" w:hAnsi="Times New Roman"/>
          <w:sz w:val="20"/>
          <w:szCs w:val="20"/>
        </w:rPr>
        <w:t>образом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видно, что в современной экономике технологические сети получают все более широкое распространение, интегрируются с другими сетями и являются эффективным связующим звеном между поставщиками технологий и их потребителями. В связи с этим развитие подобных сетей в России можно считать востребованным и перспективным.</w:t>
      </w:r>
    </w:p>
    <w:p w:rsidR="007F4475" w:rsidRPr="00A21220" w:rsidRDefault="007F4475" w:rsidP="007F4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4475" w:rsidRPr="00A21220" w:rsidRDefault="007F4475" w:rsidP="007F4475">
      <w:pPr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7F4475" w:rsidRPr="00A21220" w:rsidRDefault="007F4475" w:rsidP="007F44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Катешова М., Лукша О., Пашин Е., Яновский А.: Российская сеть трансфера технологий – инструмент для повышения конкурентоспособности бизнеса; Инновации 2003 N8</w:t>
      </w:r>
    </w:p>
    <w:p w:rsidR="007F4475" w:rsidRPr="00A21220" w:rsidRDefault="007F4475" w:rsidP="007F44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Фонштейн Н. М. Трансфер технологий и эффективность реализации инноваций. — М.: АНХ, 1999.</w:t>
      </w:r>
    </w:p>
    <w:p w:rsidR="007F4475" w:rsidRPr="00A21220" w:rsidRDefault="007F4475" w:rsidP="007F44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 xml:space="preserve">Albors, J.; Sweeny, E.; Hidalgo, A. (2005): «Transnational technology transfer networks for SMEs. A review of the state-of-the-art and an analysis of the European IRC network». Production Planning &amp; Control Journal. </w:t>
      </w:r>
      <w:r w:rsidRPr="00A21220">
        <w:rPr>
          <w:rFonts w:ascii="Times New Roman" w:hAnsi="Times New Roman"/>
          <w:sz w:val="20"/>
          <w:szCs w:val="20"/>
        </w:rPr>
        <w:t>Vol.16.</w:t>
      </w:r>
    </w:p>
    <w:p w:rsidR="007F4475" w:rsidRPr="00A21220" w:rsidRDefault="007F4475" w:rsidP="007F44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4475" w:rsidRDefault="007F4475" w:rsidP="007F44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4475" w:rsidRPr="00A21220" w:rsidRDefault="007F4475" w:rsidP="007F44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7E"/>
    <w:multiLevelType w:val="hybridMultilevel"/>
    <w:tmpl w:val="6B3C3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D1C77"/>
    <w:multiLevelType w:val="hybridMultilevel"/>
    <w:tmpl w:val="8746F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E4129"/>
    <w:multiLevelType w:val="hybridMultilevel"/>
    <w:tmpl w:val="BC64CCF8"/>
    <w:lvl w:ilvl="0" w:tplc="F3F47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F4475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64BF7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7F4475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6523</Characters>
  <Application>Microsoft Office Word</Application>
  <DocSecurity>0</DocSecurity>
  <Lines>54</Lines>
  <Paragraphs>15</Paragraphs>
  <ScaleCrop>false</ScaleCrop>
  <Company>nil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2012-11-09T16:36:00Z</dcterms:created>
  <dcterms:modified xsi:type="dcterms:W3CDTF">2012-11-09T16:36:00Z</dcterms:modified>
</cp:coreProperties>
</file>