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B8" w:rsidRPr="00373D40" w:rsidRDefault="00070557" w:rsidP="00373D40">
      <w:pPr>
        <w:pStyle w:val="a3"/>
        <w:ind w:firstLine="709"/>
        <w:jc w:val="both"/>
        <w:rPr>
          <w:b/>
        </w:rPr>
      </w:pPr>
      <w:r>
        <w:rPr>
          <w:b/>
        </w:rPr>
        <w:t>Предисловие</w:t>
      </w:r>
      <w:bookmarkStart w:id="0" w:name="_GoBack"/>
      <w:bookmarkEnd w:id="0"/>
    </w:p>
    <w:p w:rsidR="00FE005C" w:rsidRPr="00373D40" w:rsidRDefault="00FE005C" w:rsidP="00373D40">
      <w:pPr>
        <w:pStyle w:val="a3"/>
        <w:ind w:firstLine="709"/>
        <w:jc w:val="both"/>
      </w:pPr>
      <w:r w:rsidRPr="00373D40">
        <w:t xml:space="preserve">Коллективные трудовые конфликты – серьезное и сложное явление, имеющее </w:t>
      </w:r>
      <w:r w:rsidR="00A94529" w:rsidRPr="00373D40">
        <w:t>нередко</w:t>
      </w:r>
      <w:r w:rsidRPr="00373D40">
        <w:t xml:space="preserve"> значительные последствия для больших социальных групп: вовлеченных в них работников и работодателей, потребителей их продукции или услуг, жителей региона и многих других. </w:t>
      </w:r>
      <w:r w:rsidR="00D04C63" w:rsidRPr="00373D40">
        <w:t>Трудовые конфликты и забастовки могут дорого обходиться для общества</w:t>
      </w:r>
      <w:r w:rsidR="00D04C63" w:rsidRPr="00373D40">
        <w:t xml:space="preserve">, приводя </w:t>
      </w:r>
      <w:r w:rsidR="00A94529" w:rsidRPr="00373D40">
        <w:t xml:space="preserve">не только к экономическим потерям </w:t>
      </w:r>
      <w:r w:rsidR="00D04C63" w:rsidRPr="00373D40">
        <w:t xml:space="preserve">для </w:t>
      </w:r>
      <w:r w:rsidR="00A94529" w:rsidRPr="00373D40">
        <w:t>отдельных компаний, регионов и даже государств</w:t>
      </w:r>
      <w:r w:rsidRPr="00373D40">
        <w:t>,</w:t>
      </w:r>
      <w:r w:rsidR="00A94529" w:rsidRPr="00373D40">
        <w:t xml:space="preserve"> но и</w:t>
      </w:r>
      <w:r w:rsidRPr="00373D40">
        <w:t xml:space="preserve"> к </w:t>
      </w:r>
      <w:r w:rsidR="00874740" w:rsidRPr="00373D40">
        <w:t xml:space="preserve">социально-политическим </w:t>
      </w:r>
      <w:r w:rsidR="00874740" w:rsidRPr="00373D40">
        <w:t>изменениям.</w:t>
      </w:r>
      <w:r w:rsidR="00874740" w:rsidRPr="00373D40">
        <w:t xml:space="preserve"> </w:t>
      </w:r>
      <w:r w:rsidRPr="00373D40">
        <w:t xml:space="preserve"> Потому внимание к тому, как </w:t>
      </w:r>
      <w:r w:rsidR="00A94529" w:rsidRPr="00373D40">
        <w:t xml:space="preserve">предотвращать социально-трудовые конфликты, </w:t>
      </w:r>
      <w:r w:rsidR="00874740" w:rsidRPr="00373D40">
        <w:t xml:space="preserve">регулировать их разрешение, какими должны быть пределы и условия признания права на забастовку, насколько эффективно работают на практике механизмы разрешения коллективных трудовых споров, является во многих </w:t>
      </w:r>
      <w:r w:rsidR="00A94529" w:rsidRPr="00373D40">
        <w:t xml:space="preserve">странах серьезным и </w:t>
      </w:r>
      <w:r w:rsidR="00874740" w:rsidRPr="00373D40">
        <w:t>пристальным.</w:t>
      </w:r>
    </w:p>
    <w:p w:rsidR="00AA32D4" w:rsidRPr="00373D40" w:rsidRDefault="00874740" w:rsidP="00373D40">
      <w:pPr>
        <w:pStyle w:val="a3"/>
        <w:ind w:firstLine="709"/>
        <w:jc w:val="both"/>
      </w:pPr>
      <w:r w:rsidRPr="00373D40">
        <w:t xml:space="preserve">Изменения роли и механизмов разрешения коллективных трудовых конфликтов, и, в частности, роли и места забастовок, </w:t>
      </w:r>
      <w:r w:rsidR="00A94529" w:rsidRPr="00373D40">
        <w:t xml:space="preserve">происходили в течение </w:t>
      </w:r>
      <w:r w:rsidRPr="00373D40">
        <w:t xml:space="preserve">постепенно происходит во всем мире. </w:t>
      </w:r>
      <w:r w:rsidR="00A94529" w:rsidRPr="00373D40">
        <w:t>Начиная с постепенной отмены репрессивного законодательства в отношении забастовок в середине – конце 19 века в европейских странах</w:t>
      </w:r>
      <w:r w:rsidR="00A90C4C" w:rsidRPr="00373D40">
        <w:t xml:space="preserve"> (1824, 1875, 1906 годы в Британии, 1864 и 1884 во Франции 1896 в Германии, 1889 в Италии)</w:t>
      </w:r>
      <w:r w:rsidR="00A94529" w:rsidRPr="00373D40">
        <w:t xml:space="preserve">, в 20 веке происходило постепенное движение в направлении признания позитивного права на свободу ассоциации и права на забастовку на национальном и международном уровнях. </w:t>
      </w:r>
    </w:p>
    <w:p w:rsidR="00AA32D4" w:rsidRPr="00373D40" w:rsidRDefault="00A94529" w:rsidP="00373D40">
      <w:pPr>
        <w:pStyle w:val="a3"/>
        <w:ind w:firstLine="709"/>
        <w:jc w:val="both"/>
      </w:pPr>
      <w:r w:rsidRPr="00373D40">
        <w:t xml:space="preserve">Во второй половине 20 века </w:t>
      </w:r>
      <w:r w:rsidR="00A90C4C" w:rsidRPr="00373D40">
        <w:t xml:space="preserve">право на забастовку было включено </w:t>
      </w:r>
      <w:r w:rsidRPr="00373D40">
        <w:t>в Конституции ряда стран</w:t>
      </w:r>
      <w:r w:rsidR="004654B8" w:rsidRPr="00373D40">
        <w:t xml:space="preserve"> и </w:t>
      </w:r>
      <w:r w:rsidR="00D04C63" w:rsidRPr="00373D40">
        <w:t xml:space="preserve">положения </w:t>
      </w:r>
      <w:r w:rsidR="004654B8" w:rsidRPr="00373D40">
        <w:t>международных договор</w:t>
      </w:r>
      <w:r w:rsidR="00D04C63" w:rsidRPr="00373D40">
        <w:t>ов</w:t>
      </w:r>
      <w:r w:rsidR="00572929" w:rsidRPr="00373D40">
        <w:t xml:space="preserve"> (ст.8 Международного пакта об экономических, социальных и культурных правах 1966 года; ст.6 Европейской социальной хартии 1961 года</w:t>
      </w:r>
      <w:r w:rsidR="00D04C63" w:rsidRPr="00373D40">
        <w:t>)</w:t>
      </w:r>
      <w:r w:rsidR="004654B8" w:rsidRPr="00373D40">
        <w:t xml:space="preserve">. Право на забастовку было признано на уровне Международной организации труда через </w:t>
      </w:r>
      <w:r w:rsidR="00572929" w:rsidRPr="00373D40">
        <w:t>толкования, которые давали ее органы – Комитет экспертов по применению конвенций и рекомендаций, Комитет по свободе объединения</w:t>
      </w:r>
      <w:r w:rsidR="0012111D" w:rsidRPr="00373D40">
        <w:t xml:space="preserve"> Административного Совета МОТ</w:t>
      </w:r>
      <w:r w:rsidR="00572929" w:rsidRPr="00373D40">
        <w:t xml:space="preserve">, и в течение десятилетий принималось участниками МОТ как составляющая права на свободу объединения. Указанными органами </w:t>
      </w:r>
      <w:r w:rsidR="0012111D" w:rsidRPr="00373D40">
        <w:t xml:space="preserve">при рассмотрении конкретных жалоб и положений национального законодательства разных стран </w:t>
      </w:r>
      <w:r w:rsidR="00572929" w:rsidRPr="00373D40">
        <w:t>были разработаны многочисленные толкования,</w:t>
      </w:r>
      <w:r w:rsidR="0012111D" w:rsidRPr="00373D40">
        <w:t xml:space="preserve"> которые принято считать «подлинным </w:t>
      </w:r>
      <w:r w:rsidR="0012111D" w:rsidRPr="00373D40">
        <w:t>международн</w:t>
      </w:r>
      <w:r w:rsidR="0012111D" w:rsidRPr="00373D40">
        <w:t>ым</w:t>
      </w:r>
      <w:r w:rsidR="0012111D" w:rsidRPr="00373D40">
        <w:t xml:space="preserve"> право</w:t>
      </w:r>
      <w:r w:rsidR="0012111D" w:rsidRPr="00373D40">
        <w:t>м</w:t>
      </w:r>
      <w:r w:rsidR="0012111D" w:rsidRPr="00373D40">
        <w:t xml:space="preserve"> о свободе объединения</w:t>
      </w:r>
      <w:r w:rsidR="0012111D" w:rsidRPr="00373D40">
        <w:t>»</w:t>
      </w:r>
      <w:r w:rsidR="0012111D" w:rsidRPr="00373D40">
        <w:rPr>
          <w:rStyle w:val="a9"/>
        </w:rPr>
        <w:footnoteReference w:id="1"/>
      </w:r>
      <w:r w:rsidR="00AA32D4" w:rsidRPr="00373D40">
        <w:t>, которые оценивается как «либеральная интерпретация свободы объединения»</w:t>
      </w:r>
      <w:r w:rsidR="00AA32D4" w:rsidRPr="00373D40">
        <w:rPr>
          <w:rStyle w:val="a9"/>
        </w:rPr>
        <w:footnoteReference w:id="2"/>
      </w:r>
      <w:r w:rsidR="00AA32D4" w:rsidRPr="00373D40">
        <w:t>.</w:t>
      </w:r>
      <w:r w:rsidR="0012111D" w:rsidRPr="00373D40">
        <w:t xml:space="preserve"> </w:t>
      </w:r>
    </w:p>
    <w:p w:rsidR="0012111D" w:rsidRPr="00373D40" w:rsidRDefault="0012111D" w:rsidP="00373D40">
      <w:pPr>
        <w:pStyle w:val="a3"/>
        <w:ind w:firstLine="709"/>
        <w:jc w:val="both"/>
      </w:pPr>
      <w:r w:rsidRPr="00373D40">
        <w:t>Это не означало</w:t>
      </w:r>
      <w:r w:rsidR="00D04C63" w:rsidRPr="00373D40">
        <w:t xml:space="preserve"> безоговорочного</w:t>
      </w:r>
      <w:r w:rsidRPr="00373D40">
        <w:t xml:space="preserve"> признание права на забастовку</w:t>
      </w:r>
      <w:r w:rsidR="00D04C63" w:rsidRPr="00373D40">
        <w:t>, дискуссии относительно пределов его регулирования продолжались как на международном уровне, так и в большинстве стран</w:t>
      </w:r>
      <w:r w:rsidRPr="00373D40">
        <w:t xml:space="preserve">. </w:t>
      </w:r>
      <w:r w:rsidR="00572929" w:rsidRPr="00373D40">
        <w:t xml:space="preserve">В 2007 году при рассмотрении Европейским судом справедливости дела Викинг и </w:t>
      </w:r>
      <w:proofErr w:type="spellStart"/>
      <w:r w:rsidR="00572929" w:rsidRPr="00373D40">
        <w:t>Лаваль</w:t>
      </w:r>
      <w:proofErr w:type="spellEnd"/>
      <w:r w:rsidR="00572929" w:rsidRPr="00373D40">
        <w:t xml:space="preserve"> был по</w:t>
      </w:r>
      <w:r w:rsidRPr="00373D40">
        <w:t>днят вопрос об отсутствии баланса между экономическими свободами и фундаментальными социальными правами.</w:t>
      </w:r>
      <w:r w:rsidR="00AA32D4" w:rsidRPr="00373D40">
        <w:t xml:space="preserve"> В 2012 году на заседании Комитета Конференции МОТ по применению стандартов представители группы работодателей заявили о том, что считают неприемлемым сформировавшееся понимание права на забастовку как составляющей права на свободу объединения, поскольку оно прямо не закреплено в Конвенции МОТ №87, а Комитет по применению конвенций и рекомендаций выходит за пределы своих полномочий</w:t>
      </w:r>
      <w:r w:rsidR="00A70F71" w:rsidRPr="00373D40">
        <w:t>, интерпретируя Конвенцию МОТ как обязывающую соответствовать стандартам, относящимся к праву на забастовку</w:t>
      </w:r>
      <w:r w:rsidR="00A70F71" w:rsidRPr="00373D40">
        <w:rPr>
          <w:rStyle w:val="a9"/>
        </w:rPr>
        <w:footnoteReference w:id="3"/>
      </w:r>
      <w:r w:rsidR="00A70F71" w:rsidRPr="00373D40">
        <w:t xml:space="preserve">.  Это </w:t>
      </w:r>
      <w:r w:rsidR="00A70F71" w:rsidRPr="00373D40">
        <w:lastRenderedPageBreak/>
        <w:t>послужило основанием к отказу обсуждать на заседании Комитета конференции дела, касающиеся права на забастовку.</w:t>
      </w:r>
    </w:p>
    <w:p w:rsidR="00930D66" w:rsidRPr="00373D40" w:rsidRDefault="00A70F71" w:rsidP="00373D40">
      <w:pPr>
        <w:pStyle w:val="a3"/>
        <w:ind w:firstLine="709"/>
        <w:jc w:val="both"/>
      </w:pPr>
      <w:r w:rsidRPr="00373D40">
        <w:t>Новым вызовом пониманию и признанию права на забастовку</w:t>
      </w:r>
      <w:r w:rsidR="00D04C63" w:rsidRPr="00373D40">
        <w:t xml:space="preserve"> в начале 21 века</w:t>
      </w:r>
      <w:r w:rsidRPr="00373D40">
        <w:t xml:space="preserve"> стали </w:t>
      </w:r>
      <w:r w:rsidR="00930D66" w:rsidRPr="00373D40">
        <w:t xml:space="preserve">забастовки, в ходе которых в отношении бастующих было применено оружие. Во всем мире получили известность </w:t>
      </w:r>
      <w:r w:rsidR="00336200" w:rsidRPr="00373D40">
        <w:t>тра</w:t>
      </w:r>
      <w:r w:rsidR="00930D66" w:rsidRPr="00373D40">
        <w:t>г</w:t>
      </w:r>
      <w:r w:rsidR="00336200" w:rsidRPr="00373D40">
        <w:t xml:space="preserve">ические </w:t>
      </w:r>
      <w:r w:rsidRPr="00373D40">
        <w:t xml:space="preserve">события в Южной Африке, когда во время забастовки на платиновой шахте </w:t>
      </w:r>
      <w:r w:rsidR="00930D66" w:rsidRPr="00373D40">
        <w:t xml:space="preserve">в </w:t>
      </w:r>
      <w:proofErr w:type="spellStart"/>
      <w:r w:rsidR="00930D66" w:rsidRPr="00373D40">
        <w:t>Марикане</w:t>
      </w:r>
      <w:proofErr w:type="spellEnd"/>
      <w:r w:rsidR="00930D66" w:rsidRPr="00373D40">
        <w:t xml:space="preserve"> </w:t>
      </w:r>
      <w:r w:rsidRPr="00373D40">
        <w:t xml:space="preserve">16 августа 2012 года были убиты 34 бастующих шахтера. </w:t>
      </w:r>
      <w:r w:rsidR="00930D66" w:rsidRPr="00373D40">
        <w:t xml:space="preserve">В 2011 году в Казахстане в ходе волнений, возникших в период забастовки </w:t>
      </w:r>
      <w:proofErr w:type="spellStart"/>
      <w:r w:rsidR="00930D66" w:rsidRPr="00373D40">
        <w:t>нефтянников</w:t>
      </w:r>
      <w:proofErr w:type="spellEnd"/>
      <w:r w:rsidR="00930D66" w:rsidRPr="00373D40">
        <w:t xml:space="preserve"> </w:t>
      </w:r>
      <w:r w:rsidR="00930D66" w:rsidRPr="00373D40">
        <w:t xml:space="preserve">дочерних компаний государственной нефтегазовой компании </w:t>
      </w:r>
      <w:r w:rsidR="00930D66" w:rsidRPr="00373D40">
        <w:t>«</w:t>
      </w:r>
      <w:proofErr w:type="spellStart"/>
      <w:r w:rsidR="00930D66" w:rsidRPr="00373D40">
        <w:t>КазМунГаз</w:t>
      </w:r>
      <w:proofErr w:type="spellEnd"/>
      <w:r w:rsidR="00930D66" w:rsidRPr="00373D40">
        <w:t>», были убиты 15 человек, десятки были ранены и арестованы.</w:t>
      </w:r>
      <w:r w:rsidR="00D04C63" w:rsidRPr="00373D40">
        <w:t xml:space="preserve"> </w:t>
      </w:r>
      <w:r w:rsidR="00930D66" w:rsidRPr="00373D40">
        <w:t>Во многих странах происходят процессы, связанные с ограничением</w:t>
      </w:r>
      <w:r w:rsidR="00144111" w:rsidRPr="00373D40">
        <w:t xml:space="preserve"> </w:t>
      </w:r>
      <w:r w:rsidR="00930D66" w:rsidRPr="00373D40">
        <w:t>возможностей использования права на забастовку</w:t>
      </w:r>
      <w:r w:rsidR="00620623" w:rsidRPr="00373D40">
        <w:t xml:space="preserve"> с помощью законодательных и судебных механизмов</w:t>
      </w:r>
      <w:r w:rsidR="00CC0B6D" w:rsidRPr="00373D40">
        <w:t>.</w:t>
      </w:r>
      <w:r w:rsidR="00CC0B6D" w:rsidRPr="00373D40">
        <w:t xml:space="preserve"> </w:t>
      </w:r>
    </w:p>
    <w:p w:rsidR="00D04C63" w:rsidRPr="00373D40" w:rsidRDefault="00D04C63" w:rsidP="00373D40">
      <w:pPr>
        <w:pStyle w:val="a3"/>
        <w:ind w:firstLine="709"/>
        <w:jc w:val="both"/>
      </w:pPr>
      <w:r w:rsidRPr="00373D40">
        <w:t xml:space="preserve">Между тем сами трудовые конфликты, являющиеся основаниями забастовок, </w:t>
      </w:r>
      <w:r w:rsidR="00144111" w:rsidRPr="00373D40">
        <w:t xml:space="preserve">безусловно </w:t>
      </w:r>
      <w:r w:rsidRPr="00373D40">
        <w:t xml:space="preserve">никуда не </w:t>
      </w:r>
      <w:r w:rsidR="00144111" w:rsidRPr="00373D40">
        <w:t xml:space="preserve">исчезли. Более того, в последние годы во многих странах появились серьезные основания для их развития, связанные с кризисными явлениями в экономике, сокращением расходов на оплату труда, введением мер жесткой экономии. </w:t>
      </w:r>
      <w:r w:rsidR="00620623" w:rsidRPr="00373D40">
        <w:t xml:space="preserve">Возникает </w:t>
      </w:r>
      <w:r w:rsidR="00144111" w:rsidRPr="00373D40">
        <w:t xml:space="preserve">вопрос, </w:t>
      </w:r>
      <w:r w:rsidR="00620623" w:rsidRPr="00373D40">
        <w:t>справляются ли существующие правовые механизмы с задачами разрешения этих проблем, коллективных трудовых конфликтов.</w:t>
      </w:r>
    </w:p>
    <w:p w:rsidR="00D3669D" w:rsidRPr="00373D40" w:rsidRDefault="00D3669D" w:rsidP="00373D40">
      <w:pPr>
        <w:pStyle w:val="a3"/>
        <w:ind w:firstLine="709"/>
        <w:jc w:val="both"/>
      </w:pPr>
      <w:r w:rsidRPr="00373D40">
        <w:t xml:space="preserve">Идея этой монографии появилась </w:t>
      </w:r>
      <w:r w:rsidR="00373D40">
        <w:t xml:space="preserve">в результате </w:t>
      </w:r>
      <w:r w:rsidRPr="00373D40">
        <w:t xml:space="preserve">проведения международной научно-практической конференции </w:t>
      </w:r>
      <w:r w:rsidRPr="00373D40">
        <w:t>"Трудовые к</w:t>
      </w:r>
      <w:r w:rsidRPr="00373D40">
        <w:t xml:space="preserve">онфликты в России и за рубежом", </w:t>
      </w:r>
      <w:r w:rsidR="00620623" w:rsidRPr="00373D40">
        <w:t xml:space="preserve">состоявшейся </w:t>
      </w:r>
      <w:r w:rsidRPr="00373D40">
        <w:t>4 ноября 2014 г</w:t>
      </w:r>
      <w:r w:rsidRPr="00373D40">
        <w:t>ода</w:t>
      </w:r>
      <w:r w:rsidRPr="00373D40">
        <w:t xml:space="preserve"> </w:t>
      </w:r>
      <w:r w:rsidR="00373D40">
        <w:t xml:space="preserve">и организованной </w:t>
      </w:r>
      <w:r w:rsidRPr="00373D40">
        <w:t>совместно</w:t>
      </w:r>
      <w:r w:rsidR="00620623" w:rsidRPr="00373D40">
        <w:t xml:space="preserve"> </w:t>
      </w:r>
      <w:r w:rsidR="00620623" w:rsidRPr="00373D40">
        <w:t>Национальным исследовательским университетом «Высшая школа экономики»</w:t>
      </w:r>
      <w:r w:rsidR="00620623" w:rsidRPr="00373D40">
        <w:t>,</w:t>
      </w:r>
      <w:r w:rsidRPr="00373D40">
        <w:t xml:space="preserve"> </w:t>
      </w:r>
      <w:r w:rsidRPr="00373D40">
        <w:t>Центр</w:t>
      </w:r>
      <w:r w:rsidRPr="00373D40">
        <w:t>ом</w:t>
      </w:r>
      <w:r w:rsidRPr="00373D40">
        <w:t xml:space="preserve"> социально-трудовых прав</w:t>
      </w:r>
      <w:r w:rsidR="00620623" w:rsidRPr="00373D40">
        <w:t xml:space="preserve"> и</w:t>
      </w:r>
      <w:r w:rsidRPr="00373D40">
        <w:t xml:space="preserve"> </w:t>
      </w:r>
      <w:r w:rsidR="00373D40">
        <w:t xml:space="preserve">Московским представительством </w:t>
      </w:r>
      <w:r w:rsidRPr="00373D40">
        <w:t xml:space="preserve">Фондом Фридриха </w:t>
      </w:r>
      <w:proofErr w:type="spellStart"/>
      <w:r w:rsidRPr="00373D40">
        <w:t>Эберта</w:t>
      </w:r>
      <w:proofErr w:type="spellEnd"/>
      <w:r w:rsidRPr="00373D40">
        <w:rPr>
          <w:rStyle w:val="a9"/>
        </w:rPr>
        <w:footnoteReference w:id="4"/>
      </w:r>
      <w:r w:rsidRPr="00373D40">
        <w:t>.</w:t>
      </w:r>
      <w:r w:rsidRPr="00373D40">
        <w:t xml:space="preserve"> </w:t>
      </w:r>
      <w:r w:rsidR="00A013AA" w:rsidRPr="00373D40">
        <w:t xml:space="preserve">Задача конференции состояла в том, чтобы </w:t>
      </w:r>
      <w:r w:rsidR="00D05BC3" w:rsidRPr="00373D40">
        <w:t xml:space="preserve">рассмотреть и проанализировать причины возникновения трудовых конфликтов, выявить факторы, которые способствовали бы объективному, справедливому и быстрому решению конфликтов, помочь законодателю зафиксировать эти факторы в правовых нормах. </w:t>
      </w:r>
      <w:r w:rsidRPr="00373D40">
        <w:t xml:space="preserve">Особенность конференции </w:t>
      </w:r>
      <w:r w:rsidR="00373D40">
        <w:t>заключалась в том</w:t>
      </w:r>
      <w:r w:rsidRPr="00373D40">
        <w:t xml:space="preserve">, что для обсуждения коллективных трудовых конфликтов собрались </w:t>
      </w:r>
      <w:r w:rsidR="00084E26" w:rsidRPr="00373D40">
        <w:t xml:space="preserve">практики - </w:t>
      </w:r>
      <w:r w:rsidRPr="00373D40">
        <w:t>представители</w:t>
      </w:r>
      <w:r w:rsidRPr="00373D40">
        <w:t xml:space="preserve"> разных сторон </w:t>
      </w:r>
      <w:r w:rsidRPr="00373D40">
        <w:t xml:space="preserve">социально-трудовых отношений </w:t>
      </w:r>
      <w:r w:rsidR="00A013AA" w:rsidRPr="00373D40">
        <w:t>(</w:t>
      </w:r>
      <w:r w:rsidRPr="00373D40">
        <w:t>профсоюзов, работодателей, государства</w:t>
      </w:r>
      <w:r w:rsidR="00A013AA" w:rsidRPr="00373D40">
        <w:t>)</w:t>
      </w:r>
      <w:r w:rsidRPr="00373D40">
        <w:t xml:space="preserve">, </w:t>
      </w:r>
      <w:r w:rsidR="00084E26" w:rsidRPr="00373D40">
        <w:t xml:space="preserve">а также </w:t>
      </w:r>
      <w:r w:rsidRPr="00373D40">
        <w:t xml:space="preserve">представители академического сообщества </w:t>
      </w:r>
      <w:r w:rsidR="00084E26" w:rsidRPr="00373D40">
        <w:t>– российские и зарубежные эксперты, занимающиеся изучение трудовых споров, коллективных трудовых конфликтов, забастовок.</w:t>
      </w:r>
    </w:p>
    <w:p w:rsidR="00084E26" w:rsidRPr="00373D40" w:rsidRDefault="00A013AA" w:rsidP="00373D40">
      <w:pPr>
        <w:pStyle w:val="a3"/>
        <w:ind w:firstLine="709"/>
        <w:jc w:val="both"/>
      </w:pPr>
      <w:r w:rsidRPr="00373D40">
        <w:t>П</w:t>
      </w:r>
      <w:r w:rsidR="00084E26" w:rsidRPr="00373D40">
        <w:t xml:space="preserve">одход, основанный на привлечении </w:t>
      </w:r>
      <w:r w:rsidRPr="00373D40">
        <w:t xml:space="preserve">и </w:t>
      </w:r>
      <w:r w:rsidR="00084E26" w:rsidRPr="00373D40">
        <w:t>исследователей</w:t>
      </w:r>
      <w:r w:rsidRPr="00373D40">
        <w:t>,</w:t>
      </w:r>
      <w:r w:rsidR="00084E26" w:rsidRPr="00373D40">
        <w:t xml:space="preserve"> и практиков, мы сохранили и при работе над этой книгой. Ее </w:t>
      </w:r>
      <w:r w:rsidR="00373D40">
        <w:t xml:space="preserve">специфика </w:t>
      </w:r>
      <w:r w:rsidR="00084E26" w:rsidRPr="00373D40">
        <w:t xml:space="preserve">состоит в том, что это первое в России за многие годы исследование коллективных трудовых конфликтов, являющееся междисциплинарным и международным. </w:t>
      </w:r>
      <w:r w:rsidR="003955C4" w:rsidRPr="00373D40">
        <w:t xml:space="preserve">Во-первых, </w:t>
      </w:r>
      <w:r w:rsidR="00620623" w:rsidRPr="00373D40">
        <w:t xml:space="preserve">материалы подготовлены </w:t>
      </w:r>
      <w:r w:rsidR="00EF4B8B" w:rsidRPr="00373D40">
        <w:t xml:space="preserve">как </w:t>
      </w:r>
      <w:r w:rsidR="00084E26" w:rsidRPr="00373D40">
        <w:t>исследователями-правоведами с позиций правового анализа норм российского законодательства и правоприменительной практики, их сопоставления в некоторой части с международными трудовыми</w:t>
      </w:r>
      <w:r w:rsidR="00EF4B8B" w:rsidRPr="00373D40">
        <w:t xml:space="preserve"> стандартами, так и исследователями положения на практике – социологами, экономистами, политологами. Второй особенностью монографии является ее международная часть: к участию в </w:t>
      </w:r>
      <w:r w:rsidR="003955C4" w:rsidRPr="00373D40">
        <w:t xml:space="preserve">работе </w:t>
      </w:r>
      <w:r w:rsidR="00EF4B8B" w:rsidRPr="00373D40">
        <w:t xml:space="preserve">были приглашены исследователи </w:t>
      </w:r>
      <w:r w:rsidR="00620623" w:rsidRPr="00373D40">
        <w:t xml:space="preserve">коллективных трудовых конфликтов и </w:t>
      </w:r>
      <w:r w:rsidR="00EF4B8B" w:rsidRPr="00373D40">
        <w:t>забастово</w:t>
      </w:r>
      <w:r w:rsidR="003955C4" w:rsidRPr="00373D40">
        <w:t>чного движения</w:t>
      </w:r>
      <w:r w:rsidR="00EF4B8B" w:rsidRPr="00373D40">
        <w:t xml:space="preserve"> в зарубежных странах</w:t>
      </w:r>
      <w:r w:rsidR="003955C4" w:rsidRPr="00373D40">
        <w:t xml:space="preserve">. </w:t>
      </w:r>
      <w:r w:rsidR="000D228D" w:rsidRPr="00373D40">
        <w:t>Третьей особенностью является то, что</w:t>
      </w:r>
      <w:r w:rsidR="003955C4" w:rsidRPr="00373D40">
        <w:t xml:space="preserve"> отдельно слово предоставлено </w:t>
      </w:r>
      <w:r w:rsidR="000D228D" w:rsidRPr="00373D40">
        <w:t>непосредственным участникам различных коллективных трудовых конфликтов</w:t>
      </w:r>
      <w:r w:rsidR="003955C4" w:rsidRPr="00373D40">
        <w:t xml:space="preserve">: в приложение включены высказывания представителей профсоюзов, отражающие их видение состояния дел с использованием коллективных трудовых споров и забастовок на практике в России. </w:t>
      </w:r>
    </w:p>
    <w:p w:rsidR="00373D40" w:rsidRDefault="00084E26" w:rsidP="00373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D40">
        <w:rPr>
          <w:rFonts w:ascii="Times New Roman" w:hAnsi="Times New Roman" w:cs="Times New Roman"/>
          <w:sz w:val="24"/>
          <w:szCs w:val="24"/>
        </w:rPr>
        <w:lastRenderedPageBreak/>
        <w:t>Перв</w:t>
      </w:r>
      <w:r w:rsidR="00A013AA" w:rsidRPr="00373D40">
        <w:rPr>
          <w:rFonts w:ascii="Times New Roman" w:hAnsi="Times New Roman" w:cs="Times New Roman"/>
          <w:sz w:val="24"/>
          <w:szCs w:val="24"/>
        </w:rPr>
        <w:t>ый раздел</w:t>
      </w:r>
      <w:r w:rsidRPr="00373D40">
        <w:rPr>
          <w:rFonts w:ascii="Times New Roman" w:hAnsi="Times New Roman" w:cs="Times New Roman"/>
          <w:sz w:val="24"/>
          <w:szCs w:val="24"/>
        </w:rPr>
        <w:t xml:space="preserve"> </w:t>
      </w:r>
      <w:r w:rsidR="00A013AA" w:rsidRPr="00373D40">
        <w:rPr>
          <w:rFonts w:ascii="Times New Roman" w:hAnsi="Times New Roman" w:cs="Times New Roman"/>
          <w:sz w:val="24"/>
          <w:szCs w:val="24"/>
        </w:rPr>
        <w:t>«</w:t>
      </w:r>
      <w:r w:rsidR="00A013AA" w:rsidRPr="00373D40">
        <w:rPr>
          <w:rFonts w:ascii="Times New Roman" w:hAnsi="Times New Roman" w:cs="Times New Roman"/>
          <w:b/>
          <w:sz w:val="24"/>
          <w:szCs w:val="24"/>
        </w:rPr>
        <w:t>Трудовые конфликты, коллективные трудовые споры и забастовки в России: проблемы правового регулирования и вызовы практики</w:t>
      </w:r>
      <w:r w:rsidR="00A013AA" w:rsidRPr="00373D40">
        <w:rPr>
          <w:rFonts w:ascii="Times New Roman" w:hAnsi="Times New Roman" w:cs="Times New Roman"/>
          <w:sz w:val="24"/>
          <w:szCs w:val="24"/>
        </w:rPr>
        <w:t>» посвящен</w:t>
      </w:r>
      <w:r w:rsidRPr="00373D40">
        <w:rPr>
          <w:rFonts w:ascii="Times New Roman" w:hAnsi="Times New Roman" w:cs="Times New Roman"/>
          <w:sz w:val="24"/>
          <w:szCs w:val="24"/>
        </w:rPr>
        <w:t xml:space="preserve"> анализу коллективных трудовых споров</w:t>
      </w:r>
      <w:r w:rsidR="00EF4B8B" w:rsidRPr="00373D40">
        <w:rPr>
          <w:rFonts w:ascii="Times New Roman" w:hAnsi="Times New Roman" w:cs="Times New Roman"/>
          <w:sz w:val="24"/>
          <w:szCs w:val="24"/>
        </w:rPr>
        <w:t>, забастовок</w:t>
      </w:r>
      <w:r w:rsidRPr="00373D40">
        <w:rPr>
          <w:rFonts w:ascii="Times New Roman" w:hAnsi="Times New Roman" w:cs="Times New Roman"/>
          <w:sz w:val="24"/>
          <w:szCs w:val="24"/>
        </w:rPr>
        <w:t xml:space="preserve"> и трудовых протестов</w:t>
      </w:r>
      <w:r w:rsidR="00EF4B8B" w:rsidRPr="00373D40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373D40">
        <w:rPr>
          <w:rFonts w:ascii="Times New Roman" w:hAnsi="Times New Roman" w:cs="Times New Roman"/>
          <w:sz w:val="24"/>
          <w:szCs w:val="24"/>
        </w:rPr>
        <w:t xml:space="preserve">.  </w:t>
      </w:r>
      <w:r w:rsidR="00EF4B8B" w:rsidRPr="00373D40">
        <w:rPr>
          <w:rFonts w:ascii="Times New Roman" w:hAnsi="Times New Roman" w:cs="Times New Roman"/>
          <w:sz w:val="24"/>
          <w:szCs w:val="24"/>
        </w:rPr>
        <w:t xml:space="preserve">Ее открывает глава, </w:t>
      </w:r>
      <w:r w:rsidR="00A013AA" w:rsidRPr="00373D40">
        <w:rPr>
          <w:rFonts w:ascii="Times New Roman" w:hAnsi="Times New Roman" w:cs="Times New Roman"/>
          <w:sz w:val="24"/>
          <w:szCs w:val="24"/>
        </w:rPr>
        <w:t xml:space="preserve">посвященная анализу трудовых протестов, </w:t>
      </w:r>
      <w:r w:rsidR="00EF4B8B" w:rsidRPr="00373D40">
        <w:rPr>
          <w:rFonts w:ascii="Times New Roman" w:hAnsi="Times New Roman" w:cs="Times New Roman"/>
          <w:sz w:val="24"/>
          <w:szCs w:val="24"/>
        </w:rPr>
        <w:t xml:space="preserve">основанная на данных мониторинга, который с 2008 года ведет Центр социально-трудовых прав по материалам, находящимся в открытом доступе. Под протестом при этом понимается </w:t>
      </w:r>
      <w:r w:rsidR="00EF4B8B" w:rsidRPr="00373D40">
        <w:rPr>
          <w:rFonts w:ascii="Times New Roman" w:hAnsi="Times New Roman" w:cs="Times New Roman"/>
          <w:sz w:val="24"/>
          <w:szCs w:val="24"/>
        </w:rPr>
        <w:t xml:space="preserve">открытая форма трудового конфликта, в рамках которого работники предпринимают действия, направленные на сохранение или улучшение своего положения </w:t>
      </w:r>
      <w:r w:rsidR="00EF4B8B" w:rsidRPr="00373D40">
        <w:rPr>
          <w:rFonts w:ascii="Times New Roman" w:hAnsi="Times New Roman" w:cs="Times New Roman"/>
          <w:sz w:val="24"/>
          <w:szCs w:val="24"/>
        </w:rPr>
        <w:t>в трудовых отношениях</w:t>
      </w:r>
      <w:r w:rsidR="00EF4B8B" w:rsidRPr="00373D40">
        <w:rPr>
          <w:rFonts w:ascii="Times New Roman" w:hAnsi="Times New Roman" w:cs="Times New Roman"/>
          <w:sz w:val="24"/>
          <w:szCs w:val="24"/>
        </w:rPr>
        <w:t xml:space="preserve">, </w:t>
      </w:r>
      <w:r w:rsidR="00EF4B8B" w:rsidRPr="00373D40">
        <w:rPr>
          <w:rFonts w:ascii="Times New Roman" w:hAnsi="Times New Roman" w:cs="Times New Roman"/>
          <w:sz w:val="24"/>
          <w:szCs w:val="24"/>
        </w:rPr>
        <w:t xml:space="preserve">используя различные методы </w:t>
      </w:r>
      <w:r w:rsidR="003955C4" w:rsidRPr="00373D40">
        <w:rPr>
          <w:rFonts w:ascii="Times New Roman" w:hAnsi="Times New Roman" w:cs="Times New Roman"/>
          <w:sz w:val="24"/>
          <w:szCs w:val="24"/>
        </w:rPr>
        <w:t xml:space="preserve">воздействия. 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Делается вывод о том, что </w:t>
      </w:r>
      <w:r w:rsidR="00C469F5" w:rsidRPr="00373D40">
        <w:rPr>
          <w:rFonts w:ascii="Times New Roman" w:hAnsi="Times New Roman" w:cs="Times New Roman"/>
          <w:sz w:val="24"/>
          <w:szCs w:val="24"/>
        </w:rPr>
        <w:t>трудовы</w:t>
      </w:r>
      <w:r w:rsidR="00C469F5" w:rsidRPr="00373D40">
        <w:rPr>
          <w:rFonts w:ascii="Times New Roman" w:hAnsi="Times New Roman" w:cs="Times New Roman"/>
          <w:sz w:val="24"/>
          <w:szCs w:val="24"/>
        </w:rPr>
        <w:t>е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 протест</w:t>
      </w:r>
      <w:r w:rsidR="00C469F5" w:rsidRPr="00373D40">
        <w:rPr>
          <w:rFonts w:ascii="Times New Roman" w:hAnsi="Times New Roman" w:cs="Times New Roman"/>
          <w:sz w:val="24"/>
          <w:szCs w:val="24"/>
        </w:rPr>
        <w:t>ы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 практически никак не связаны с 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механизмами разрешения трудовых споров, урегулированных законодательством: в целом 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работники используют общегражданские нормы проведения массовых мероприятий либо прибегают к действиям, </w:t>
      </w:r>
      <w:r w:rsidR="00C469F5" w:rsidRPr="00373D40">
        <w:rPr>
          <w:rFonts w:ascii="Times New Roman" w:hAnsi="Times New Roman" w:cs="Times New Roman"/>
          <w:sz w:val="24"/>
          <w:szCs w:val="24"/>
        </w:rPr>
        <w:t>не укладывающимся в рамки урегулированных методов разрешения конфликтов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B8B" w:rsidRPr="00373D40" w:rsidRDefault="003955C4" w:rsidP="00373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D40">
        <w:rPr>
          <w:rFonts w:ascii="Times New Roman" w:hAnsi="Times New Roman" w:cs="Times New Roman"/>
          <w:sz w:val="24"/>
          <w:szCs w:val="24"/>
        </w:rPr>
        <w:t>В следующих главах первого раздела рассматриваются правовые вопросы отдельных аспектов возбуждения и разрешения коллективного трудового спора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, </w:t>
      </w:r>
      <w:r w:rsidR="00C469F5" w:rsidRPr="00373D40">
        <w:rPr>
          <w:rFonts w:ascii="Times New Roman" w:hAnsi="Times New Roman" w:cs="Times New Roman"/>
          <w:sz w:val="24"/>
          <w:szCs w:val="24"/>
        </w:rPr>
        <w:t>регулирования и проведения примирительных процедур</w:t>
      </w:r>
      <w:r w:rsidR="00A013AA" w:rsidRPr="00373D40">
        <w:rPr>
          <w:rFonts w:ascii="Times New Roman" w:hAnsi="Times New Roman" w:cs="Times New Roman"/>
          <w:sz w:val="24"/>
          <w:szCs w:val="24"/>
        </w:rPr>
        <w:t xml:space="preserve">: 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принципы разрешения коллективных трудовых споров; </w:t>
      </w:r>
      <w:r w:rsidR="000D228D" w:rsidRPr="00373D40">
        <w:rPr>
          <w:rFonts w:ascii="Times New Roman" w:hAnsi="Times New Roman" w:cs="Times New Roman"/>
          <w:sz w:val="24"/>
          <w:szCs w:val="24"/>
        </w:rPr>
        <w:t xml:space="preserve">виды разногласий, которые могут составлять предмет коллективных трудовых споров; </w:t>
      </w:r>
      <w:r w:rsidR="00C469F5" w:rsidRPr="00373D40">
        <w:rPr>
          <w:rFonts w:ascii="Times New Roman" w:hAnsi="Times New Roman" w:cs="Times New Roman"/>
          <w:sz w:val="24"/>
          <w:szCs w:val="24"/>
        </w:rPr>
        <w:t>применение примирительных процедур для разрешения коллективных трудовых споров, в частности, посредничества, трудового арбитража, исследуется место медиации при разрешении коллективных трудовых споров</w:t>
      </w:r>
      <w:r w:rsidR="00A013AA" w:rsidRPr="00373D40">
        <w:rPr>
          <w:rFonts w:ascii="Times New Roman" w:hAnsi="Times New Roman" w:cs="Times New Roman"/>
          <w:sz w:val="24"/>
          <w:szCs w:val="24"/>
        </w:rPr>
        <w:t xml:space="preserve">. Две главы посвящены исследованию </w:t>
      </w:r>
      <w:r w:rsidRPr="00373D40">
        <w:rPr>
          <w:rFonts w:ascii="Times New Roman" w:hAnsi="Times New Roman" w:cs="Times New Roman"/>
          <w:sz w:val="24"/>
          <w:szCs w:val="24"/>
        </w:rPr>
        <w:t xml:space="preserve">пределов признания </w:t>
      </w:r>
      <w:r w:rsidR="00C469F5" w:rsidRPr="00373D40">
        <w:rPr>
          <w:rFonts w:ascii="Times New Roman" w:hAnsi="Times New Roman" w:cs="Times New Roman"/>
          <w:sz w:val="24"/>
          <w:szCs w:val="24"/>
        </w:rPr>
        <w:t>и</w:t>
      </w:r>
      <w:r w:rsidRPr="00373D40">
        <w:rPr>
          <w:rFonts w:ascii="Times New Roman" w:hAnsi="Times New Roman" w:cs="Times New Roman"/>
          <w:sz w:val="24"/>
          <w:szCs w:val="24"/>
        </w:rPr>
        <w:t xml:space="preserve"> использования права на забастовку</w:t>
      </w:r>
      <w:r w:rsidR="00A013AA" w:rsidRPr="00373D40">
        <w:rPr>
          <w:rFonts w:ascii="Times New Roman" w:hAnsi="Times New Roman" w:cs="Times New Roman"/>
          <w:sz w:val="24"/>
          <w:szCs w:val="24"/>
        </w:rPr>
        <w:t xml:space="preserve">: в них рассматриваются 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конституционные аспекты права на забастовку и </w:t>
      </w:r>
      <w:r w:rsidR="00A013AA" w:rsidRPr="00373D4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C469F5" w:rsidRPr="00373D40">
        <w:rPr>
          <w:rFonts w:ascii="Times New Roman" w:hAnsi="Times New Roman" w:cs="Times New Roman"/>
          <w:sz w:val="24"/>
          <w:szCs w:val="24"/>
        </w:rPr>
        <w:t>создани</w:t>
      </w:r>
      <w:r w:rsidR="00A013AA" w:rsidRPr="00373D40">
        <w:rPr>
          <w:rFonts w:ascii="Times New Roman" w:hAnsi="Times New Roman" w:cs="Times New Roman"/>
          <w:sz w:val="24"/>
          <w:szCs w:val="24"/>
        </w:rPr>
        <w:t>я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 забастовочных фондов</w:t>
      </w:r>
      <w:r w:rsidRPr="00373D40">
        <w:rPr>
          <w:rFonts w:ascii="Times New Roman" w:hAnsi="Times New Roman" w:cs="Times New Roman"/>
          <w:sz w:val="24"/>
          <w:szCs w:val="24"/>
        </w:rPr>
        <w:t xml:space="preserve">. В девятой главе предпринята попытка критического анализа </w:t>
      </w:r>
      <w:r w:rsidR="00C469F5" w:rsidRPr="00373D40">
        <w:rPr>
          <w:rFonts w:ascii="Times New Roman" w:hAnsi="Times New Roman" w:cs="Times New Roman"/>
          <w:sz w:val="24"/>
          <w:szCs w:val="24"/>
        </w:rPr>
        <w:t xml:space="preserve">эффективности предусмотренных законодательством механизмов возбуждения и разрешения коллективных трудовых споров и </w:t>
      </w:r>
      <w:r w:rsidR="000D228D" w:rsidRPr="00373D40">
        <w:rPr>
          <w:rFonts w:ascii="Times New Roman" w:hAnsi="Times New Roman" w:cs="Times New Roman"/>
          <w:sz w:val="24"/>
          <w:szCs w:val="24"/>
        </w:rPr>
        <w:t>проведения забастовок</w:t>
      </w:r>
      <w:r w:rsidR="00FE005C" w:rsidRPr="00373D40">
        <w:rPr>
          <w:rFonts w:ascii="Times New Roman" w:hAnsi="Times New Roman" w:cs="Times New Roman"/>
          <w:sz w:val="24"/>
          <w:szCs w:val="24"/>
        </w:rPr>
        <w:t xml:space="preserve">. Она </w:t>
      </w:r>
      <w:r w:rsidR="000D228D" w:rsidRPr="00373D40">
        <w:rPr>
          <w:rFonts w:ascii="Times New Roman" w:hAnsi="Times New Roman" w:cs="Times New Roman"/>
          <w:sz w:val="24"/>
          <w:szCs w:val="24"/>
        </w:rPr>
        <w:t>основан</w:t>
      </w:r>
      <w:r w:rsidR="00FE005C" w:rsidRPr="00373D40">
        <w:rPr>
          <w:rFonts w:ascii="Times New Roman" w:hAnsi="Times New Roman" w:cs="Times New Roman"/>
          <w:sz w:val="24"/>
          <w:szCs w:val="24"/>
        </w:rPr>
        <w:t>а, с одной стороны,</w:t>
      </w:r>
      <w:r w:rsidR="000D228D" w:rsidRPr="00373D40">
        <w:rPr>
          <w:rFonts w:ascii="Times New Roman" w:hAnsi="Times New Roman" w:cs="Times New Roman"/>
          <w:sz w:val="24"/>
          <w:szCs w:val="24"/>
        </w:rPr>
        <w:t xml:space="preserve"> на сопоставлении и анализе, существующей статистики в этой сфере - коллективных трудовых споров; забастовок; рассмотренных судами РФ дел о признании забастовок незаконными</w:t>
      </w:r>
      <w:r w:rsidR="00FE005C" w:rsidRPr="00373D40">
        <w:rPr>
          <w:rFonts w:ascii="Times New Roman" w:hAnsi="Times New Roman" w:cs="Times New Roman"/>
          <w:sz w:val="24"/>
          <w:szCs w:val="24"/>
        </w:rPr>
        <w:t xml:space="preserve">; коллективных трудовых протестов и коллективных трудовых конфликтов. С другой стороны, в ее основу положен анализ тактики использования обращений в суд в процессе разрешения коллективных трудовых споров и проведения забастовок, а также массива правовых позиций судов по делам о признании забастовок незаконными. </w:t>
      </w:r>
    </w:p>
    <w:p w:rsidR="004A745C" w:rsidRPr="00373D40" w:rsidRDefault="004A745C" w:rsidP="00373D40">
      <w:pPr>
        <w:pStyle w:val="a3"/>
        <w:ind w:firstLine="709"/>
        <w:jc w:val="both"/>
      </w:pPr>
      <w:r w:rsidRPr="00373D40">
        <w:t xml:space="preserve">Во втором разделе </w:t>
      </w:r>
      <w:r w:rsidR="00A013AA" w:rsidRPr="00373D40">
        <w:t>«</w:t>
      </w:r>
      <w:r w:rsidR="00A013AA" w:rsidRPr="00373D40">
        <w:rPr>
          <w:b/>
        </w:rPr>
        <w:t>Трудовые конфликты и забастовки: глобальный контекст</w:t>
      </w:r>
      <w:r w:rsidR="00A013AA" w:rsidRPr="00373D40">
        <w:rPr>
          <w:b/>
        </w:rPr>
        <w:t xml:space="preserve">» </w:t>
      </w:r>
      <w:r w:rsidR="00A013AA" w:rsidRPr="00373D40">
        <w:t xml:space="preserve">включены </w:t>
      </w:r>
      <w:r w:rsidR="005E6473" w:rsidRPr="00373D40">
        <w:t xml:space="preserve">пять </w:t>
      </w:r>
      <w:r w:rsidR="00A013AA" w:rsidRPr="00373D40">
        <w:t xml:space="preserve">глав, </w:t>
      </w:r>
      <w:r w:rsidR="005E6473" w:rsidRPr="00373D40">
        <w:t xml:space="preserve">подготовленных </w:t>
      </w:r>
      <w:r w:rsidR="00A013AA" w:rsidRPr="00373D40">
        <w:t>зарубежными исследователями, посвященные анализу современного состояния коллективных трудовых протестов и забастовок в Германии</w:t>
      </w:r>
      <w:r w:rsidR="00D72270" w:rsidRPr="00373D40">
        <w:t xml:space="preserve"> («</w:t>
      </w:r>
      <w:r w:rsidR="00D72270" w:rsidRPr="00373D40">
        <w:t>Политика экономии, протест трудящихся и волна забастовок 2015 г. в Германии</w:t>
      </w:r>
      <w:r w:rsidR="00D72270" w:rsidRPr="00373D40">
        <w:t>»)</w:t>
      </w:r>
      <w:r w:rsidR="00A013AA" w:rsidRPr="00373D40">
        <w:t>, Великобритании (глава «</w:t>
      </w:r>
      <w:r w:rsidR="00A013AA" w:rsidRPr="00373D40">
        <w:rPr>
          <w:bCs/>
        </w:rPr>
        <w:t>Забастовочная политика: об изменениях в динамике политической борьбы в Великобритании</w:t>
      </w:r>
      <w:r w:rsidR="00A013AA" w:rsidRPr="00373D40">
        <w:rPr>
          <w:bCs/>
        </w:rPr>
        <w:t>»), Испании («</w:t>
      </w:r>
      <w:r w:rsidR="00A013AA" w:rsidRPr="00373D40">
        <w:t>Экономия и сопротивление рабочего движения: изменение формы забастовок в Испании</w:t>
      </w:r>
      <w:r w:rsidR="00A013AA" w:rsidRPr="00373D40">
        <w:t>»), Южно-</w:t>
      </w:r>
      <w:proofErr w:type="spellStart"/>
      <w:r w:rsidR="00A013AA" w:rsidRPr="00373D40">
        <w:t>Африкаеской</w:t>
      </w:r>
      <w:proofErr w:type="spellEnd"/>
      <w:r w:rsidR="00A013AA" w:rsidRPr="00373D40">
        <w:t xml:space="preserve"> республике («</w:t>
      </w:r>
      <w:r w:rsidR="00A013AA" w:rsidRPr="00373D40">
        <w:rPr>
          <w:bCs/>
        </w:rPr>
        <w:t>После «</w:t>
      </w:r>
      <w:proofErr w:type="spellStart"/>
      <w:r w:rsidR="00A013AA" w:rsidRPr="00373D40">
        <w:rPr>
          <w:bCs/>
        </w:rPr>
        <w:t>Мариканы</w:t>
      </w:r>
      <w:proofErr w:type="spellEnd"/>
      <w:r w:rsidR="00A013AA" w:rsidRPr="00373D40">
        <w:rPr>
          <w:bCs/>
        </w:rPr>
        <w:t>»: Новая динамика забастовок в Южной Африке</w:t>
      </w:r>
      <w:r w:rsidR="00A013AA" w:rsidRPr="00373D40">
        <w:rPr>
          <w:bCs/>
        </w:rPr>
        <w:t>») и Китае («</w:t>
      </w:r>
      <w:r w:rsidR="00A013AA" w:rsidRPr="00373D40">
        <w:t>Еще один март: рабочее движение в Китае</w:t>
      </w:r>
      <w:r w:rsidR="00A013AA" w:rsidRPr="00373D40">
        <w:t xml:space="preserve">»). </w:t>
      </w:r>
      <w:r w:rsidR="00373D40">
        <w:t xml:space="preserve">Выбор стран был обусловлен </w:t>
      </w:r>
    </w:p>
    <w:p w:rsidR="00373D40" w:rsidRDefault="00D72270" w:rsidP="0037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D40">
        <w:rPr>
          <w:rFonts w:ascii="Times New Roman" w:hAnsi="Times New Roman" w:cs="Times New Roman"/>
          <w:sz w:val="24"/>
          <w:szCs w:val="24"/>
        </w:rPr>
        <w:t>В приложени</w:t>
      </w:r>
      <w:r w:rsidR="005E6473" w:rsidRPr="00373D40">
        <w:rPr>
          <w:rFonts w:ascii="Times New Roman" w:hAnsi="Times New Roman" w:cs="Times New Roman"/>
          <w:sz w:val="24"/>
          <w:szCs w:val="24"/>
        </w:rPr>
        <w:t>е</w:t>
      </w:r>
      <w:r w:rsidRPr="00373D40">
        <w:rPr>
          <w:rFonts w:ascii="Times New Roman" w:hAnsi="Times New Roman" w:cs="Times New Roman"/>
          <w:sz w:val="24"/>
          <w:szCs w:val="24"/>
        </w:rPr>
        <w:t xml:space="preserve"> </w:t>
      </w:r>
      <w:r w:rsidRPr="00373D40">
        <w:rPr>
          <w:rFonts w:ascii="Times New Roman" w:hAnsi="Times New Roman" w:cs="Times New Roman"/>
          <w:b/>
          <w:sz w:val="24"/>
          <w:szCs w:val="24"/>
        </w:rPr>
        <w:t>«</w:t>
      </w:r>
      <w:r w:rsidRPr="00373D40">
        <w:rPr>
          <w:rFonts w:ascii="Times New Roman" w:hAnsi="Times New Roman" w:cs="Times New Roman"/>
          <w:b/>
          <w:sz w:val="24"/>
          <w:szCs w:val="24"/>
        </w:rPr>
        <w:t>Коллективные трудовые споры и забастовки: возможности использования механизмов и их эффективность глазами представителей российских профсоюзов</w:t>
      </w:r>
      <w:r w:rsidRPr="00373D40">
        <w:rPr>
          <w:rFonts w:ascii="Times New Roman" w:hAnsi="Times New Roman" w:cs="Times New Roman"/>
          <w:b/>
          <w:sz w:val="24"/>
          <w:szCs w:val="24"/>
        </w:rPr>
        <w:t>»</w:t>
      </w:r>
      <w:r w:rsidRPr="00373D40">
        <w:rPr>
          <w:rFonts w:ascii="Times New Roman" w:hAnsi="Times New Roman" w:cs="Times New Roman"/>
          <w:sz w:val="24"/>
          <w:szCs w:val="24"/>
        </w:rPr>
        <w:t xml:space="preserve"> </w:t>
      </w:r>
      <w:r w:rsidR="005E6473" w:rsidRPr="00373D40"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Pr="00373D40">
        <w:rPr>
          <w:rFonts w:ascii="Times New Roman" w:hAnsi="Times New Roman" w:cs="Times New Roman"/>
          <w:sz w:val="24"/>
          <w:szCs w:val="24"/>
        </w:rPr>
        <w:t xml:space="preserve">материалы, подготовленные </w:t>
      </w:r>
      <w:r w:rsidR="008E12DB" w:rsidRPr="00373D40">
        <w:rPr>
          <w:rFonts w:ascii="Times New Roman" w:hAnsi="Times New Roman" w:cs="Times New Roman"/>
          <w:sz w:val="24"/>
          <w:szCs w:val="24"/>
        </w:rPr>
        <w:t xml:space="preserve">представителями профсоюзов, </w:t>
      </w:r>
      <w:r w:rsidR="000B7FB2" w:rsidRPr="00373D40">
        <w:rPr>
          <w:rFonts w:ascii="Times New Roman" w:hAnsi="Times New Roman" w:cs="Times New Roman"/>
          <w:sz w:val="24"/>
          <w:szCs w:val="24"/>
        </w:rPr>
        <w:t>участвовавших в коллективных трудовых конфликтах и забастовках, отражающее их видение того, как эти механизмы работаю</w:t>
      </w:r>
      <w:r w:rsidR="005E6473" w:rsidRPr="00373D40">
        <w:rPr>
          <w:rFonts w:ascii="Times New Roman" w:hAnsi="Times New Roman" w:cs="Times New Roman"/>
          <w:sz w:val="24"/>
          <w:szCs w:val="24"/>
        </w:rPr>
        <w:t xml:space="preserve">т – или не работают - </w:t>
      </w:r>
      <w:r w:rsidR="000B7FB2" w:rsidRPr="00373D40">
        <w:rPr>
          <w:rFonts w:ascii="Times New Roman" w:hAnsi="Times New Roman" w:cs="Times New Roman"/>
          <w:sz w:val="24"/>
          <w:szCs w:val="24"/>
        </w:rPr>
        <w:t xml:space="preserve"> на практике.</w:t>
      </w:r>
      <w:r w:rsidR="005E6473" w:rsidRPr="00373D40">
        <w:rPr>
          <w:rFonts w:ascii="Times New Roman" w:hAnsi="Times New Roman" w:cs="Times New Roman"/>
          <w:sz w:val="24"/>
          <w:szCs w:val="24"/>
        </w:rPr>
        <w:t xml:space="preserve"> К сожалению, нам удалось собрать лишь несколько материалов, хотя мы предложили высказаться широкому кругу представителей профсоюзов и работодателей. В силу разных </w:t>
      </w:r>
      <w:r w:rsidR="005E6473" w:rsidRPr="00373D40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в </w:t>
      </w:r>
      <w:proofErr w:type="spellStart"/>
      <w:r w:rsidR="005E6473" w:rsidRPr="00373D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E6473" w:rsidRPr="00373D40">
        <w:rPr>
          <w:rFonts w:ascii="Times New Roman" w:hAnsi="Times New Roman" w:cs="Times New Roman"/>
          <w:sz w:val="24"/>
          <w:szCs w:val="24"/>
        </w:rPr>
        <w:t xml:space="preserve">. значительной загруженности, не все смогли найти возможность подготовить материалы. И хотя приведенные материалы не представляют исчерпывающую картину видения </w:t>
      </w:r>
      <w:r w:rsidR="00373D40" w:rsidRPr="00373D40">
        <w:rPr>
          <w:rFonts w:ascii="Times New Roman" w:hAnsi="Times New Roman" w:cs="Times New Roman"/>
          <w:sz w:val="24"/>
          <w:szCs w:val="24"/>
        </w:rPr>
        <w:t>трудовых</w:t>
      </w:r>
      <w:r w:rsidR="005E6473" w:rsidRPr="00373D40">
        <w:rPr>
          <w:rFonts w:ascii="Times New Roman" w:hAnsi="Times New Roman" w:cs="Times New Roman"/>
          <w:sz w:val="24"/>
          <w:szCs w:val="24"/>
        </w:rPr>
        <w:t xml:space="preserve"> конфликтов со стороны их участников, мы п</w:t>
      </w:r>
      <w:r w:rsidR="00373D40" w:rsidRPr="00373D40">
        <w:rPr>
          <w:rFonts w:ascii="Times New Roman" w:hAnsi="Times New Roman" w:cs="Times New Roman"/>
          <w:sz w:val="24"/>
          <w:szCs w:val="24"/>
        </w:rPr>
        <w:t>осчитали важным включить их.</w:t>
      </w:r>
    </w:p>
    <w:p w:rsidR="00373D40" w:rsidRDefault="00373D40" w:rsidP="0037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D40" w:rsidRPr="00373D40" w:rsidRDefault="00373D40" w:rsidP="0037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D40">
        <w:rPr>
          <w:rFonts w:ascii="Times New Roman" w:hAnsi="Times New Roman" w:cs="Times New Roman"/>
          <w:i/>
          <w:sz w:val="24"/>
          <w:szCs w:val="24"/>
        </w:rPr>
        <w:t xml:space="preserve">Орловский Ю.П., </w:t>
      </w:r>
      <w:proofErr w:type="spellStart"/>
      <w:r w:rsidRPr="00373D40">
        <w:rPr>
          <w:rFonts w:ascii="Times New Roman" w:hAnsi="Times New Roman" w:cs="Times New Roman"/>
          <w:i/>
          <w:sz w:val="24"/>
          <w:szCs w:val="24"/>
        </w:rPr>
        <w:t>д.ю.н</w:t>
      </w:r>
      <w:proofErr w:type="spellEnd"/>
      <w:r w:rsidRPr="00373D40">
        <w:rPr>
          <w:rFonts w:ascii="Times New Roman" w:hAnsi="Times New Roman" w:cs="Times New Roman"/>
          <w:i/>
          <w:sz w:val="24"/>
          <w:szCs w:val="24"/>
        </w:rPr>
        <w:t>., ординарный профессор, заслуженный деятель науки, научный руководитель кафедры трудового права и права социального обеспечения Национального исследовательского университета «Высшая школа экономики»</w:t>
      </w:r>
    </w:p>
    <w:p w:rsidR="00373D40" w:rsidRPr="00373D40" w:rsidRDefault="00373D40" w:rsidP="0037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D40">
        <w:rPr>
          <w:rFonts w:ascii="Times New Roman" w:hAnsi="Times New Roman" w:cs="Times New Roman"/>
          <w:i/>
          <w:sz w:val="24"/>
          <w:szCs w:val="24"/>
        </w:rPr>
        <w:t xml:space="preserve">Герасимова Е.С., </w:t>
      </w:r>
      <w:proofErr w:type="spellStart"/>
      <w:r w:rsidRPr="00373D40">
        <w:rPr>
          <w:rFonts w:ascii="Times New Roman" w:hAnsi="Times New Roman" w:cs="Times New Roman"/>
          <w:i/>
          <w:sz w:val="24"/>
          <w:szCs w:val="24"/>
        </w:rPr>
        <w:t>к.ю.н</w:t>
      </w:r>
      <w:proofErr w:type="spellEnd"/>
      <w:r w:rsidRPr="00373D40">
        <w:rPr>
          <w:rFonts w:ascii="Times New Roman" w:hAnsi="Times New Roman" w:cs="Times New Roman"/>
          <w:i/>
          <w:sz w:val="24"/>
          <w:szCs w:val="24"/>
        </w:rPr>
        <w:t xml:space="preserve">., заведующая кафедрой трудового права и права социального обеспечения </w:t>
      </w:r>
      <w:r w:rsidRPr="00373D40">
        <w:rPr>
          <w:rFonts w:ascii="Times New Roman" w:hAnsi="Times New Roman" w:cs="Times New Roman"/>
          <w:i/>
          <w:sz w:val="24"/>
          <w:szCs w:val="24"/>
        </w:rPr>
        <w:t>Национального исследовательского университета «Высшая школа экономики»</w:t>
      </w:r>
      <w:r w:rsidRPr="00373D40">
        <w:rPr>
          <w:rFonts w:ascii="Times New Roman" w:hAnsi="Times New Roman" w:cs="Times New Roman"/>
          <w:i/>
          <w:sz w:val="24"/>
          <w:szCs w:val="24"/>
        </w:rPr>
        <w:t>, директор Центра социально-трудовых прав</w:t>
      </w:r>
    </w:p>
    <w:p w:rsidR="00373D40" w:rsidRPr="00373D40" w:rsidRDefault="00373D40" w:rsidP="00373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D40" w:rsidRPr="00373D40" w:rsidRDefault="00373D40" w:rsidP="0037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D40" w:rsidRPr="00373D40" w:rsidRDefault="00373D40" w:rsidP="0037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3D40" w:rsidRPr="0037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12" w:rsidRDefault="00411F12" w:rsidP="00D3669D">
      <w:pPr>
        <w:spacing w:after="0" w:line="240" w:lineRule="auto"/>
      </w:pPr>
      <w:r>
        <w:separator/>
      </w:r>
    </w:p>
  </w:endnote>
  <w:endnote w:type="continuationSeparator" w:id="0">
    <w:p w:rsidR="00411F12" w:rsidRDefault="00411F12" w:rsidP="00D3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12" w:rsidRDefault="00411F12" w:rsidP="00D3669D">
      <w:pPr>
        <w:spacing w:after="0" w:line="240" w:lineRule="auto"/>
      </w:pPr>
      <w:r>
        <w:separator/>
      </w:r>
    </w:p>
  </w:footnote>
  <w:footnote w:type="continuationSeparator" w:id="0">
    <w:p w:rsidR="00411F12" w:rsidRDefault="00411F12" w:rsidP="00D3669D">
      <w:pPr>
        <w:spacing w:after="0" w:line="240" w:lineRule="auto"/>
      </w:pPr>
      <w:r>
        <w:continuationSeparator/>
      </w:r>
    </w:p>
  </w:footnote>
  <w:footnote w:id="1">
    <w:p w:rsidR="0012111D" w:rsidRPr="00373D40" w:rsidRDefault="0012111D" w:rsidP="00AA32D4">
      <w:pPr>
        <w:pStyle w:val="a7"/>
        <w:jc w:val="both"/>
        <w:rPr>
          <w:rFonts w:ascii="Times New Roman" w:hAnsi="Times New Roman" w:cs="Times New Roman"/>
        </w:rPr>
      </w:pPr>
      <w:r w:rsidRPr="00373D40">
        <w:rPr>
          <w:rStyle w:val="a9"/>
          <w:rFonts w:ascii="Times New Roman" w:hAnsi="Times New Roman" w:cs="Times New Roman"/>
        </w:rPr>
        <w:footnoteRef/>
      </w:r>
      <w:r w:rsidRPr="00373D40">
        <w:rPr>
          <w:rFonts w:ascii="Times New Roman" w:hAnsi="Times New Roman" w:cs="Times New Roman"/>
        </w:rPr>
        <w:t xml:space="preserve"> Общий обзор Комитета экспертов по применению Конвенций и Рекомендаций. Доклад </w:t>
      </w:r>
      <w:r w:rsidRPr="00373D40">
        <w:rPr>
          <w:rFonts w:ascii="Times New Roman" w:hAnsi="Times New Roman" w:cs="Times New Roman"/>
          <w:lang w:val="en-US"/>
        </w:rPr>
        <w:t>III</w:t>
      </w:r>
      <w:r w:rsidRPr="00373D40">
        <w:rPr>
          <w:rFonts w:ascii="Times New Roman" w:hAnsi="Times New Roman" w:cs="Times New Roman"/>
        </w:rPr>
        <w:t xml:space="preserve"> (часть 4В), Международная конференция труда, 81-я сессия. Женева, 1994 г., п. 18 и 19.</w:t>
      </w:r>
    </w:p>
  </w:footnote>
  <w:footnote w:id="2">
    <w:p w:rsidR="00AA32D4" w:rsidRPr="00373D40" w:rsidRDefault="00AA32D4">
      <w:pPr>
        <w:pStyle w:val="a7"/>
        <w:rPr>
          <w:rFonts w:ascii="Times New Roman" w:hAnsi="Times New Roman" w:cs="Times New Roman"/>
        </w:rPr>
      </w:pPr>
      <w:r w:rsidRPr="00373D40">
        <w:rPr>
          <w:rStyle w:val="a9"/>
          <w:rFonts w:ascii="Times New Roman" w:hAnsi="Times New Roman" w:cs="Times New Roman"/>
        </w:rPr>
        <w:footnoteRef/>
      </w:r>
      <w:r w:rsidRPr="00373D4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73D40">
        <w:rPr>
          <w:rFonts w:ascii="Times New Roman" w:hAnsi="Times New Roman" w:cs="Times New Roman"/>
          <w:lang w:val="en-US"/>
        </w:rPr>
        <w:t>T.Garaway</w:t>
      </w:r>
      <w:proofErr w:type="spellEnd"/>
      <w:proofErr w:type="gramEnd"/>
      <w:r w:rsidRPr="00373D40">
        <w:rPr>
          <w:rFonts w:ascii="Times New Roman" w:hAnsi="Times New Roman" w:cs="Times New Roman"/>
          <w:lang w:val="en-US"/>
        </w:rPr>
        <w:t xml:space="preserve"> </w:t>
      </w:r>
      <w:r w:rsidR="00373D40">
        <w:rPr>
          <w:rFonts w:ascii="Times New Roman" w:hAnsi="Times New Roman" w:cs="Times New Roman"/>
          <w:lang w:val="en-US"/>
        </w:rPr>
        <w:t>“</w:t>
      </w:r>
      <w:r w:rsidRPr="00373D40">
        <w:rPr>
          <w:rFonts w:ascii="Times New Roman" w:hAnsi="Times New Roman" w:cs="Times New Roman"/>
          <w:lang w:val="en-US"/>
        </w:rPr>
        <w:t xml:space="preserve">Freedom of </w:t>
      </w:r>
      <w:r w:rsidR="00373D40" w:rsidRPr="00373D40">
        <w:rPr>
          <w:rFonts w:ascii="Times New Roman" w:hAnsi="Times New Roman" w:cs="Times New Roman"/>
          <w:lang w:val="en-US"/>
        </w:rPr>
        <w:t>Association</w:t>
      </w:r>
      <w:r w:rsidRPr="00373D40">
        <w:rPr>
          <w:rFonts w:ascii="Times New Roman" w:hAnsi="Times New Roman" w:cs="Times New Roman"/>
          <w:lang w:val="en-US"/>
        </w:rPr>
        <w:t>: Battering Ram or Trojan horse?</w:t>
      </w:r>
      <w:r w:rsidR="00373D40" w:rsidRPr="00373D40">
        <w:rPr>
          <w:rFonts w:ascii="Times New Roman" w:hAnsi="Times New Roman" w:cs="Times New Roman"/>
          <w:lang w:val="en-US"/>
        </w:rPr>
        <w:t>»</w:t>
      </w:r>
      <w:r w:rsidRPr="00373D40">
        <w:rPr>
          <w:rFonts w:ascii="Times New Roman" w:hAnsi="Times New Roman" w:cs="Times New Roman"/>
          <w:lang w:val="en-US"/>
        </w:rPr>
        <w:t xml:space="preserve"> </w:t>
      </w:r>
      <w:r w:rsidRPr="00373D40">
        <w:rPr>
          <w:rFonts w:ascii="Times New Roman" w:hAnsi="Times New Roman" w:cs="Times New Roman"/>
        </w:rPr>
        <w:t xml:space="preserve">2006. 13 (2). </w:t>
      </w:r>
      <w:r w:rsidRPr="00373D40">
        <w:rPr>
          <w:rFonts w:ascii="Times New Roman" w:hAnsi="Times New Roman" w:cs="Times New Roman"/>
          <w:lang w:val="en-US"/>
        </w:rPr>
        <w:t>Review</w:t>
      </w:r>
      <w:r w:rsidRPr="00373D40">
        <w:rPr>
          <w:rFonts w:ascii="Times New Roman" w:hAnsi="Times New Roman" w:cs="Times New Roman"/>
        </w:rPr>
        <w:t xml:space="preserve"> </w:t>
      </w:r>
      <w:r w:rsidRPr="00373D40">
        <w:rPr>
          <w:rFonts w:ascii="Times New Roman" w:hAnsi="Times New Roman" w:cs="Times New Roman"/>
          <w:lang w:val="en-US"/>
        </w:rPr>
        <w:t>of</w:t>
      </w:r>
      <w:r w:rsidRPr="00373D40">
        <w:rPr>
          <w:rFonts w:ascii="Times New Roman" w:hAnsi="Times New Roman" w:cs="Times New Roman"/>
        </w:rPr>
        <w:t xml:space="preserve"> </w:t>
      </w:r>
      <w:r w:rsidRPr="00373D40">
        <w:rPr>
          <w:rFonts w:ascii="Times New Roman" w:hAnsi="Times New Roman" w:cs="Times New Roman"/>
          <w:lang w:val="en-US"/>
        </w:rPr>
        <w:t>International</w:t>
      </w:r>
      <w:r w:rsidRPr="00373D40">
        <w:rPr>
          <w:rFonts w:ascii="Times New Roman" w:hAnsi="Times New Roman" w:cs="Times New Roman"/>
        </w:rPr>
        <w:t xml:space="preserve"> </w:t>
      </w:r>
      <w:r w:rsidRPr="00373D40">
        <w:rPr>
          <w:rFonts w:ascii="Times New Roman" w:hAnsi="Times New Roman" w:cs="Times New Roman"/>
          <w:lang w:val="en-US"/>
        </w:rPr>
        <w:t>Political</w:t>
      </w:r>
      <w:r w:rsidRPr="00373D40">
        <w:rPr>
          <w:rFonts w:ascii="Times New Roman" w:hAnsi="Times New Roman" w:cs="Times New Roman"/>
        </w:rPr>
        <w:t xml:space="preserve"> </w:t>
      </w:r>
      <w:r w:rsidRPr="00373D40">
        <w:rPr>
          <w:rFonts w:ascii="Times New Roman" w:hAnsi="Times New Roman" w:cs="Times New Roman"/>
          <w:lang w:val="en-US"/>
        </w:rPr>
        <w:t>Economy</w:t>
      </w:r>
      <w:r w:rsidRPr="00373D40">
        <w:rPr>
          <w:rFonts w:ascii="Times New Roman" w:hAnsi="Times New Roman" w:cs="Times New Roman"/>
        </w:rPr>
        <w:t xml:space="preserve"> 210</w:t>
      </w:r>
      <w:r w:rsidRPr="00373D40">
        <w:rPr>
          <w:rFonts w:ascii="Times New Roman" w:hAnsi="Times New Roman" w:cs="Times New Roman"/>
          <w:lang w:val="en-US"/>
        </w:rPr>
        <w:t> </w:t>
      </w:r>
      <w:r w:rsidRPr="00373D40">
        <w:rPr>
          <w:rFonts w:ascii="Times New Roman" w:hAnsi="Times New Roman" w:cs="Times New Roman"/>
        </w:rPr>
        <w:t>219.</w:t>
      </w:r>
    </w:p>
  </w:footnote>
  <w:footnote w:id="3">
    <w:p w:rsidR="00A70F71" w:rsidRPr="00373D40" w:rsidRDefault="00A70F71">
      <w:pPr>
        <w:pStyle w:val="a7"/>
        <w:rPr>
          <w:rFonts w:ascii="Times New Roman" w:hAnsi="Times New Roman" w:cs="Times New Roman"/>
          <w:lang w:val="en-US"/>
        </w:rPr>
      </w:pPr>
      <w:r w:rsidRPr="00373D40">
        <w:rPr>
          <w:rStyle w:val="a9"/>
          <w:rFonts w:ascii="Times New Roman" w:hAnsi="Times New Roman" w:cs="Times New Roman"/>
        </w:rPr>
        <w:footnoteRef/>
      </w:r>
      <w:r w:rsidRPr="00373D40">
        <w:rPr>
          <w:rFonts w:ascii="Times New Roman" w:hAnsi="Times New Roman" w:cs="Times New Roman"/>
          <w:lang w:val="en-US"/>
        </w:rPr>
        <w:t xml:space="preserve"> Report of the CCAS, ILC Record of Proceedings (2012), Part I/19.</w:t>
      </w:r>
    </w:p>
  </w:footnote>
  <w:footnote w:id="4">
    <w:p w:rsidR="00D3669D" w:rsidRPr="00373D40" w:rsidRDefault="00D3669D">
      <w:pPr>
        <w:pStyle w:val="a7"/>
        <w:rPr>
          <w:rFonts w:ascii="Times New Roman" w:hAnsi="Times New Roman" w:cs="Times New Roman"/>
        </w:rPr>
      </w:pPr>
      <w:r w:rsidRPr="00373D40">
        <w:rPr>
          <w:rStyle w:val="a9"/>
          <w:rFonts w:ascii="Times New Roman" w:hAnsi="Times New Roman" w:cs="Times New Roman"/>
        </w:rPr>
        <w:footnoteRef/>
      </w:r>
      <w:r w:rsidRPr="00373D40">
        <w:rPr>
          <w:rFonts w:ascii="Times New Roman" w:hAnsi="Times New Roman" w:cs="Times New Roman"/>
        </w:rPr>
        <w:t xml:space="preserve"> Материалы конференции доступны на сайте Центра социально-трудовых прав: http://trudprava.ru/about/events/1267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9D"/>
    <w:rsid w:val="00070557"/>
    <w:rsid w:val="00084E26"/>
    <w:rsid w:val="000B7FB2"/>
    <w:rsid w:val="000D228D"/>
    <w:rsid w:val="0012111D"/>
    <w:rsid w:val="00144111"/>
    <w:rsid w:val="001824E0"/>
    <w:rsid w:val="00336200"/>
    <w:rsid w:val="00373D40"/>
    <w:rsid w:val="003955C4"/>
    <w:rsid w:val="004116DF"/>
    <w:rsid w:val="00411F12"/>
    <w:rsid w:val="004654B8"/>
    <w:rsid w:val="004A745C"/>
    <w:rsid w:val="00572929"/>
    <w:rsid w:val="005E6473"/>
    <w:rsid w:val="00620623"/>
    <w:rsid w:val="0071461C"/>
    <w:rsid w:val="00874740"/>
    <w:rsid w:val="008E12DB"/>
    <w:rsid w:val="00930D66"/>
    <w:rsid w:val="00A013AA"/>
    <w:rsid w:val="00A70F71"/>
    <w:rsid w:val="00A90C4C"/>
    <w:rsid w:val="00A94529"/>
    <w:rsid w:val="00AA32D4"/>
    <w:rsid w:val="00C469F5"/>
    <w:rsid w:val="00CC0B6D"/>
    <w:rsid w:val="00D04C63"/>
    <w:rsid w:val="00D05BC3"/>
    <w:rsid w:val="00D3669D"/>
    <w:rsid w:val="00D72270"/>
    <w:rsid w:val="00EF4B8B"/>
    <w:rsid w:val="00F048C1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BA49"/>
  <w15:chartTrackingRefBased/>
  <w15:docId w15:val="{B619CAD0-6655-45FA-A17D-A4EC490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111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69D"/>
    <w:rPr>
      <w:color w:val="0000FF"/>
      <w:u w:val="single"/>
    </w:rPr>
  </w:style>
  <w:style w:type="character" w:styleId="a5">
    <w:name w:val="Strong"/>
    <w:basedOn w:val="a0"/>
    <w:uiPriority w:val="22"/>
    <w:qFormat/>
    <w:rsid w:val="00D3669D"/>
    <w:rPr>
      <w:b/>
      <w:bCs/>
    </w:rPr>
  </w:style>
  <w:style w:type="character" w:styleId="a6">
    <w:name w:val="Emphasis"/>
    <w:basedOn w:val="a0"/>
    <w:uiPriority w:val="20"/>
    <w:qFormat/>
    <w:rsid w:val="00D3669D"/>
    <w:rPr>
      <w:i/>
      <w:iCs/>
    </w:rPr>
  </w:style>
  <w:style w:type="paragraph" w:styleId="a7">
    <w:name w:val="footnote text"/>
    <w:aliases w:val="stile 1, Знак2,Знак2"/>
    <w:basedOn w:val="a"/>
    <w:link w:val="a8"/>
    <w:uiPriority w:val="99"/>
    <w:unhideWhenUsed/>
    <w:rsid w:val="00D3669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stile 1 Знак, Знак2 Знак,Знак2 Знак"/>
    <w:basedOn w:val="a0"/>
    <w:link w:val="a7"/>
    <w:uiPriority w:val="99"/>
    <w:rsid w:val="00D3669D"/>
    <w:rPr>
      <w:sz w:val="20"/>
      <w:szCs w:val="20"/>
    </w:rPr>
  </w:style>
  <w:style w:type="character" w:styleId="a9">
    <w:name w:val="footnote reference"/>
    <w:aliases w:val="16 Point,Superscript 6 Point,Footnote Reference Number,BVI fnr,nota pié di pagina,ftref,Footnote symbol,Footnote reference number,Times 10 Point,Exposant 3 Point,EN Footnote Reference,note TESI,Footnote Reference Char Char Char"/>
    <w:basedOn w:val="a0"/>
    <w:uiPriority w:val="99"/>
    <w:unhideWhenUsed/>
    <w:rsid w:val="00D3669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211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2C80-06E4-488E-9FD5-8BCB7F1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9470</Characters>
  <Application>Microsoft Office Word</Application>
  <DocSecurity>0</DocSecurity>
  <Lines>157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2016-07-29T05:50:00Z</dcterms:created>
  <dcterms:modified xsi:type="dcterms:W3CDTF">2016-07-29T05:50:00Z</dcterms:modified>
</cp:coreProperties>
</file>