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41" w:rsidRPr="00E42EA6" w:rsidRDefault="009F3041" w:rsidP="00222B9C">
      <w:pPr>
        <w:spacing w:line="360" w:lineRule="auto"/>
        <w:rPr>
          <w:b/>
          <w:sz w:val="28"/>
        </w:rPr>
      </w:pPr>
      <w:bookmarkStart w:id="0" w:name="_Toc291520266"/>
      <w:r w:rsidRPr="00E42EA6">
        <w:rPr>
          <w:sz w:val="28"/>
        </w:rPr>
        <w:t>УДК </w:t>
      </w:r>
    </w:p>
    <w:p w:rsidR="009F3041" w:rsidRPr="00222B9C" w:rsidRDefault="009F3041" w:rsidP="009F3041">
      <w:pPr>
        <w:spacing w:line="360" w:lineRule="auto"/>
        <w:jc w:val="right"/>
        <w:rPr>
          <w:b/>
          <w:i/>
          <w:color w:val="000000" w:themeColor="text1"/>
          <w:sz w:val="28"/>
        </w:rPr>
      </w:pPr>
      <w:r w:rsidRPr="00222B9C">
        <w:rPr>
          <w:b/>
          <w:i/>
          <w:color w:val="000000" w:themeColor="text1"/>
          <w:sz w:val="28"/>
        </w:rPr>
        <w:t>К.С. Кондратьева</w:t>
      </w:r>
      <w:r w:rsidRPr="00222B9C">
        <w:rPr>
          <w:rStyle w:val="a5"/>
          <w:b/>
          <w:i/>
          <w:color w:val="000000" w:themeColor="text1"/>
          <w:sz w:val="28"/>
        </w:rPr>
        <w:footnoteReference w:customMarkFollows="1" w:id="1"/>
        <w:t>*</w:t>
      </w:r>
    </w:p>
    <w:p w:rsidR="009F3041" w:rsidRPr="00222B9C" w:rsidRDefault="009F3041" w:rsidP="009F3041">
      <w:pPr>
        <w:spacing w:line="360" w:lineRule="auto"/>
        <w:ind w:firstLine="567"/>
        <w:jc w:val="right"/>
        <w:rPr>
          <w:b/>
          <w:color w:val="000000" w:themeColor="text1"/>
          <w:sz w:val="28"/>
        </w:rPr>
      </w:pPr>
    </w:p>
    <w:p w:rsidR="00A440B5" w:rsidRPr="00222B9C" w:rsidRDefault="00A440B5" w:rsidP="009F3041">
      <w:pPr>
        <w:spacing w:line="360" w:lineRule="auto"/>
        <w:ind w:firstLine="567"/>
        <w:jc w:val="center"/>
        <w:rPr>
          <w:b/>
          <w:color w:val="000000" w:themeColor="text1"/>
          <w:sz w:val="28"/>
        </w:rPr>
      </w:pPr>
      <w:r w:rsidRPr="00222B9C">
        <w:rPr>
          <w:b/>
          <w:color w:val="000000" w:themeColor="text1"/>
          <w:sz w:val="28"/>
        </w:rPr>
        <w:t xml:space="preserve">СПЕЦИАЛЬНЫЕ ОСНОВАНИЯ ПРИЗНАНИЯ </w:t>
      </w:r>
      <w:proofErr w:type="gramStart"/>
      <w:r w:rsidRPr="00222B9C">
        <w:rPr>
          <w:b/>
          <w:color w:val="000000" w:themeColor="text1"/>
          <w:sz w:val="28"/>
        </w:rPr>
        <w:t>НЕДЕЙСТВИТЕЛЬНЫМИ</w:t>
      </w:r>
      <w:proofErr w:type="gramEnd"/>
      <w:r w:rsidRPr="00222B9C">
        <w:rPr>
          <w:b/>
          <w:color w:val="000000" w:themeColor="text1"/>
          <w:sz w:val="28"/>
        </w:rPr>
        <w:t xml:space="preserve"> СДЕЛОК ДОЛЖНИКА В ПРОЦЕДУРЕ НАБЛЮДЕНИЯ</w:t>
      </w:r>
    </w:p>
    <w:p w:rsidR="009F3041" w:rsidRPr="00222B9C" w:rsidRDefault="009F3041" w:rsidP="009F3041">
      <w:pPr>
        <w:spacing w:line="360" w:lineRule="auto"/>
        <w:rPr>
          <w:color w:val="000000" w:themeColor="text1"/>
          <w:sz w:val="28"/>
        </w:rPr>
      </w:pPr>
    </w:p>
    <w:p w:rsidR="00531437" w:rsidRPr="00222B9C" w:rsidRDefault="009F3041" w:rsidP="0053143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22B9C">
        <w:rPr>
          <w:b/>
          <w:i/>
          <w:color w:val="000000" w:themeColor="text1"/>
          <w:sz w:val="28"/>
        </w:rPr>
        <w:t>Аннотация</w:t>
      </w:r>
      <w:r w:rsidR="00531437" w:rsidRPr="00222B9C">
        <w:rPr>
          <w:color w:val="000000" w:themeColor="text1"/>
          <w:sz w:val="28"/>
        </w:rPr>
        <w:t xml:space="preserve">: в статье автор изучил порядок </w:t>
      </w:r>
      <w:r w:rsidR="00531437" w:rsidRPr="00222B9C">
        <w:rPr>
          <w:color w:val="000000" w:themeColor="text1"/>
          <w:sz w:val="28"/>
          <w:szCs w:val="28"/>
        </w:rPr>
        <w:t>признания  сделки  недействительной  и   применение    последствий   ее</w:t>
      </w:r>
      <w:bookmarkStart w:id="1" w:name="YANDEX_12"/>
      <w:bookmarkEnd w:id="1"/>
      <w:r w:rsidR="009F3009" w:rsidRPr="00222B9C">
        <w:rPr>
          <w:color w:val="000000" w:themeColor="text1"/>
          <w:sz w:val="28"/>
          <w:szCs w:val="28"/>
        </w:rPr>
        <w:fldChar w:fldCharType="begin"/>
      </w:r>
      <w:r w:rsidR="00531437" w:rsidRPr="00222B9C">
        <w:rPr>
          <w:color w:val="000000" w:themeColor="text1"/>
          <w:sz w:val="28"/>
          <w:szCs w:val="28"/>
        </w:rPr>
        <w:instrText xml:space="preserve"> HYPERLINK "http://hghltd.yandex.net/yandbtm?fmode=inject&amp;url=http%3A%2F%2Fwww.ref.by%2Frefs%2F22%2F30332%2F1.html&amp;text=%D1%81%D0%BF%D0%B5%D1%86%D0%B8%D0%B0%D0%BB%D1%8C%D0%BD%D1%8B%D0%B5%20%D0%BE%D1%81%D0%BD%D0%BE%D0%B2%D0%B0%D0%BD%D0%B8%D1%8F%20%D0%BD%D0%B5%D0%B4%D0%B5%D0%B9%D1%81%D1%82%D0%B2%D0%B8%D1%82%D0%B5%D0%BB%D1%8C%D0%BD%D0%BE%D1%81%D1%82%D0%B8&amp;l10n=ru&amp;sign=f606bf9c79846767627bfd68c23cf756&amp;keyno=0" \l "YANDEX_11" </w:instrText>
      </w:r>
      <w:r w:rsidR="009F3009" w:rsidRPr="00222B9C">
        <w:rPr>
          <w:color w:val="000000" w:themeColor="text1"/>
          <w:sz w:val="28"/>
          <w:szCs w:val="28"/>
        </w:rPr>
        <w:fldChar w:fldCharType="end"/>
      </w:r>
      <w:r w:rsidR="00531437" w:rsidRPr="00222B9C">
        <w:rPr>
          <w:color w:val="000000" w:themeColor="text1"/>
          <w:sz w:val="28"/>
          <w:szCs w:val="28"/>
        </w:rPr>
        <w:t> недействительности </w:t>
      </w:r>
      <w:r w:rsidR="00531437" w:rsidRPr="00222B9C">
        <w:rPr>
          <w:color w:val="000000" w:themeColor="text1"/>
          <w:sz w:val="28"/>
        </w:rPr>
        <w:t xml:space="preserve"> в процедуре наблюдения. </w:t>
      </w:r>
      <w:proofErr w:type="gramStart"/>
      <w:r w:rsidR="00531437" w:rsidRPr="00222B9C">
        <w:rPr>
          <w:color w:val="000000" w:themeColor="text1"/>
          <w:sz w:val="28"/>
        </w:rPr>
        <w:t xml:space="preserve">Автор указывает на то, что </w:t>
      </w:r>
      <w:hyperlink r:id="rId8" w:anchor="YANDEX_13" w:history="1"/>
      <w:r w:rsidR="00531437" w:rsidRPr="00222B9C">
        <w:rPr>
          <w:color w:val="000000" w:themeColor="text1"/>
          <w:sz w:val="28"/>
          <w:szCs w:val="28"/>
        </w:rPr>
        <w:t xml:space="preserve">основания для признания сделок недействительными содержатся не только в Гражданском кодексе РФ, но и других нормативно-правовых актах, входящих в систему гражданского законодательства, в том числе и в Законе о банкротстве, который в отличие от </w:t>
      </w:r>
      <w:r w:rsidR="00F00BB2" w:rsidRPr="00222B9C">
        <w:rPr>
          <w:color w:val="000000" w:themeColor="text1"/>
          <w:sz w:val="28"/>
          <w:szCs w:val="28"/>
        </w:rPr>
        <w:t>Гражданского кодекса</w:t>
      </w:r>
      <w:r w:rsidR="00531437" w:rsidRPr="00222B9C">
        <w:rPr>
          <w:color w:val="000000" w:themeColor="text1"/>
          <w:sz w:val="28"/>
          <w:szCs w:val="28"/>
        </w:rPr>
        <w:t xml:space="preserve"> РФ предусматривает иной порядок и круг лиц, по иску которых сделка может быть признана недействительной.</w:t>
      </w:r>
      <w:proofErr w:type="gramEnd"/>
      <w:r w:rsidR="00531437" w:rsidRPr="00222B9C">
        <w:rPr>
          <w:color w:val="000000" w:themeColor="text1"/>
          <w:sz w:val="28"/>
          <w:szCs w:val="28"/>
        </w:rPr>
        <w:t xml:space="preserve"> Кроме того, в рамках банкротства институт недействительности сделок выполняет две важнейших функции: защита интересов кредиторов должника и восстановление  платежеспособности должника.</w:t>
      </w:r>
    </w:p>
    <w:p w:rsidR="009F3041" w:rsidRPr="00222B9C" w:rsidRDefault="009F3041" w:rsidP="009F3041">
      <w:pPr>
        <w:spacing w:line="360" w:lineRule="auto"/>
        <w:ind w:firstLine="567"/>
        <w:jc w:val="both"/>
        <w:rPr>
          <w:color w:val="000000" w:themeColor="text1"/>
          <w:sz w:val="28"/>
        </w:rPr>
      </w:pPr>
    </w:p>
    <w:p w:rsidR="009F3041" w:rsidRPr="00222B9C" w:rsidRDefault="009F3041" w:rsidP="009F3041">
      <w:pPr>
        <w:spacing w:line="360" w:lineRule="auto"/>
        <w:ind w:firstLine="567"/>
        <w:jc w:val="both"/>
        <w:rPr>
          <w:color w:val="000000" w:themeColor="text1"/>
          <w:sz w:val="28"/>
        </w:rPr>
      </w:pPr>
      <w:r w:rsidRPr="00222B9C">
        <w:rPr>
          <w:b/>
          <w:i/>
          <w:color w:val="000000" w:themeColor="text1"/>
          <w:sz w:val="28"/>
        </w:rPr>
        <w:t>Ключевые слова</w:t>
      </w:r>
      <w:r w:rsidRPr="00222B9C">
        <w:rPr>
          <w:color w:val="000000" w:themeColor="text1"/>
          <w:sz w:val="28"/>
        </w:rPr>
        <w:t xml:space="preserve">: </w:t>
      </w:r>
      <w:r w:rsidR="00A440B5" w:rsidRPr="00222B9C">
        <w:rPr>
          <w:color w:val="000000" w:themeColor="text1"/>
          <w:sz w:val="28"/>
        </w:rPr>
        <w:t xml:space="preserve">несостоятельность (банкротство), признание </w:t>
      </w:r>
      <w:proofErr w:type="gramStart"/>
      <w:r w:rsidR="00A440B5" w:rsidRPr="00222B9C">
        <w:rPr>
          <w:color w:val="000000" w:themeColor="text1"/>
          <w:sz w:val="28"/>
        </w:rPr>
        <w:t>недействительными</w:t>
      </w:r>
      <w:proofErr w:type="gramEnd"/>
      <w:r w:rsidR="00A440B5" w:rsidRPr="00222B9C">
        <w:rPr>
          <w:color w:val="000000" w:themeColor="text1"/>
          <w:sz w:val="28"/>
        </w:rPr>
        <w:t xml:space="preserve"> сделок, процедура наблюдения</w:t>
      </w:r>
      <w:r w:rsidR="00222B9C">
        <w:rPr>
          <w:color w:val="000000" w:themeColor="text1"/>
          <w:sz w:val="28"/>
        </w:rPr>
        <w:t>.</w:t>
      </w:r>
    </w:p>
    <w:bookmarkEnd w:id="0"/>
    <w:p w:rsidR="00BF0176" w:rsidRPr="00222B9C" w:rsidRDefault="00BF0176" w:rsidP="00BF0176">
      <w:pPr>
        <w:spacing w:line="360" w:lineRule="auto"/>
        <w:jc w:val="both"/>
      </w:pPr>
    </w:p>
    <w:p w:rsidR="006403C5" w:rsidRDefault="006403C5" w:rsidP="00531437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В </w:t>
      </w:r>
      <w:r>
        <w:rPr>
          <w:sz w:val="28"/>
          <w:szCs w:val="28"/>
        </w:rPr>
        <w:t>силу положений</w:t>
      </w:r>
      <w:r w:rsidRPr="00D5575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D55754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Федерального закона </w:t>
      </w:r>
      <w:r w:rsidRPr="006403C5">
        <w:rPr>
          <w:sz w:val="28"/>
          <w:szCs w:val="28"/>
        </w:rPr>
        <w:t>«О несостоятельности (банкротстве)»</w:t>
      </w:r>
      <w:r w:rsidRPr="006403C5">
        <w:rPr>
          <w:rStyle w:val="a5"/>
          <w:sz w:val="28"/>
          <w:szCs w:val="28"/>
        </w:rPr>
        <w:footnoteReference w:id="2"/>
      </w:r>
      <w:r w:rsidRPr="00640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Закон о банкротстве) под </w:t>
      </w:r>
      <w:r w:rsidRPr="00D55754">
        <w:rPr>
          <w:sz w:val="28"/>
          <w:szCs w:val="28"/>
        </w:rPr>
        <w:t>наблюдение</w:t>
      </w:r>
      <w:r>
        <w:rPr>
          <w:sz w:val="28"/>
          <w:szCs w:val="28"/>
        </w:rPr>
        <w:t>м</w:t>
      </w:r>
      <w:r w:rsidRPr="00D5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понимается </w:t>
      </w:r>
      <w:r w:rsidRPr="00D55754">
        <w:rPr>
          <w:sz w:val="28"/>
          <w:szCs w:val="28"/>
        </w:rPr>
        <w:t xml:space="preserve">процедура, применяемая в деле о банкротстве к должнику в целях обеспечения сохранности его имущества, проведения анализа финансового состояния должника, составления реестра требований кредиторов и проведения первого </w:t>
      </w:r>
      <w:r w:rsidRPr="00D55754">
        <w:rPr>
          <w:sz w:val="28"/>
          <w:szCs w:val="28"/>
        </w:rPr>
        <w:lastRenderedPageBreak/>
        <w:t xml:space="preserve">собрания кредиторов. </w:t>
      </w:r>
      <w:bookmarkStart w:id="2" w:name="p81"/>
      <w:bookmarkEnd w:id="2"/>
      <w:r w:rsidRPr="00D55754">
        <w:rPr>
          <w:sz w:val="28"/>
          <w:szCs w:val="28"/>
        </w:rPr>
        <w:t>Таким образом, введение такой процедуры позволяет, с одной стороны, определить финансовое состояние должника, а с другой сохранить его имущество.</w:t>
      </w:r>
      <w:r w:rsidRPr="000C2090">
        <w:rPr>
          <w:sz w:val="28"/>
          <w:szCs w:val="28"/>
          <w:vertAlign w:val="superscript"/>
        </w:rPr>
        <w:footnoteReference w:id="3"/>
      </w:r>
      <w:r w:rsidRPr="00D55754">
        <w:rPr>
          <w:sz w:val="28"/>
          <w:szCs w:val="28"/>
        </w:rPr>
        <w:t xml:space="preserve"> 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В этих целях после введения процедуры наблюдения устанавливается </w:t>
      </w:r>
      <w:proofErr w:type="gramStart"/>
      <w:r w:rsidRPr="00D55754">
        <w:rPr>
          <w:sz w:val="28"/>
          <w:szCs w:val="28"/>
        </w:rPr>
        <w:t>контроль за</w:t>
      </w:r>
      <w:proofErr w:type="gramEnd"/>
      <w:r w:rsidRPr="00D55754">
        <w:rPr>
          <w:sz w:val="28"/>
          <w:szCs w:val="28"/>
        </w:rPr>
        <w:t xml:space="preserve"> сделками</w:t>
      </w:r>
      <w:r>
        <w:rPr>
          <w:sz w:val="28"/>
          <w:szCs w:val="28"/>
        </w:rPr>
        <w:t xml:space="preserve"> и решениями должника.</w:t>
      </w:r>
      <w:r w:rsidRPr="00D5575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D55754">
        <w:rPr>
          <w:sz w:val="28"/>
          <w:szCs w:val="28"/>
        </w:rPr>
        <w:t xml:space="preserve"> 1 ст. 66 Закона о банкротстве </w:t>
      </w:r>
      <w:r>
        <w:rPr>
          <w:sz w:val="28"/>
          <w:szCs w:val="28"/>
        </w:rPr>
        <w:t>временному управляющему</w:t>
      </w:r>
      <w:r w:rsidRPr="00D55754">
        <w:rPr>
          <w:sz w:val="28"/>
          <w:szCs w:val="28"/>
        </w:rPr>
        <w:t xml:space="preserve"> предоставлено право </w:t>
      </w:r>
      <w:proofErr w:type="gramStart"/>
      <w:r w:rsidRPr="00D55754">
        <w:rPr>
          <w:sz w:val="28"/>
          <w:szCs w:val="28"/>
        </w:rPr>
        <w:t>заявлять</w:t>
      </w:r>
      <w:proofErr w:type="gramEnd"/>
      <w:r w:rsidRPr="00D55754">
        <w:rPr>
          <w:sz w:val="28"/>
          <w:szCs w:val="28"/>
        </w:rPr>
        <w:t xml:space="preserve"> в суд требования, связанные с признанием недействительными некоторых сделок должника, а также с применением последствий недействительности ничтожных сделок, заключенных или исполненных должником с нарушением требова</w:t>
      </w:r>
      <w:r>
        <w:rPr>
          <w:sz w:val="28"/>
          <w:szCs w:val="28"/>
        </w:rPr>
        <w:t>ний, установленных ст. 63,</w:t>
      </w:r>
      <w:r w:rsidRPr="00D55754">
        <w:rPr>
          <w:sz w:val="28"/>
          <w:szCs w:val="28"/>
        </w:rPr>
        <w:t xml:space="preserve"> 64 Закона о банкротстве. Таким образом, Законом о банкротстве напрямую установлены специальные основания, по которым может быть признана недействительной сделка должника, совершенная в процедуре наблюдения.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прямого указания </w:t>
      </w:r>
      <w:r w:rsidRPr="00D55754">
        <w:rPr>
          <w:sz w:val="28"/>
          <w:szCs w:val="28"/>
        </w:rPr>
        <w:t>ст. 66 Закона о банкротстве</w:t>
      </w:r>
      <w:r>
        <w:rPr>
          <w:sz w:val="28"/>
          <w:szCs w:val="28"/>
        </w:rPr>
        <w:t xml:space="preserve"> временный управляющий вправе обращаться для признания недействительными сделок, которые нарушают</w:t>
      </w:r>
      <w:r w:rsidRPr="00D55754">
        <w:rPr>
          <w:sz w:val="28"/>
          <w:szCs w:val="28"/>
        </w:rPr>
        <w:t xml:space="preserve"> требования, установленны</w:t>
      </w:r>
      <w:r>
        <w:rPr>
          <w:sz w:val="28"/>
          <w:szCs w:val="28"/>
        </w:rPr>
        <w:t>е</w:t>
      </w:r>
      <w:r w:rsidRPr="00D55754">
        <w:rPr>
          <w:sz w:val="28"/>
          <w:szCs w:val="28"/>
        </w:rPr>
        <w:t xml:space="preserve"> </w:t>
      </w:r>
      <w:hyperlink r:id="rId9" w:anchor="p1767" w:tooltip="Текущий документ" w:history="1">
        <w:r w:rsidRPr="006403C5">
          <w:rPr>
            <w:rStyle w:val="a6"/>
            <w:color w:val="000000" w:themeColor="text1"/>
            <w:sz w:val="28"/>
            <w:szCs w:val="28"/>
            <w:u w:val="none"/>
          </w:rPr>
          <w:t>ст. 63</w:t>
        </w:r>
      </w:hyperlink>
      <w:r w:rsidRPr="006403C5">
        <w:rPr>
          <w:color w:val="000000" w:themeColor="text1"/>
          <w:sz w:val="28"/>
          <w:szCs w:val="28"/>
        </w:rPr>
        <w:t xml:space="preserve">, </w:t>
      </w:r>
      <w:hyperlink r:id="rId10" w:anchor="p1791" w:tooltip="Текущий документ" w:history="1">
        <w:r w:rsidRPr="006403C5">
          <w:rPr>
            <w:rStyle w:val="a6"/>
            <w:color w:val="000000" w:themeColor="text1"/>
            <w:sz w:val="28"/>
            <w:szCs w:val="28"/>
            <w:u w:val="none"/>
          </w:rPr>
          <w:t>64</w:t>
        </w:r>
      </w:hyperlink>
      <w:r w:rsidRPr="006403C5">
        <w:rPr>
          <w:color w:val="000000" w:themeColor="text1"/>
          <w:sz w:val="28"/>
          <w:szCs w:val="28"/>
        </w:rPr>
        <w:t xml:space="preserve"> </w:t>
      </w:r>
      <w:r w:rsidRPr="00D55754">
        <w:rPr>
          <w:sz w:val="28"/>
          <w:szCs w:val="28"/>
        </w:rPr>
        <w:t xml:space="preserve">Закона о банкротстве. Право для признания сделок </w:t>
      </w:r>
      <w:proofErr w:type="gramStart"/>
      <w:r w:rsidRPr="00D55754">
        <w:rPr>
          <w:sz w:val="28"/>
          <w:szCs w:val="28"/>
        </w:rPr>
        <w:t>недействительными</w:t>
      </w:r>
      <w:proofErr w:type="gramEnd"/>
      <w:r w:rsidRPr="00D55754">
        <w:rPr>
          <w:sz w:val="28"/>
          <w:szCs w:val="28"/>
        </w:rPr>
        <w:t xml:space="preserve"> по иным основаниям временному управляющему не предоставлено, как и не предоставлено право признания сделок недействительным по этим основаниям </w:t>
      </w:r>
      <w:r>
        <w:rPr>
          <w:sz w:val="28"/>
          <w:szCs w:val="28"/>
        </w:rPr>
        <w:t>иным лицам, участвующим в деле</w:t>
      </w:r>
      <w:r w:rsidRPr="00D55754">
        <w:rPr>
          <w:sz w:val="28"/>
          <w:szCs w:val="28"/>
        </w:rPr>
        <w:t>.</w:t>
      </w:r>
      <w:r w:rsidRPr="0072508F">
        <w:rPr>
          <w:rStyle w:val="a5"/>
          <w:sz w:val="28"/>
          <w:szCs w:val="28"/>
        </w:rPr>
        <w:t xml:space="preserve"> </w:t>
      </w:r>
      <w:r w:rsidRPr="0006119B">
        <w:rPr>
          <w:rStyle w:val="a5"/>
          <w:sz w:val="28"/>
          <w:szCs w:val="28"/>
        </w:rPr>
        <w:footnoteReference w:id="4"/>
      </w:r>
      <w:r w:rsidRPr="00D55754">
        <w:rPr>
          <w:sz w:val="28"/>
          <w:szCs w:val="28"/>
        </w:rPr>
        <w:t xml:space="preserve"> 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Содержащиеся в ст. 63, 64 Закона о банкротстве основания для признания сделок </w:t>
      </w:r>
      <w:proofErr w:type="gramStart"/>
      <w:r w:rsidRPr="00D55754">
        <w:rPr>
          <w:sz w:val="28"/>
          <w:szCs w:val="28"/>
        </w:rPr>
        <w:t>недействительными</w:t>
      </w:r>
      <w:proofErr w:type="gramEnd"/>
      <w:r w:rsidRPr="00D55754">
        <w:rPr>
          <w:sz w:val="28"/>
          <w:szCs w:val="28"/>
        </w:rPr>
        <w:t xml:space="preserve"> не позволяют определить характер их недействительности с точки зрения дифференциации на </w:t>
      </w:r>
      <w:proofErr w:type="spellStart"/>
      <w:r w:rsidRPr="00D55754">
        <w:rPr>
          <w:sz w:val="28"/>
          <w:szCs w:val="28"/>
        </w:rPr>
        <w:t>оспоримые</w:t>
      </w:r>
      <w:proofErr w:type="spellEnd"/>
      <w:r w:rsidRPr="00D55754">
        <w:rPr>
          <w:sz w:val="28"/>
          <w:szCs w:val="28"/>
        </w:rPr>
        <w:t xml:space="preserve"> и ничтожные. </w:t>
      </w:r>
      <w:proofErr w:type="gramStart"/>
      <w:r w:rsidRPr="00D55754">
        <w:rPr>
          <w:sz w:val="28"/>
          <w:szCs w:val="28"/>
        </w:rPr>
        <w:t xml:space="preserve">С этой целью Президиумом ВАС РФ было дано толкование в Информационном письме «О некоторых вопросах практики применения арбитражными судами положений абзаца второго пункта 1 статьи 66 Федерального закона «О несостоятельности (банкротстве)» от 14.04.2009 № 129 (далее – Информационное письмо Президиума ВАС РФ № 129), где указано, </w:t>
      </w:r>
      <w:r w:rsidRPr="00D55754">
        <w:rPr>
          <w:sz w:val="28"/>
          <w:szCs w:val="28"/>
        </w:rPr>
        <w:lastRenderedPageBreak/>
        <w:t xml:space="preserve">какие сделки из ст. 63, 64 Закона о банкротстве должны быть отнесены к </w:t>
      </w:r>
      <w:proofErr w:type="spellStart"/>
      <w:r w:rsidRPr="00D55754">
        <w:rPr>
          <w:sz w:val="28"/>
          <w:szCs w:val="28"/>
        </w:rPr>
        <w:t>оспоримым</w:t>
      </w:r>
      <w:proofErr w:type="spellEnd"/>
      <w:r w:rsidRPr="00D55754">
        <w:rPr>
          <w:sz w:val="28"/>
          <w:szCs w:val="28"/>
        </w:rPr>
        <w:t>, а какие к</w:t>
      </w:r>
      <w:proofErr w:type="gramEnd"/>
      <w:r w:rsidRPr="00D55754">
        <w:rPr>
          <w:sz w:val="28"/>
          <w:szCs w:val="28"/>
        </w:rPr>
        <w:t xml:space="preserve"> ничтожным.</w:t>
      </w:r>
      <w:r w:rsidRPr="00721CEC">
        <w:rPr>
          <w:sz w:val="28"/>
          <w:szCs w:val="28"/>
          <w:vertAlign w:val="superscript"/>
        </w:rPr>
        <w:footnoteReference w:id="5"/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>Согл</w:t>
      </w:r>
      <w:r>
        <w:rPr>
          <w:sz w:val="28"/>
          <w:szCs w:val="28"/>
        </w:rPr>
        <w:t>асно п. 4 Информационного письма</w:t>
      </w:r>
      <w:r w:rsidRPr="00D55754">
        <w:rPr>
          <w:sz w:val="28"/>
          <w:szCs w:val="28"/>
        </w:rPr>
        <w:t xml:space="preserve"> Президиума ВАС РФ № 129                                                                                                                            </w:t>
      </w:r>
      <w:proofErr w:type="spellStart"/>
      <w:r w:rsidRPr="00D55754">
        <w:rPr>
          <w:sz w:val="28"/>
          <w:szCs w:val="28"/>
        </w:rPr>
        <w:t>оспоримыми</w:t>
      </w:r>
      <w:proofErr w:type="spellEnd"/>
      <w:r w:rsidRPr="00D55754">
        <w:rPr>
          <w:sz w:val="28"/>
          <w:szCs w:val="28"/>
        </w:rPr>
        <w:t xml:space="preserve"> являются следующие сделки:</w:t>
      </w:r>
    </w:p>
    <w:p w:rsidR="006403C5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а) сделки, нарушающие требования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>. 2 п. 1 ст. 63 Закона о банкротстве, направленные на исполнение или прекращение иным образом (в том числе путем предоставления отступного и т.п.) денежных обязательств и требований об уплате обязательных платежей, исполнение которых с введением наблюдения не допускается.</w:t>
      </w:r>
      <w:r>
        <w:rPr>
          <w:sz w:val="28"/>
          <w:szCs w:val="28"/>
        </w:rPr>
        <w:t xml:space="preserve"> </w:t>
      </w:r>
      <w:r w:rsidRPr="00D55754">
        <w:rPr>
          <w:sz w:val="28"/>
          <w:szCs w:val="28"/>
        </w:rPr>
        <w:t xml:space="preserve">В соответствии со ст. 71 Закона о банкротстве </w:t>
      </w:r>
      <w:r>
        <w:rPr>
          <w:sz w:val="28"/>
          <w:szCs w:val="28"/>
        </w:rPr>
        <w:t>требования</w:t>
      </w:r>
      <w:r w:rsidRPr="00D55754">
        <w:rPr>
          <w:sz w:val="28"/>
          <w:szCs w:val="28"/>
        </w:rPr>
        <w:t xml:space="preserve"> кредиторов в процедуре наблюдения подлежат включению в реестр требований кредиторов. Таким образом, с момента введения процедуры наблюдения запрещается индивидуальное исполнение требований кредиторов</w:t>
      </w:r>
      <w:r>
        <w:rPr>
          <w:sz w:val="28"/>
          <w:szCs w:val="28"/>
        </w:rPr>
        <w:t>.</w:t>
      </w:r>
      <w:r w:rsidRPr="00D55754">
        <w:rPr>
          <w:sz w:val="28"/>
          <w:szCs w:val="28"/>
        </w:rPr>
        <w:t xml:space="preserve"> Исключение составляют </w:t>
      </w:r>
      <w:r>
        <w:rPr>
          <w:sz w:val="28"/>
          <w:szCs w:val="28"/>
        </w:rPr>
        <w:t>текущие платежи (</w:t>
      </w:r>
      <w:r w:rsidRPr="00D55754">
        <w:rPr>
          <w:sz w:val="28"/>
          <w:szCs w:val="28"/>
        </w:rPr>
        <w:t>п. 1 ст. 5 Закона о банкротстве</w:t>
      </w:r>
      <w:r>
        <w:rPr>
          <w:sz w:val="28"/>
          <w:szCs w:val="28"/>
        </w:rPr>
        <w:t>)</w:t>
      </w:r>
      <w:r w:rsidRPr="00D55754">
        <w:rPr>
          <w:sz w:val="28"/>
          <w:szCs w:val="28"/>
        </w:rPr>
        <w:t>.</w:t>
      </w:r>
      <w:r w:rsidRPr="00721CEC">
        <w:rPr>
          <w:sz w:val="28"/>
          <w:szCs w:val="28"/>
        </w:rPr>
        <w:t xml:space="preserve"> </w:t>
      </w:r>
    </w:p>
    <w:p w:rsidR="006403C5" w:rsidRPr="00D55754" w:rsidRDefault="00E07C42" w:rsidP="006403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при изучении указанного основания выявляется</w:t>
      </w:r>
      <w:r w:rsidR="006403C5" w:rsidRPr="00D55754">
        <w:rPr>
          <w:sz w:val="28"/>
          <w:szCs w:val="28"/>
        </w:rPr>
        <w:t xml:space="preserve"> смешение категорий сделок, исполнения обязательств по сделкам и обязательных платежей (публичный институт). Закон о банкротстве исполнения обязательств сделкой не признает, но позволяет оспаривать данные действия в порядке, предусмотренным для сделок, а также позволяет  оспаривать действия, возникающие из иных правоотношений, а не только </w:t>
      </w:r>
      <w:proofErr w:type="gramStart"/>
      <w:r w:rsidR="006403C5" w:rsidRPr="00D55754">
        <w:rPr>
          <w:sz w:val="28"/>
          <w:szCs w:val="28"/>
        </w:rPr>
        <w:t>из</w:t>
      </w:r>
      <w:proofErr w:type="gramEnd"/>
      <w:r w:rsidR="006403C5" w:rsidRPr="00D55754">
        <w:rPr>
          <w:sz w:val="28"/>
          <w:szCs w:val="28"/>
        </w:rPr>
        <w:t xml:space="preserve"> гражданско-правовых.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б) сделки по исполнению исполнительных документов по имущественным взысканиям, исполнение которых приостанавливается в соответствии с требованиями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>. 4 п. 1 ст. 63 Закона о банкротстве.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5754">
        <w:rPr>
          <w:sz w:val="28"/>
          <w:szCs w:val="28"/>
        </w:rPr>
        <w:t xml:space="preserve"> рамках данного пункта будут оспариваться действия судебного пристава-исполнителя</w:t>
      </w:r>
      <w:r w:rsidRPr="00CD0A0D">
        <w:rPr>
          <w:sz w:val="28"/>
          <w:szCs w:val="28"/>
          <w:vertAlign w:val="superscript"/>
        </w:rPr>
        <w:footnoteReference w:id="6"/>
      </w:r>
      <w:r>
        <w:rPr>
          <w:sz w:val="28"/>
          <w:szCs w:val="28"/>
        </w:rPr>
        <w:t>,</w:t>
      </w:r>
      <w:r w:rsidRPr="00D55754">
        <w:rPr>
          <w:sz w:val="28"/>
          <w:szCs w:val="28"/>
        </w:rPr>
        <w:t xml:space="preserve"> действия иных организаций по исполнению </w:t>
      </w:r>
      <w:r w:rsidRPr="00D55754">
        <w:rPr>
          <w:sz w:val="28"/>
          <w:szCs w:val="28"/>
        </w:rPr>
        <w:lastRenderedPageBreak/>
        <w:t>исполнительных документов</w:t>
      </w:r>
      <w:r>
        <w:rPr>
          <w:sz w:val="28"/>
          <w:szCs w:val="28"/>
        </w:rPr>
        <w:t xml:space="preserve">, </w:t>
      </w:r>
      <w:r w:rsidRPr="00D55754">
        <w:rPr>
          <w:sz w:val="28"/>
          <w:szCs w:val="28"/>
        </w:rPr>
        <w:t>например, кредитны</w:t>
      </w:r>
      <w:r>
        <w:rPr>
          <w:sz w:val="28"/>
          <w:szCs w:val="28"/>
        </w:rPr>
        <w:t>х</w:t>
      </w:r>
      <w:r w:rsidRPr="00D5575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55754">
        <w:rPr>
          <w:sz w:val="28"/>
          <w:szCs w:val="28"/>
        </w:rPr>
        <w:t xml:space="preserve"> в соответствии со ст. 8 Федерального закона «Об исполнительном прои</w:t>
      </w:r>
      <w:r w:rsidR="00E07C42">
        <w:rPr>
          <w:sz w:val="28"/>
          <w:szCs w:val="28"/>
        </w:rPr>
        <w:t>зводстве»</w:t>
      </w:r>
      <w:r w:rsidRPr="00D55754">
        <w:rPr>
          <w:sz w:val="28"/>
          <w:szCs w:val="28"/>
        </w:rPr>
        <w:t>.</w:t>
      </w:r>
      <w:r w:rsidRPr="00CD0A0D">
        <w:rPr>
          <w:sz w:val="28"/>
          <w:szCs w:val="28"/>
          <w:vertAlign w:val="superscript"/>
        </w:rPr>
        <w:footnoteReference w:id="7"/>
      </w:r>
    </w:p>
    <w:p w:rsidR="006403C5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>. 4 п. 1 ст. 63 Закона о банкротстве установлено, что приостанавливается исполнение по всем исполнительным документам по имущественным взысканиям.</w:t>
      </w:r>
      <w:r>
        <w:rPr>
          <w:sz w:val="28"/>
          <w:szCs w:val="28"/>
        </w:rPr>
        <w:t xml:space="preserve"> Так, передача судебным приставом-исполнителем лизингодателю имущества (объекта договора лизинга) в связи с нарушением лизингополучателем (должником) обязательств по договору не может быть оспорено по рассматриваемому основанию, так как исполнительный документ, по которому происходит передача, не относится к исполнительному документу по имущественным взысканиям.</w:t>
      </w:r>
      <w:r>
        <w:rPr>
          <w:rStyle w:val="a5"/>
          <w:sz w:val="28"/>
          <w:szCs w:val="28"/>
        </w:rPr>
        <w:footnoteReference w:id="8"/>
      </w:r>
      <w:r w:rsidRPr="00D55754">
        <w:rPr>
          <w:sz w:val="28"/>
          <w:szCs w:val="28"/>
        </w:rPr>
        <w:t xml:space="preserve"> 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силу социальных и моральных факторов традиционное и</w:t>
      </w:r>
      <w:r w:rsidRPr="00D55754">
        <w:rPr>
          <w:sz w:val="28"/>
          <w:szCs w:val="28"/>
        </w:rPr>
        <w:t>сключение составля</w:t>
      </w:r>
      <w:r>
        <w:rPr>
          <w:sz w:val="28"/>
          <w:szCs w:val="28"/>
        </w:rPr>
        <w:t>ю</w:t>
      </w:r>
      <w:r w:rsidRPr="00D55754">
        <w:rPr>
          <w:sz w:val="28"/>
          <w:szCs w:val="28"/>
        </w:rPr>
        <w:t>т исполнение исполнительных документов, выданных на основании вступивших в законную силу до даты введения наблюдения судебных актов о взыскании задолженности по заработной плате, выплате вознаграждения авторам результатов интеллектуальной деятельности, об истребовании имущества из чужого незаконного владения, о возмещен</w:t>
      </w:r>
      <w:r>
        <w:rPr>
          <w:sz w:val="28"/>
          <w:szCs w:val="28"/>
        </w:rPr>
        <w:t>ии вреда, причиненного жизни и</w:t>
      </w:r>
      <w:r w:rsidRPr="00D55754">
        <w:rPr>
          <w:sz w:val="28"/>
          <w:szCs w:val="28"/>
        </w:rPr>
        <w:t xml:space="preserve"> здоровью, и о возмещении морального вреда.</w:t>
      </w:r>
      <w:r>
        <w:rPr>
          <w:rStyle w:val="a5"/>
          <w:sz w:val="28"/>
          <w:szCs w:val="28"/>
        </w:rPr>
        <w:footnoteReference w:id="9"/>
      </w:r>
      <w:proofErr w:type="gramEnd"/>
    </w:p>
    <w:p w:rsidR="006403C5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55754">
        <w:rPr>
          <w:sz w:val="28"/>
          <w:szCs w:val="28"/>
        </w:rPr>
        <w:t xml:space="preserve">в) сделки, нарушающие запрет, установленный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 xml:space="preserve">. 6 п. 1 ст. 63 Закона о банкротстве (до редакции, вступившей в силу с 31.12.2008 –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>. 7 п.1 ст. 63), заявления должника или кредитора о прекращении денежного обязательства должника путем зачета встречного однородного требования, если при этом нарушается установленная п. 4 ст. 134 Закона о банкротстве очередность удовлетворения требований кредиторов.</w:t>
      </w:r>
      <w:proofErr w:type="gramEnd"/>
      <w:r w:rsidRPr="00D55754">
        <w:rPr>
          <w:sz w:val="28"/>
          <w:szCs w:val="28"/>
        </w:rPr>
        <w:t xml:space="preserve"> Следовательно, если очередность не нарушается, зачет возможен.</w:t>
      </w:r>
      <w:r w:rsidRPr="00173BDA">
        <w:rPr>
          <w:sz w:val="28"/>
          <w:szCs w:val="28"/>
          <w:vertAlign w:val="superscript"/>
        </w:rPr>
        <w:footnoteReference w:id="10"/>
      </w:r>
      <w:r w:rsidRPr="00D55754">
        <w:rPr>
          <w:sz w:val="28"/>
          <w:szCs w:val="28"/>
        </w:rPr>
        <w:t xml:space="preserve"> 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lastRenderedPageBreak/>
        <w:t xml:space="preserve">г) сделки, направленные на нарушение запрета выплаты дивидендов, доходов по долям (паям), распределения прибыли между учредителями (участниками) юридического лица-должника, установленного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 xml:space="preserve">. 9 п. 1 ст. 63 (до редакции, вступившей в силу с 31.12.2008 –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 xml:space="preserve">. 6 п.1 ст. 63). В качестве </w:t>
      </w:r>
      <w:proofErr w:type="spellStart"/>
      <w:r w:rsidRPr="00D55754">
        <w:rPr>
          <w:sz w:val="28"/>
          <w:szCs w:val="28"/>
        </w:rPr>
        <w:t>оспоримых</w:t>
      </w:r>
      <w:proofErr w:type="spellEnd"/>
      <w:r w:rsidRPr="00D55754">
        <w:rPr>
          <w:sz w:val="28"/>
          <w:szCs w:val="28"/>
        </w:rPr>
        <w:t xml:space="preserve"> сделок рассматриваются не решения о выплате доходов и распределении прибыли, а именно выплаты, направленные на исполнение таких решений, принятых ранее (вопрос об оспаривании решений должен решаться на основании норм корпоративного права).</w:t>
      </w:r>
      <w:r w:rsidRPr="00853DE9">
        <w:rPr>
          <w:sz w:val="28"/>
          <w:szCs w:val="28"/>
          <w:vertAlign w:val="superscript"/>
        </w:rPr>
        <w:footnoteReference w:id="11"/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D55754">
        <w:rPr>
          <w:sz w:val="28"/>
          <w:szCs w:val="28"/>
        </w:rPr>
        <w:t>д</w:t>
      </w:r>
      <w:proofErr w:type="spellEnd"/>
      <w:r w:rsidRPr="00D55754">
        <w:rPr>
          <w:sz w:val="28"/>
          <w:szCs w:val="28"/>
        </w:rPr>
        <w:t>)</w:t>
      </w:r>
      <w:r>
        <w:rPr>
          <w:sz w:val="28"/>
          <w:szCs w:val="28"/>
        </w:rPr>
        <w:t xml:space="preserve"> сделки,</w:t>
      </w:r>
      <w:r w:rsidRPr="00D55754">
        <w:rPr>
          <w:sz w:val="28"/>
          <w:szCs w:val="28"/>
        </w:rPr>
        <w:t xml:space="preserve"> предусмотренные п. 2 ст. 64 Закона о банкротстве, которые были совершены органами управления должника без согласия временного управляющего, выраженного в письменной форме.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Так, </w:t>
      </w:r>
      <w:proofErr w:type="gramStart"/>
      <w:r w:rsidRPr="00D55754">
        <w:rPr>
          <w:sz w:val="28"/>
          <w:szCs w:val="28"/>
        </w:rPr>
        <w:t>с даты введения</w:t>
      </w:r>
      <w:proofErr w:type="gramEnd"/>
      <w:r w:rsidRPr="00D55754">
        <w:rPr>
          <w:sz w:val="28"/>
          <w:szCs w:val="28"/>
        </w:rPr>
        <w:t xml:space="preserve"> наблюдения органы управления должника могут совершать некоторые сделки или несколько взаимосвязанных между собой сделок только с письменного согласия временного управляющего. Такими являются сделки, связанные: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5754">
        <w:rPr>
          <w:sz w:val="28"/>
          <w:szCs w:val="28"/>
        </w:rPr>
        <w:t xml:space="preserve"> с приобретением, отчуждением или возможностью отчуждения прямо либо косвенно имущества должника, балансовая стоимость которого составляет более пяти процентов балансовой стоимости активов должн</w:t>
      </w:r>
      <w:r>
        <w:rPr>
          <w:sz w:val="28"/>
          <w:szCs w:val="28"/>
        </w:rPr>
        <w:t xml:space="preserve">ика на дату введения наблюдения. Балансовая стоимость </w:t>
      </w:r>
      <w:r w:rsidRPr="00D55754">
        <w:rPr>
          <w:sz w:val="28"/>
          <w:szCs w:val="28"/>
        </w:rPr>
        <w:t>активов должн</w:t>
      </w:r>
      <w:r>
        <w:rPr>
          <w:sz w:val="28"/>
          <w:szCs w:val="28"/>
        </w:rPr>
        <w:t>ика может быть определена исходя из последнего обнаруженного баланса должника, составленного до даты введения наблюдения.</w:t>
      </w:r>
      <w:r>
        <w:rPr>
          <w:rStyle w:val="a5"/>
          <w:sz w:val="28"/>
          <w:szCs w:val="28"/>
        </w:rPr>
        <w:footnoteReference w:id="12"/>
      </w:r>
    </w:p>
    <w:p w:rsidR="006403C5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>По одному из дел</w:t>
      </w:r>
      <w:r>
        <w:rPr>
          <w:sz w:val="28"/>
          <w:szCs w:val="28"/>
        </w:rPr>
        <w:t xml:space="preserve"> </w:t>
      </w:r>
      <w:r w:rsidRPr="00D55754">
        <w:rPr>
          <w:sz w:val="28"/>
          <w:szCs w:val="28"/>
        </w:rPr>
        <w:t xml:space="preserve">оспаривался платеж по договору оказания услуг по водоснабжению и водоотведению на </w:t>
      </w:r>
      <w:proofErr w:type="gramStart"/>
      <w:r w:rsidRPr="00D55754">
        <w:rPr>
          <w:sz w:val="28"/>
          <w:szCs w:val="28"/>
        </w:rPr>
        <w:t>сумму</w:t>
      </w:r>
      <w:proofErr w:type="gramEnd"/>
      <w:r w:rsidRPr="00D55754">
        <w:rPr>
          <w:sz w:val="28"/>
          <w:szCs w:val="28"/>
        </w:rPr>
        <w:t xml:space="preserve"> превышающую 10 % стоимости активов должника.</w:t>
      </w:r>
      <w:r w:rsidRPr="003211DE">
        <w:rPr>
          <w:rStyle w:val="a5"/>
          <w:sz w:val="28"/>
          <w:szCs w:val="28"/>
        </w:rPr>
        <w:footnoteReference w:id="13"/>
      </w:r>
      <w:r w:rsidRPr="00D55754">
        <w:rPr>
          <w:sz w:val="28"/>
          <w:szCs w:val="28"/>
        </w:rPr>
        <w:t xml:space="preserve"> Временный управляющий ошибочно полагал, что оплата оказанных по договору возмездного оказания услуг может рассматриваться как </w:t>
      </w:r>
      <w:r w:rsidRPr="00D55754">
        <w:rPr>
          <w:sz w:val="28"/>
          <w:szCs w:val="28"/>
        </w:rPr>
        <w:lastRenderedPageBreak/>
        <w:t xml:space="preserve">приобретение или отчуждение имущества, требующее согласие временного управляющего </w:t>
      </w:r>
      <w:bookmarkStart w:id="3" w:name="p1796"/>
      <w:bookmarkEnd w:id="3"/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54">
        <w:rPr>
          <w:sz w:val="28"/>
          <w:szCs w:val="28"/>
        </w:rPr>
        <w:t>с получением и выдачей займов (кредитов), выдачей поручительств и гарантий, уступкой прав требования, переводом долга, а также с учреждением доверительного управления имуществом должника.</w:t>
      </w:r>
    </w:p>
    <w:p w:rsidR="006403C5" w:rsidRPr="0070197B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Суды обращают внимание на обязательность письменной формы согласия временного </w:t>
      </w:r>
      <w:r w:rsidRPr="00AC0478">
        <w:rPr>
          <w:sz w:val="28"/>
          <w:szCs w:val="28"/>
        </w:rPr>
        <w:t>управляющего.</w:t>
      </w:r>
      <w:r w:rsidRPr="006E72B0">
        <w:rPr>
          <w:rStyle w:val="a5"/>
          <w:sz w:val="28"/>
          <w:szCs w:val="28"/>
        </w:rPr>
        <w:footnoteReference w:id="14"/>
      </w:r>
      <w:r w:rsidRPr="00D55754">
        <w:rPr>
          <w:sz w:val="28"/>
          <w:szCs w:val="28"/>
        </w:rPr>
        <w:t xml:space="preserve"> Отсутствие письменного согласия является безусловным основанием для признания сделки недействительной.</w:t>
      </w:r>
      <w:r w:rsidRPr="00853DE9">
        <w:rPr>
          <w:sz w:val="28"/>
          <w:szCs w:val="28"/>
          <w:vertAlign w:val="superscript"/>
        </w:rPr>
        <w:footnoteReference w:id="15"/>
      </w:r>
      <w:r w:rsidRPr="00D55754">
        <w:rPr>
          <w:sz w:val="28"/>
          <w:szCs w:val="28"/>
        </w:rPr>
        <w:t xml:space="preserve"> </w:t>
      </w:r>
      <w:r w:rsidRPr="0070197B">
        <w:rPr>
          <w:sz w:val="28"/>
          <w:szCs w:val="28"/>
        </w:rPr>
        <w:t>На практике остается открытым вопрос о том, как должно быть оформлено такое письменное согласие.</w:t>
      </w:r>
      <w:r w:rsidRPr="0070197B">
        <w:rPr>
          <w:sz w:val="28"/>
          <w:szCs w:val="28"/>
          <w:vertAlign w:val="superscript"/>
        </w:rPr>
        <w:footnoteReference w:id="16"/>
      </w:r>
      <w:r w:rsidRPr="0070197B">
        <w:rPr>
          <w:sz w:val="28"/>
          <w:szCs w:val="28"/>
        </w:rPr>
        <w:t xml:space="preserve"> В случае непредставления отдельно составленного документа, суд изучает отчет временного управляющего, откуда явно может свидетельствовать согласие на совершение сделки.</w:t>
      </w:r>
      <w:r w:rsidRPr="0070197B">
        <w:rPr>
          <w:rStyle w:val="a5"/>
          <w:sz w:val="28"/>
          <w:szCs w:val="28"/>
        </w:rPr>
        <w:footnoteReference w:id="17"/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>Также Законом</w:t>
      </w:r>
      <w:r>
        <w:rPr>
          <w:sz w:val="28"/>
          <w:szCs w:val="28"/>
        </w:rPr>
        <w:t xml:space="preserve"> о банкротстве</w:t>
      </w:r>
      <w:r w:rsidRPr="00D55754">
        <w:rPr>
          <w:sz w:val="28"/>
          <w:szCs w:val="28"/>
        </w:rPr>
        <w:t xml:space="preserve"> установлено, что может быть оспорена сделка или несколько взаимосвязанных между собой сделок. В действующем законодательстве определение взаимосвязанных сделок отсутствует</w:t>
      </w:r>
      <w:r>
        <w:rPr>
          <w:sz w:val="28"/>
          <w:szCs w:val="28"/>
        </w:rPr>
        <w:t>.</w:t>
      </w:r>
      <w:r w:rsidRPr="00D5575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55754">
        <w:rPr>
          <w:sz w:val="28"/>
          <w:szCs w:val="28"/>
        </w:rPr>
        <w:t>ритерии взаимосвязанности для каждого конкретного случая определяет суд, но наука и судебная практика выработали несколько подходов к определению признаков взаимосвязанности, которые могут быть положены в основу определения взаимосвязанных сделок. К таким признакам можно отнести: одинаковый субъектный состав участников сделки</w:t>
      </w:r>
      <w:r>
        <w:rPr>
          <w:sz w:val="28"/>
          <w:szCs w:val="28"/>
        </w:rPr>
        <w:t>;</w:t>
      </w:r>
      <w:r w:rsidRPr="00D55754">
        <w:rPr>
          <w:sz w:val="28"/>
          <w:szCs w:val="28"/>
        </w:rPr>
        <w:t xml:space="preserve"> наличие общей цели совершения сделок</w:t>
      </w:r>
      <w:r>
        <w:rPr>
          <w:sz w:val="28"/>
          <w:szCs w:val="28"/>
        </w:rPr>
        <w:t>;</w:t>
      </w:r>
      <w:r w:rsidRPr="00D55754">
        <w:rPr>
          <w:sz w:val="28"/>
          <w:szCs w:val="28"/>
        </w:rPr>
        <w:t xml:space="preserve"> заключение сделок в одно время</w:t>
      </w:r>
      <w:r>
        <w:rPr>
          <w:sz w:val="28"/>
          <w:szCs w:val="28"/>
        </w:rPr>
        <w:t>;</w:t>
      </w:r>
      <w:r w:rsidRPr="00D55754">
        <w:rPr>
          <w:sz w:val="28"/>
          <w:szCs w:val="28"/>
        </w:rPr>
        <w:t xml:space="preserve"> имущество, являющееся предметом сделки, имеет единое назначение</w:t>
      </w:r>
      <w:r>
        <w:rPr>
          <w:sz w:val="28"/>
          <w:szCs w:val="28"/>
        </w:rPr>
        <w:t>;</w:t>
      </w:r>
      <w:r w:rsidRPr="00D55754">
        <w:rPr>
          <w:sz w:val="28"/>
          <w:szCs w:val="28"/>
        </w:rPr>
        <w:t xml:space="preserve"> сделки имеют одинаковую природу</w:t>
      </w:r>
      <w:r>
        <w:rPr>
          <w:sz w:val="28"/>
          <w:szCs w:val="28"/>
        </w:rPr>
        <w:t>;</w:t>
      </w:r>
      <w:r w:rsidRPr="00D55754">
        <w:rPr>
          <w:sz w:val="28"/>
          <w:szCs w:val="28"/>
        </w:rPr>
        <w:t xml:space="preserve"> наличие взаимозависимости совершаемых сделок (заключая каждый из договоров, </w:t>
      </w:r>
      <w:r w:rsidRPr="00D55754">
        <w:rPr>
          <w:sz w:val="28"/>
          <w:szCs w:val="28"/>
        </w:rPr>
        <w:lastRenderedPageBreak/>
        <w:t>стороны увязывают возникновение новых обязательств с обязательствами по другим договорам</w:t>
      </w:r>
      <w:r>
        <w:rPr>
          <w:sz w:val="28"/>
          <w:szCs w:val="28"/>
        </w:rPr>
        <w:t>)</w:t>
      </w:r>
      <w:r w:rsidRPr="00D55754">
        <w:rPr>
          <w:sz w:val="28"/>
          <w:szCs w:val="28"/>
        </w:rPr>
        <w:t>.</w:t>
      </w:r>
      <w:r w:rsidRPr="003E4866">
        <w:rPr>
          <w:sz w:val="28"/>
          <w:szCs w:val="28"/>
          <w:vertAlign w:val="superscript"/>
        </w:rPr>
        <w:footnoteReference w:id="18"/>
      </w:r>
      <w:r w:rsidRPr="003E4866">
        <w:rPr>
          <w:sz w:val="28"/>
          <w:szCs w:val="28"/>
          <w:vertAlign w:val="superscript"/>
        </w:rPr>
        <w:t xml:space="preserve"> 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е) сделки, нарушающие запрет, установленный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 xml:space="preserve">. 3 п. 3 ст. 64 Закона о банкротстве или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>. 3 п. 3.1 ст. 64, по передаче имущества должника созданным им юридическим лицам и по приобретению должником участия в иных юридических лицах. Таким образом</w:t>
      </w:r>
      <w:r>
        <w:rPr>
          <w:sz w:val="28"/>
          <w:szCs w:val="28"/>
        </w:rPr>
        <w:t>, оспаривается сам</w:t>
      </w:r>
      <w:r w:rsidRPr="00D55754">
        <w:rPr>
          <w:sz w:val="28"/>
          <w:szCs w:val="28"/>
        </w:rPr>
        <w:t xml:space="preserve"> факт исполнения </w:t>
      </w:r>
      <w:r>
        <w:rPr>
          <w:sz w:val="28"/>
          <w:szCs w:val="28"/>
        </w:rPr>
        <w:t>такого</w:t>
      </w:r>
      <w:r w:rsidRPr="00D55754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.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ж) сделки, нарушающие запрет, установленный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 xml:space="preserve">. п. 3 или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 xml:space="preserve">. 5 </w:t>
      </w:r>
      <w:proofErr w:type="spellStart"/>
      <w:r w:rsidRPr="00D55754">
        <w:rPr>
          <w:sz w:val="28"/>
          <w:szCs w:val="28"/>
        </w:rPr>
        <w:t>пп</w:t>
      </w:r>
      <w:proofErr w:type="spellEnd"/>
      <w:r w:rsidRPr="00D55754">
        <w:rPr>
          <w:sz w:val="28"/>
          <w:szCs w:val="28"/>
        </w:rPr>
        <w:t>. 3.1 ст. 64 Закона о банкротстве, сделки по размещению должником облигаций и иных эмиссионных ценных бумаг (за исключением акций для обычных должников, не являющихся унитарными предприятиями).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>В соответствии с Информационным письмом Президиума ВАС РФ № 129 ничтожными признаются следующие сделки: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а) сделки, нарушающие запрет, установленный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>. 8 п. 1 ст. 63 Закона о банкротстве, сделки, направленные на изъятие собственником имущества должника - унитарного предприятия принадлежащего должнику имущества. ВАС РФ считает ничтожной сделкой не собственно решение об изъятии имущества, а фактические действия, направленные на исполнение этого решения.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б) сделки, нарушающие запрет, установленный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 xml:space="preserve">. 5 п. 3 ст. 64 Закона о банкротстве, направленные на удовлетворение требований, основанных на решениях о выплате дивидендов, доходов по долям (паям), решениях о распределении прибыли между учредителями (участниками) должника, принятых после даты введения наблюдения. </w:t>
      </w:r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55754">
        <w:rPr>
          <w:sz w:val="28"/>
          <w:szCs w:val="28"/>
        </w:rPr>
        <w:t xml:space="preserve">Важным отличительным признаком данного вида ничтожных сделок, от сделок, запрещенных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 xml:space="preserve">. 9 п. 1 ст. 63 Закона о банкротстве является то, что такие сделки должны быть совершены по решениям органов управления, принятым после введения наблюдения, если же такое решение было принято </w:t>
      </w:r>
      <w:r w:rsidRPr="00D55754">
        <w:rPr>
          <w:sz w:val="28"/>
          <w:szCs w:val="28"/>
        </w:rPr>
        <w:lastRenderedPageBreak/>
        <w:t xml:space="preserve">до, то сделка должна оспариваться по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 xml:space="preserve">. 9 п.1 ст. 63 и признаваться </w:t>
      </w:r>
      <w:proofErr w:type="spellStart"/>
      <w:r w:rsidRPr="00D55754">
        <w:rPr>
          <w:sz w:val="28"/>
          <w:szCs w:val="28"/>
        </w:rPr>
        <w:t>оспоримой</w:t>
      </w:r>
      <w:proofErr w:type="spellEnd"/>
      <w:r w:rsidRPr="00D55754">
        <w:rPr>
          <w:sz w:val="28"/>
          <w:szCs w:val="28"/>
        </w:rPr>
        <w:t>.</w:t>
      </w:r>
      <w:proofErr w:type="gramEnd"/>
    </w:p>
    <w:p w:rsidR="006403C5" w:rsidRPr="00D55754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>в) договоры простого товарищества, заключенные после даты введения наблюдения (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 xml:space="preserve">. 9 п. 3 ст. 64 Закона о банкротстве). </w:t>
      </w:r>
      <w:r>
        <w:rPr>
          <w:sz w:val="28"/>
          <w:szCs w:val="28"/>
        </w:rPr>
        <w:t>В</w:t>
      </w:r>
      <w:r w:rsidRPr="00D55754">
        <w:rPr>
          <w:sz w:val="28"/>
          <w:szCs w:val="28"/>
        </w:rPr>
        <w:t xml:space="preserve"> отношении унитарных предприятий аналогичная норма отсутствует.</w:t>
      </w:r>
      <w:r w:rsidRPr="003E4866">
        <w:rPr>
          <w:sz w:val="28"/>
          <w:szCs w:val="28"/>
          <w:vertAlign w:val="superscript"/>
        </w:rPr>
        <w:footnoteReference w:id="19"/>
      </w:r>
    </w:p>
    <w:p w:rsidR="006403C5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55754">
        <w:rPr>
          <w:sz w:val="28"/>
          <w:szCs w:val="28"/>
        </w:rPr>
        <w:t xml:space="preserve">Информационное письмо Президиума ВАС РФ № 129 в качестве ничтожных выделяет еще одну категорию сделок: сделки, нарушающие запрет, установленный </w:t>
      </w:r>
      <w:proofErr w:type="spellStart"/>
      <w:r w:rsidRPr="00D55754">
        <w:rPr>
          <w:sz w:val="28"/>
          <w:szCs w:val="28"/>
        </w:rPr>
        <w:t>абз</w:t>
      </w:r>
      <w:proofErr w:type="spellEnd"/>
      <w:r w:rsidRPr="00D55754">
        <w:rPr>
          <w:sz w:val="28"/>
          <w:szCs w:val="28"/>
        </w:rPr>
        <w:t>. 5 п. 1 ст. 63 Закона о банкротстве, по удовлетворению требований учредителя (участника) должника о выделе доли (пая) в имуществе должника в связи с выходом из состава учредителей (участников), по выкупу либо приобретению должником размещенных акций или выплате действительной стоимости доли</w:t>
      </w:r>
      <w:proofErr w:type="gramEnd"/>
      <w:r w:rsidRPr="00D55754">
        <w:rPr>
          <w:sz w:val="28"/>
          <w:szCs w:val="28"/>
        </w:rPr>
        <w:t xml:space="preserve"> (пая), </w:t>
      </w:r>
      <w:proofErr w:type="gramStart"/>
      <w:r w:rsidRPr="00D55754">
        <w:rPr>
          <w:sz w:val="28"/>
          <w:szCs w:val="28"/>
        </w:rPr>
        <w:t>однако</w:t>
      </w:r>
      <w:proofErr w:type="gramEnd"/>
      <w:r w:rsidRPr="00D55754">
        <w:rPr>
          <w:sz w:val="28"/>
          <w:szCs w:val="28"/>
        </w:rPr>
        <w:t xml:space="preserve"> в настоящее время такое выделение спорно</w:t>
      </w:r>
      <w:r>
        <w:rPr>
          <w:sz w:val="28"/>
          <w:szCs w:val="28"/>
        </w:rPr>
        <w:t>.</w:t>
      </w:r>
      <w:r w:rsidRPr="00D55754">
        <w:rPr>
          <w:sz w:val="28"/>
          <w:szCs w:val="28"/>
        </w:rPr>
        <w:t xml:space="preserve"> С принятием </w:t>
      </w:r>
      <w:r>
        <w:rPr>
          <w:sz w:val="28"/>
          <w:szCs w:val="28"/>
        </w:rPr>
        <w:t>Закона о внесении изменений № 73-ФЗ</w:t>
      </w:r>
      <w:r w:rsidRPr="00D55754">
        <w:rPr>
          <w:sz w:val="28"/>
          <w:szCs w:val="28"/>
        </w:rPr>
        <w:t xml:space="preserve"> в случае оспаривания данного вида сделок в процедурах внешнего и конкурсного производства они могут подпадать под понятие как подозрительных сделок (ст. 61.2), так и сделок с предпочтением (ст. 61.3), которые являются </w:t>
      </w:r>
      <w:proofErr w:type="spellStart"/>
      <w:r w:rsidRPr="00D55754">
        <w:rPr>
          <w:sz w:val="28"/>
          <w:szCs w:val="28"/>
        </w:rPr>
        <w:t>оспоримыми</w:t>
      </w:r>
      <w:proofErr w:type="spellEnd"/>
      <w:r w:rsidRPr="00D55754">
        <w:rPr>
          <w:sz w:val="28"/>
          <w:szCs w:val="28"/>
        </w:rPr>
        <w:t xml:space="preserve"> и могут быть оспорены только в процедурах внешнего и конкурсного управления. В Информационном письме Президиума ВАС РФ № 129 данный вид сделок обозначен как ничтожные. </w:t>
      </w:r>
      <w:proofErr w:type="gramStart"/>
      <w:r w:rsidRPr="00D55754">
        <w:rPr>
          <w:sz w:val="28"/>
          <w:szCs w:val="28"/>
        </w:rPr>
        <w:t xml:space="preserve">Таким образом, возникает коллизия: если в процедуре наблюдения такие сделки не были признаны недействительными как ничтожные, то при обращении внешнего или конкурсного управляющего они должны быть признаны ничтожными в соответствии с рассматриваемым основанием или </w:t>
      </w:r>
      <w:proofErr w:type="spellStart"/>
      <w:r w:rsidRPr="00D55754">
        <w:rPr>
          <w:sz w:val="28"/>
          <w:szCs w:val="28"/>
        </w:rPr>
        <w:t>оспоримыми</w:t>
      </w:r>
      <w:proofErr w:type="spellEnd"/>
      <w:r w:rsidRPr="00D55754">
        <w:rPr>
          <w:sz w:val="28"/>
          <w:szCs w:val="28"/>
        </w:rPr>
        <w:t xml:space="preserve"> как подозрительные сделки или с предпочтением в соответствии со ст. 61.2, 61.3 Закона о банкротстве</w:t>
      </w:r>
      <w:r>
        <w:rPr>
          <w:sz w:val="28"/>
          <w:szCs w:val="28"/>
        </w:rPr>
        <w:t>.</w:t>
      </w:r>
      <w:r w:rsidRPr="00D55754">
        <w:rPr>
          <w:sz w:val="28"/>
          <w:szCs w:val="28"/>
        </w:rPr>
        <w:t xml:space="preserve"> </w:t>
      </w:r>
      <w:proofErr w:type="gramEnd"/>
    </w:p>
    <w:p w:rsidR="006403C5" w:rsidRDefault="006403C5" w:rsidP="006403C5">
      <w:pPr>
        <w:spacing w:line="360" w:lineRule="auto"/>
        <w:ind w:firstLine="567"/>
        <w:jc w:val="both"/>
        <w:rPr>
          <w:sz w:val="28"/>
          <w:szCs w:val="28"/>
        </w:rPr>
      </w:pPr>
      <w:r w:rsidRPr="00D55754">
        <w:rPr>
          <w:sz w:val="28"/>
          <w:szCs w:val="28"/>
        </w:rPr>
        <w:t xml:space="preserve">Думается, что для арбитражного управляющего проще будет доказать ее несоответствие конкретной норме закона, нежели устанавливать все элементы подозрительной сделки или сделки с предпочтением, но тогда исходя из </w:t>
      </w:r>
      <w:r w:rsidRPr="00D55754">
        <w:rPr>
          <w:sz w:val="28"/>
          <w:szCs w:val="28"/>
        </w:rPr>
        <w:lastRenderedPageBreak/>
        <w:t xml:space="preserve">рекомендаций Информационного письма Президиума ВАС РФ № 129 такая сделка должна быть признана ничтожной. </w:t>
      </w:r>
    </w:p>
    <w:p w:rsidR="00222B9C" w:rsidRPr="00D5543E" w:rsidRDefault="00222B9C" w:rsidP="00222B9C">
      <w:pPr>
        <w:spacing w:line="360" w:lineRule="auto"/>
        <w:ind w:firstLine="567"/>
        <w:jc w:val="right"/>
        <w:rPr>
          <w:color w:val="000000"/>
          <w:sz w:val="28"/>
          <w:szCs w:val="28"/>
        </w:rPr>
      </w:pPr>
    </w:p>
    <w:p w:rsidR="00394A80" w:rsidRPr="00222B9C" w:rsidRDefault="00394A80" w:rsidP="00394A80">
      <w:pPr>
        <w:spacing w:line="360" w:lineRule="auto"/>
        <w:jc w:val="right"/>
        <w:rPr>
          <w:b/>
          <w:i/>
          <w:color w:val="000000" w:themeColor="text1"/>
          <w:sz w:val="28"/>
        </w:rPr>
      </w:pPr>
      <w:proofErr w:type="gramStart"/>
      <w:r w:rsidRPr="00222B9C">
        <w:rPr>
          <w:b/>
          <w:i/>
          <w:color w:val="000000"/>
          <w:sz w:val="28"/>
          <w:szCs w:val="28"/>
          <w:lang w:val="en-US"/>
        </w:rPr>
        <w:t>K</w:t>
      </w:r>
      <w:r w:rsidRPr="00222B9C">
        <w:rPr>
          <w:b/>
          <w:i/>
          <w:color w:val="000000"/>
          <w:sz w:val="28"/>
          <w:szCs w:val="28"/>
        </w:rPr>
        <w:t>.</w:t>
      </w:r>
      <w:r w:rsidRPr="00222B9C">
        <w:rPr>
          <w:b/>
          <w:i/>
          <w:color w:val="000000"/>
          <w:sz w:val="28"/>
          <w:szCs w:val="28"/>
          <w:lang w:val="en-US"/>
        </w:rPr>
        <w:t>S</w:t>
      </w:r>
      <w:r w:rsidRPr="00394A80">
        <w:rPr>
          <w:b/>
          <w:i/>
          <w:color w:val="000000"/>
          <w:sz w:val="28"/>
          <w:szCs w:val="28"/>
        </w:rPr>
        <w:t>.</w:t>
      </w:r>
      <w:proofErr w:type="gramEnd"/>
      <w:r w:rsidRPr="00394A80">
        <w:rPr>
          <w:b/>
          <w:i/>
          <w:color w:val="000000"/>
          <w:sz w:val="28"/>
          <w:szCs w:val="28"/>
        </w:rPr>
        <w:t xml:space="preserve"> </w:t>
      </w:r>
      <w:r w:rsidRPr="00222B9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22B9C">
        <w:rPr>
          <w:b/>
          <w:i/>
          <w:color w:val="000000"/>
          <w:sz w:val="28"/>
          <w:szCs w:val="28"/>
          <w:lang w:val="en-US"/>
        </w:rPr>
        <w:t>Kondratieva</w:t>
      </w:r>
      <w:proofErr w:type="spellEnd"/>
      <w:r w:rsidRPr="00222B9C">
        <w:rPr>
          <w:rStyle w:val="a5"/>
          <w:b/>
          <w:i/>
          <w:color w:val="000000" w:themeColor="text1"/>
          <w:sz w:val="28"/>
        </w:rPr>
        <w:t xml:space="preserve"> </w:t>
      </w:r>
      <w:r w:rsidRPr="00222B9C">
        <w:rPr>
          <w:rStyle w:val="a5"/>
          <w:b/>
          <w:i/>
          <w:color w:val="000000" w:themeColor="text1"/>
          <w:sz w:val="28"/>
        </w:rPr>
        <w:footnoteReference w:customMarkFollows="1" w:id="20"/>
        <w:t>*</w:t>
      </w:r>
    </w:p>
    <w:p w:rsidR="00222B9C" w:rsidRDefault="00222B9C" w:rsidP="00222B9C">
      <w:pPr>
        <w:spacing w:line="360" w:lineRule="auto"/>
        <w:ind w:firstLine="567"/>
        <w:jc w:val="right"/>
        <w:rPr>
          <w:sz w:val="28"/>
          <w:szCs w:val="28"/>
        </w:rPr>
      </w:pPr>
    </w:p>
    <w:p w:rsidR="00222B9C" w:rsidRPr="00D5543E" w:rsidRDefault="00222B9C" w:rsidP="00222B9C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222B9C">
        <w:rPr>
          <w:b/>
          <w:bCs/>
          <w:sz w:val="28"/>
          <w:szCs w:val="28"/>
          <w:lang w:val="en-US"/>
        </w:rPr>
        <w:t xml:space="preserve">SPECIAL </w:t>
      </w:r>
      <w:r>
        <w:rPr>
          <w:b/>
          <w:bCs/>
          <w:sz w:val="28"/>
          <w:szCs w:val="28"/>
          <w:lang w:val="en-US"/>
        </w:rPr>
        <w:t xml:space="preserve">GROUNDS FOR </w:t>
      </w:r>
      <w:proofErr w:type="gramStart"/>
      <w:r>
        <w:rPr>
          <w:b/>
          <w:bCs/>
          <w:sz w:val="28"/>
          <w:szCs w:val="28"/>
          <w:lang w:val="en-US"/>
        </w:rPr>
        <w:t>INVALIDATION  OF</w:t>
      </w:r>
      <w:proofErr w:type="gramEnd"/>
      <w:r>
        <w:rPr>
          <w:b/>
          <w:bCs/>
          <w:sz w:val="28"/>
          <w:szCs w:val="28"/>
          <w:lang w:val="en-US"/>
        </w:rPr>
        <w:t xml:space="preserve"> DEBTOR TRANSACTIONS IN</w:t>
      </w:r>
      <w:r w:rsidRPr="00222B9C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>MONITORING PROCEDURE</w:t>
      </w:r>
      <w:r w:rsidRPr="00222B9C">
        <w:rPr>
          <w:sz w:val="28"/>
          <w:szCs w:val="28"/>
          <w:lang w:val="en-US"/>
        </w:rPr>
        <w:br/>
      </w:r>
    </w:p>
    <w:p w:rsidR="00222B9C" w:rsidRPr="00222B9C" w:rsidRDefault="00D5543E" w:rsidP="00222B9C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Sammary</w:t>
      </w:r>
      <w:r w:rsidR="00222B9C" w:rsidRPr="00222B9C">
        <w:rPr>
          <w:b/>
          <w:bCs/>
          <w:sz w:val="28"/>
          <w:szCs w:val="28"/>
          <w:lang w:val="en-US"/>
        </w:rPr>
        <w:t xml:space="preserve">: </w:t>
      </w:r>
      <w:r w:rsidR="00222B9C">
        <w:rPr>
          <w:sz w:val="28"/>
          <w:szCs w:val="28"/>
          <w:lang w:val="en-US"/>
        </w:rPr>
        <w:t>T</w:t>
      </w:r>
      <w:r w:rsidR="00222B9C" w:rsidRPr="00222B9C">
        <w:rPr>
          <w:sz w:val="28"/>
          <w:szCs w:val="28"/>
          <w:lang w:val="en-US"/>
        </w:rPr>
        <w:t>he author studi</w:t>
      </w:r>
      <w:r w:rsidR="00222B9C">
        <w:rPr>
          <w:sz w:val="28"/>
          <w:szCs w:val="28"/>
          <w:lang w:val="en-US"/>
        </w:rPr>
        <w:t>es</w:t>
      </w:r>
      <w:r w:rsidR="00222B9C" w:rsidRPr="00222B9C">
        <w:rPr>
          <w:sz w:val="28"/>
          <w:szCs w:val="28"/>
          <w:lang w:val="en-US"/>
        </w:rPr>
        <w:t xml:space="preserve"> the order of invalidation </w:t>
      </w:r>
      <w:r w:rsidR="00222B9C">
        <w:rPr>
          <w:sz w:val="28"/>
          <w:szCs w:val="28"/>
          <w:lang w:val="en-US"/>
        </w:rPr>
        <w:t>of a transaction</w:t>
      </w:r>
      <w:r w:rsidR="00222B9C" w:rsidRPr="00222B9C">
        <w:rPr>
          <w:sz w:val="28"/>
          <w:szCs w:val="28"/>
          <w:lang w:val="en-US"/>
        </w:rPr>
        <w:t xml:space="preserve"> and appl</w:t>
      </w:r>
      <w:r w:rsidR="00222B9C">
        <w:rPr>
          <w:sz w:val="28"/>
          <w:szCs w:val="28"/>
          <w:lang w:val="en-US"/>
        </w:rPr>
        <w:t>ication of t</w:t>
      </w:r>
      <w:r w:rsidR="00222B9C" w:rsidRPr="00222B9C">
        <w:rPr>
          <w:sz w:val="28"/>
          <w:szCs w:val="28"/>
          <w:lang w:val="en-US"/>
        </w:rPr>
        <w:t xml:space="preserve">he  </w:t>
      </w:r>
      <w:r w:rsidR="00222B9C">
        <w:rPr>
          <w:sz w:val="28"/>
          <w:szCs w:val="28"/>
          <w:lang w:val="en-US"/>
        </w:rPr>
        <w:t xml:space="preserve">results </w:t>
      </w:r>
      <w:r w:rsidR="00222B9C" w:rsidRPr="00222B9C">
        <w:rPr>
          <w:sz w:val="28"/>
          <w:szCs w:val="28"/>
          <w:lang w:val="en-US"/>
        </w:rPr>
        <w:t xml:space="preserve"> of its invalidity in the process of </w:t>
      </w:r>
      <w:proofErr w:type="spellStart"/>
      <w:r w:rsidR="00222B9C">
        <w:rPr>
          <w:sz w:val="28"/>
          <w:szCs w:val="28"/>
          <w:lang w:val="en-US"/>
        </w:rPr>
        <w:t>montoring</w:t>
      </w:r>
      <w:proofErr w:type="spellEnd"/>
      <w:r w:rsidR="00222B9C" w:rsidRPr="00222B9C">
        <w:rPr>
          <w:sz w:val="28"/>
          <w:szCs w:val="28"/>
          <w:lang w:val="en-US"/>
        </w:rPr>
        <w:t xml:space="preserve">. The author points out that the grounds for invalidation of transactions </w:t>
      </w:r>
      <w:r w:rsidR="00222B9C">
        <w:rPr>
          <w:sz w:val="28"/>
          <w:szCs w:val="28"/>
          <w:lang w:val="en-US"/>
        </w:rPr>
        <w:t xml:space="preserve">are presented </w:t>
      </w:r>
      <w:r w:rsidR="00222B9C" w:rsidRPr="00222B9C">
        <w:rPr>
          <w:sz w:val="28"/>
          <w:szCs w:val="28"/>
          <w:lang w:val="en-US"/>
        </w:rPr>
        <w:t xml:space="preserve">not only in the Civil Code of the Russian Federation, but </w:t>
      </w:r>
      <w:r w:rsidR="00222B9C">
        <w:rPr>
          <w:sz w:val="28"/>
          <w:szCs w:val="28"/>
          <w:lang w:val="en-US"/>
        </w:rPr>
        <w:t xml:space="preserve">in </w:t>
      </w:r>
      <w:r w:rsidR="00222B9C" w:rsidRPr="00222B9C">
        <w:rPr>
          <w:sz w:val="28"/>
          <w:szCs w:val="28"/>
          <w:lang w:val="en-US"/>
        </w:rPr>
        <w:t xml:space="preserve">other legal acts in the system of civil law, including the law on bankruptcy. </w:t>
      </w:r>
      <w:r w:rsidR="00222B9C">
        <w:rPr>
          <w:sz w:val="28"/>
          <w:szCs w:val="28"/>
          <w:lang w:val="en-US"/>
        </w:rPr>
        <w:t>U</w:t>
      </w:r>
      <w:r w:rsidR="00222B9C" w:rsidRPr="00222B9C">
        <w:rPr>
          <w:sz w:val="28"/>
          <w:szCs w:val="28"/>
          <w:lang w:val="en-US"/>
        </w:rPr>
        <w:t>nlike the Civil Code</w:t>
      </w:r>
      <w:proofErr w:type="gramStart"/>
      <w:r w:rsidR="00222B9C">
        <w:rPr>
          <w:sz w:val="28"/>
          <w:szCs w:val="28"/>
          <w:lang w:val="en-US"/>
        </w:rPr>
        <w:t xml:space="preserve">, </w:t>
      </w:r>
      <w:r w:rsidR="00222B9C" w:rsidRPr="00222B9C">
        <w:rPr>
          <w:sz w:val="28"/>
          <w:szCs w:val="28"/>
          <w:lang w:val="en-US"/>
        </w:rPr>
        <w:t xml:space="preserve"> </w:t>
      </w:r>
      <w:r w:rsidR="00222B9C">
        <w:rPr>
          <w:sz w:val="28"/>
          <w:szCs w:val="28"/>
          <w:lang w:val="en-US"/>
        </w:rPr>
        <w:t>the</w:t>
      </w:r>
      <w:proofErr w:type="gramEnd"/>
      <w:r w:rsidR="00222B9C">
        <w:rPr>
          <w:sz w:val="28"/>
          <w:szCs w:val="28"/>
          <w:lang w:val="en-US"/>
        </w:rPr>
        <w:t xml:space="preserve"> law of </w:t>
      </w:r>
      <w:proofErr w:type="spellStart"/>
      <w:r w:rsidR="00222B9C">
        <w:rPr>
          <w:sz w:val="28"/>
          <w:szCs w:val="28"/>
          <w:lang w:val="en-US"/>
        </w:rPr>
        <w:t>bankrupcy</w:t>
      </w:r>
      <w:proofErr w:type="spellEnd"/>
      <w:r w:rsidR="00222B9C">
        <w:rPr>
          <w:sz w:val="28"/>
          <w:szCs w:val="28"/>
          <w:lang w:val="en-US"/>
        </w:rPr>
        <w:t xml:space="preserve"> </w:t>
      </w:r>
      <w:r w:rsidR="00222B9C" w:rsidRPr="00222B9C">
        <w:rPr>
          <w:sz w:val="28"/>
          <w:szCs w:val="28"/>
          <w:lang w:val="en-US"/>
        </w:rPr>
        <w:t xml:space="preserve">provides </w:t>
      </w:r>
      <w:r w:rsidR="00222B9C">
        <w:rPr>
          <w:sz w:val="28"/>
          <w:szCs w:val="28"/>
          <w:lang w:val="en-US"/>
        </w:rPr>
        <w:t xml:space="preserve">a </w:t>
      </w:r>
      <w:r w:rsidR="00222B9C" w:rsidRPr="00222B9C">
        <w:rPr>
          <w:sz w:val="28"/>
          <w:szCs w:val="28"/>
          <w:lang w:val="en-US"/>
        </w:rPr>
        <w:t xml:space="preserve">different order and number of persons </w:t>
      </w:r>
      <w:r w:rsidR="00222B9C">
        <w:rPr>
          <w:sz w:val="28"/>
          <w:szCs w:val="28"/>
          <w:lang w:val="en-US"/>
        </w:rPr>
        <w:t>who</w:t>
      </w:r>
      <w:r w:rsidR="00222B9C" w:rsidRPr="00222B9C">
        <w:rPr>
          <w:sz w:val="28"/>
          <w:szCs w:val="28"/>
          <w:lang w:val="en-US"/>
        </w:rPr>
        <w:t xml:space="preserve"> claim that the transaction </w:t>
      </w:r>
      <w:r w:rsidR="00222B9C">
        <w:rPr>
          <w:sz w:val="28"/>
          <w:szCs w:val="28"/>
          <w:lang w:val="en-US"/>
        </w:rPr>
        <w:t>can</w:t>
      </w:r>
      <w:r w:rsidR="00222B9C" w:rsidRPr="00222B9C">
        <w:rPr>
          <w:sz w:val="28"/>
          <w:szCs w:val="28"/>
          <w:lang w:val="en-US"/>
        </w:rPr>
        <w:t xml:space="preserve"> be invalidated. In addition, </w:t>
      </w:r>
      <w:r w:rsidR="00222B9C">
        <w:rPr>
          <w:sz w:val="28"/>
          <w:szCs w:val="28"/>
          <w:lang w:val="en-US"/>
        </w:rPr>
        <w:t xml:space="preserve">as a part of </w:t>
      </w:r>
      <w:r w:rsidR="00222B9C" w:rsidRPr="00222B9C">
        <w:rPr>
          <w:sz w:val="28"/>
          <w:szCs w:val="28"/>
          <w:lang w:val="en-US"/>
        </w:rPr>
        <w:t>bankruptcy</w:t>
      </w:r>
      <w:proofErr w:type="gramStart"/>
      <w:r w:rsidR="00222B9C" w:rsidRPr="00222B9C">
        <w:rPr>
          <w:sz w:val="28"/>
          <w:szCs w:val="28"/>
          <w:lang w:val="en-US"/>
        </w:rPr>
        <w:t xml:space="preserve">, </w:t>
      </w:r>
      <w:r w:rsidR="00222B9C">
        <w:rPr>
          <w:sz w:val="28"/>
          <w:szCs w:val="28"/>
          <w:lang w:val="en-US"/>
        </w:rPr>
        <w:t xml:space="preserve"> invalidation</w:t>
      </w:r>
      <w:proofErr w:type="gramEnd"/>
      <w:r w:rsidR="00222B9C">
        <w:rPr>
          <w:sz w:val="28"/>
          <w:szCs w:val="28"/>
          <w:lang w:val="en-US"/>
        </w:rPr>
        <w:t xml:space="preserve"> of</w:t>
      </w:r>
      <w:r w:rsidR="00222B9C" w:rsidRPr="00222B9C">
        <w:rPr>
          <w:sz w:val="28"/>
          <w:szCs w:val="28"/>
          <w:lang w:val="en-US"/>
        </w:rPr>
        <w:t xml:space="preserve"> transactions performs two important functions: to protect the interests of creditors and the debtor's solvency recovery.</w:t>
      </w:r>
      <w:r w:rsidR="00222B9C" w:rsidRPr="00222B9C">
        <w:rPr>
          <w:sz w:val="28"/>
          <w:szCs w:val="28"/>
          <w:lang w:val="en-US"/>
        </w:rPr>
        <w:br/>
      </w:r>
    </w:p>
    <w:p w:rsidR="00222B9C" w:rsidRPr="00222B9C" w:rsidRDefault="00222B9C" w:rsidP="00222B9C">
      <w:pPr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222B9C">
        <w:rPr>
          <w:b/>
          <w:bCs/>
          <w:color w:val="000000"/>
          <w:sz w:val="28"/>
          <w:szCs w:val="28"/>
          <w:lang w:val="en-US"/>
        </w:rPr>
        <w:t xml:space="preserve">Keywords: </w:t>
      </w:r>
      <w:r w:rsidRPr="00222B9C">
        <w:rPr>
          <w:color w:val="000000"/>
          <w:sz w:val="28"/>
          <w:szCs w:val="28"/>
          <w:lang w:val="en-US"/>
        </w:rPr>
        <w:t>insolvency (bankruptcy), invalidation of transactions, monitoring procedure.</w:t>
      </w:r>
    </w:p>
    <w:p w:rsidR="00222B9C" w:rsidRPr="00394A80" w:rsidRDefault="00222B9C" w:rsidP="00394A80">
      <w:pPr>
        <w:spacing w:line="360" w:lineRule="auto"/>
        <w:jc w:val="both"/>
        <w:rPr>
          <w:sz w:val="28"/>
          <w:szCs w:val="28"/>
        </w:rPr>
      </w:pPr>
    </w:p>
    <w:p w:rsidR="00394A80" w:rsidRPr="00222B9C" w:rsidRDefault="00394A80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sectPr w:rsidR="00394A80" w:rsidRPr="00222B9C" w:rsidSect="0053143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B4" w:rsidRDefault="00EB31B4" w:rsidP="006403C5">
      <w:r>
        <w:separator/>
      </w:r>
    </w:p>
  </w:endnote>
  <w:endnote w:type="continuationSeparator" w:id="0">
    <w:p w:rsidR="00EB31B4" w:rsidRDefault="00EB31B4" w:rsidP="0064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4576"/>
      <w:docPartObj>
        <w:docPartGallery w:val="Page Numbers (Bottom of Page)"/>
        <w:docPartUnique/>
      </w:docPartObj>
    </w:sdtPr>
    <w:sdtContent>
      <w:p w:rsidR="00531437" w:rsidRDefault="009F3009">
        <w:pPr>
          <w:pStyle w:val="a9"/>
          <w:jc w:val="right"/>
        </w:pPr>
        <w:fldSimple w:instr=" PAGE   \* MERGEFORMAT ">
          <w:r w:rsidR="00394A80">
            <w:rPr>
              <w:noProof/>
            </w:rPr>
            <w:t>9</w:t>
          </w:r>
        </w:fldSimple>
      </w:p>
    </w:sdtContent>
  </w:sdt>
  <w:p w:rsidR="00531437" w:rsidRDefault="005314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B4" w:rsidRDefault="00EB31B4" w:rsidP="006403C5">
      <w:r>
        <w:separator/>
      </w:r>
    </w:p>
  </w:footnote>
  <w:footnote w:type="continuationSeparator" w:id="0">
    <w:p w:rsidR="00EB31B4" w:rsidRDefault="00EB31B4" w:rsidP="006403C5">
      <w:r>
        <w:continuationSeparator/>
      </w:r>
    </w:p>
  </w:footnote>
  <w:footnote w:id="1">
    <w:p w:rsidR="009F3041" w:rsidRDefault="009F3041" w:rsidP="00531437">
      <w:pPr>
        <w:pStyle w:val="a3"/>
        <w:ind w:firstLine="567"/>
        <w:jc w:val="both"/>
      </w:pPr>
      <w:r w:rsidRPr="00531437">
        <w:rPr>
          <w:rStyle w:val="a5"/>
        </w:rPr>
        <w:t>*</w:t>
      </w:r>
      <w:r w:rsidRPr="00531437">
        <w:t xml:space="preserve"> </w:t>
      </w:r>
      <w:r w:rsidR="00531437" w:rsidRPr="00531437">
        <w:t>Кондратьева Ксения Сергеевна, кандидат юридических наук, доцент</w:t>
      </w:r>
      <w:r w:rsidRPr="00531437">
        <w:t xml:space="preserve"> кафедры предпринимательского права Пермского государственного национального исследовательского университета, </w:t>
      </w:r>
      <w:r w:rsidRPr="00531437">
        <w:rPr>
          <w:lang w:val="en-US"/>
        </w:rPr>
        <w:t>e</w:t>
      </w:r>
      <w:r w:rsidRPr="00531437">
        <w:t>-</w:t>
      </w:r>
      <w:proofErr w:type="spellStart"/>
      <w:r w:rsidRPr="00531437">
        <w:t>mail</w:t>
      </w:r>
      <w:proofErr w:type="spellEnd"/>
      <w:r w:rsidRPr="00531437">
        <w:t xml:space="preserve">: </w:t>
      </w:r>
      <w:hyperlink r:id="rId1" w:history="1">
        <w:r w:rsidR="00D5543E" w:rsidRPr="00EC450F">
          <w:rPr>
            <w:rStyle w:val="a6"/>
            <w:lang w:val="en-US"/>
          </w:rPr>
          <w:t>kcenua</w:t>
        </w:r>
        <w:r w:rsidR="00D5543E" w:rsidRPr="00EC450F">
          <w:rPr>
            <w:rStyle w:val="a6"/>
          </w:rPr>
          <w:t>-9@mail.</w:t>
        </w:r>
        <w:r w:rsidR="00D5543E" w:rsidRPr="00EC450F">
          <w:rPr>
            <w:rStyle w:val="a6"/>
            <w:lang w:val="en-US"/>
          </w:rPr>
          <w:t>ru</w:t>
        </w:r>
      </w:hyperlink>
      <w:r w:rsidRPr="00531437">
        <w:t>.</w:t>
      </w:r>
    </w:p>
    <w:p w:rsidR="00D5543E" w:rsidRPr="00531437" w:rsidRDefault="00D5543E" w:rsidP="00D5543E">
      <w:pPr>
        <w:ind w:firstLine="567"/>
        <w:jc w:val="both"/>
      </w:pPr>
      <w:r w:rsidRPr="00B748B2">
        <w:rPr>
          <w:sz w:val="22"/>
          <w:szCs w:val="22"/>
        </w:rPr>
        <w:t xml:space="preserve">© </w:t>
      </w:r>
      <w:r>
        <w:rPr>
          <w:sz w:val="22"/>
          <w:szCs w:val="22"/>
        </w:rPr>
        <w:t>К.С. Кондратьева</w:t>
      </w:r>
      <w:r w:rsidRPr="00B748B2">
        <w:rPr>
          <w:sz w:val="22"/>
          <w:szCs w:val="22"/>
        </w:rPr>
        <w:t>, 201</w:t>
      </w:r>
      <w:r>
        <w:rPr>
          <w:sz w:val="22"/>
          <w:szCs w:val="22"/>
        </w:rPr>
        <w:t>3</w:t>
      </w:r>
      <w:r w:rsidRPr="00B748B2">
        <w:rPr>
          <w:sz w:val="22"/>
          <w:szCs w:val="22"/>
        </w:rPr>
        <w:t xml:space="preserve">. </w:t>
      </w:r>
    </w:p>
  </w:footnote>
  <w:footnote w:id="2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О несостоятельности (банкротстве): Федеральный закон от 26.10.2002 N 127-ФЗ (ред. </w:t>
      </w:r>
      <w:r w:rsidR="00E07C42" w:rsidRPr="00531437">
        <w:t>28.07.2012</w:t>
      </w:r>
      <w:r w:rsidRPr="00531437">
        <w:t>) // СЗ РФ. 2002. № 43. Ст. 4190.</w:t>
      </w:r>
    </w:p>
  </w:footnote>
  <w:footnote w:id="3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</w:t>
      </w:r>
      <w:proofErr w:type="spellStart"/>
      <w:r w:rsidRPr="00531437">
        <w:t>Ращевский</w:t>
      </w:r>
      <w:proofErr w:type="spellEnd"/>
      <w:r w:rsidRPr="00531437">
        <w:t xml:space="preserve"> </w:t>
      </w:r>
      <w:proofErr w:type="gramStart"/>
      <w:r w:rsidRPr="00531437">
        <w:t>Е.</w:t>
      </w:r>
      <w:proofErr w:type="gramEnd"/>
      <w:r w:rsidRPr="00531437">
        <w:t xml:space="preserve"> Зачем нам процедура наблюдения? // Хозяйство и право. 2007. № 5. С. 95.</w:t>
      </w:r>
    </w:p>
  </w:footnote>
  <w:footnote w:id="4">
    <w:p w:rsidR="006403C5" w:rsidRPr="00531437" w:rsidRDefault="006403C5" w:rsidP="00531437">
      <w:pPr>
        <w:pStyle w:val="a3"/>
        <w:ind w:firstLine="567"/>
        <w:jc w:val="both"/>
        <w:rPr>
          <w:color w:val="FF00FF"/>
        </w:rPr>
      </w:pPr>
      <w:r w:rsidRPr="00531437">
        <w:rPr>
          <w:rStyle w:val="a5"/>
        </w:rPr>
        <w:footnoteRef/>
      </w:r>
      <w:r w:rsidRPr="00531437">
        <w:rPr>
          <w:color w:val="FF00FF"/>
        </w:rPr>
        <w:t xml:space="preserve"> </w:t>
      </w:r>
      <w:r w:rsidRPr="00531437">
        <w:t>Постановление</w:t>
      </w:r>
      <w:proofErr w:type="gramStart"/>
      <w:r w:rsidRPr="00531437">
        <w:t xml:space="preserve"> С</w:t>
      </w:r>
      <w:proofErr w:type="gramEnd"/>
      <w:r w:rsidRPr="00531437">
        <w:t>емнадцатого арбитражного апелляционного суда от 25.06.2010г. № 17АП-5970/2010-ГК по делу № А71-18676/2009 // СПС «</w:t>
      </w:r>
      <w:proofErr w:type="spellStart"/>
      <w:r w:rsidRPr="00531437">
        <w:t>КонсультантПлюс</w:t>
      </w:r>
      <w:proofErr w:type="spellEnd"/>
      <w:r w:rsidRPr="00531437">
        <w:t>».</w:t>
      </w:r>
    </w:p>
  </w:footnote>
  <w:footnote w:id="5">
    <w:p w:rsidR="006403C5" w:rsidRPr="00531437" w:rsidRDefault="006403C5" w:rsidP="00531437">
      <w:pPr>
        <w:autoSpaceDE w:val="0"/>
        <w:autoSpaceDN w:val="0"/>
        <w:adjustRightInd w:val="0"/>
        <w:ind w:firstLine="567"/>
        <w:jc w:val="both"/>
        <w:rPr>
          <w:color w:val="FF00FF"/>
          <w:sz w:val="20"/>
          <w:szCs w:val="20"/>
        </w:rPr>
      </w:pPr>
      <w:r w:rsidRPr="00531437">
        <w:rPr>
          <w:rStyle w:val="a5"/>
          <w:sz w:val="20"/>
          <w:szCs w:val="20"/>
        </w:rPr>
        <w:footnoteRef/>
      </w:r>
      <w:r w:rsidRPr="00531437">
        <w:rPr>
          <w:sz w:val="20"/>
          <w:szCs w:val="20"/>
        </w:rPr>
        <w:t xml:space="preserve"> О некоторых вопросах практики применения арбитражными судами положений абзаца второго пункта 1 статьи 66 Федерального закона «О  несостоятельности (банкротстве): Информационное письмо Президиума ВАС РФ от 14.04.2009 № 129 //</w:t>
      </w:r>
      <w:r w:rsidRPr="00531437">
        <w:rPr>
          <w:color w:val="FF00FF"/>
          <w:sz w:val="20"/>
          <w:szCs w:val="20"/>
        </w:rPr>
        <w:t xml:space="preserve"> </w:t>
      </w:r>
      <w:r w:rsidRPr="00531437">
        <w:rPr>
          <w:sz w:val="20"/>
          <w:szCs w:val="20"/>
        </w:rPr>
        <w:t>Вестник ВАС РФ. 2009. № 7.</w:t>
      </w:r>
    </w:p>
  </w:footnote>
  <w:footnote w:id="6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</w:t>
      </w:r>
      <w:proofErr w:type="spellStart"/>
      <w:r w:rsidRPr="00531437">
        <w:t>Телюкина</w:t>
      </w:r>
      <w:proofErr w:type="spellEnd"/>
      <w:r w:rsidRPr="00531437">
        <w:t xml:space="preserve"> М.В. Комментарий к информационному письму Президиума ВАС РФ от 14 апреля 2009г. № 129 «О некоторых вопросах практики применения арбитражными судами положений </w:t>
      </w:r>
      <w:proofErr w:type="spellStart"/>
      <w:r w:rsidRPr="00531437">
        <w:t>абз</w:t>
      </w:r>
      <w:proofErr w:type="spellEnd"/>
      <w:r w:rsidRPr="00531437">
        <w:t>. 2 п. 1 ст. 66 ФЗ «О несостоятельности (банкротстве) // Вестник ВАС РФ. 2009. № 9. С. 81.</w:t>
      </w:r>
    </w:p>
  </w:footnote>
  <w:footnote w:id="7">
    <w:p w:rsidR="006403C5" w:rsidRPr="00531437" w:rsidRDefault="006403C5" w:rsidP="0053143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31437">
        <w:rPr>
          <w:rStyle w:val="a5"/>
          <w:sz w:val="20"/>
          <w:szCs w:val="20"/>
        </w:rPr>
        <w:footnoteRef/>
      </w:r>
      <w:r w:rsidRPr="00531437">
        <w:rPr>
          <w:sz w:val="20"/>
          <w:szCs w:val="20"/>
        </w:rPr>
        <w:t xml:space="preserve"> Об исполнительном производстве: Федеральный закон от 02.10.2</w:t>
      </w:r>
      <w:r w:rsidR="00E07C42" w:rsidRPr="00531437">
        <w:rPr>
          <w:sz w:val="20"/>
          <w:szCs w:val="20"/>
        </w:rPr>
        <w:t>007 № 229-ФЗ (ред. от 28.07.2012</w:t>
      </w:r>
      <w:r w:rsidRPr="00531437">
        <w:rPr>
          <w:sz w:val="20"/>
          <w:szCs w:val="20"/>
        </w:rPr>
        <w:t>) // СЗ РФ. 2007. № 41. Ст. 4849.</w:t>
      </w:r>
    </w:p>
  </w:footnote>
  <w:footnote w:id="8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Постановление</w:t>
      </w:r>
      <w:proofErr w:type="gramStart"/>
      <w:r w:rsidRPr="00531437">
        <w:t xml:space="preserve"> С</w:t>
      </w:r>
      <w:proofErr w:type="gramEnd"/>
      <w:r w:rsidRPr="00531437">
        <w:t>емнадцатого арбитражного апелляционного суда от 16.09.2010 № 17АП-9176/2010-ГК по делу № А60-19940/2010 // СПС «</w:t>
      </w:r>
      <w:proofErr w:type="spellStart"/>
      <w:r w:rsidRPr="00531437">
        <w:t>КонсультантПлюс</w:t>
      </w:r>
      <w:proofErr w:type="spellEnd"/>
      <w:r w:rsidRPr="00531437">
        <w:t>».</w:t>
      </w:r>
    </w:p>
  </w:footnote>
  <w:footnote w:id="9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Кондратьева К.С. Гражданско-правовое регулирование предупреждения банкротства юридических лиц в России: монография. Пермь, 2007. С. 105.</w:t>
      </w:r>
    </w:p>
  </w:footnote>
  <w:footnote w:id="10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</w:t>
      </w:r>
      <w:proofErr w:type="spellStart"/>
      <w:r w:rsidRPr="00531437">
        <w:t>Телюкина</w:t>
      </w:r>
      <w:proofErr w:type="spellEnd"/>
      <w:r w:rsidRPr="00531437">
        <w:t xml:space="preserve"> М.В. Комментарий к Постановлению Пленума ВАС РФ от 30.04.2009 № 32 «О некоторых вопросах, связанных с оспариванием сделок по основаниям, предусмотренным Федеральным законом «О несостоятельности (банкротстве) // Вестник ВАС РФ. 2009. № 12. С. 94.</w:t>
      </w:r>
    </w:p>
  </w:footnote>
  <w:footnote w:id="11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</w:t>
      </w:r>
      <w:proofErr w:type="spellStart"/>
      <w:r w:rsidRPr="00531437">
        <w:t>Телюкина</w:t>
      </w:r>
      <w:proofErr w:type="spellEnd"/>
      <w:r w:rsidRPr="00531437">
        <w:t xml:space="preserve"> М.В. Комментарий к Постановлению Пленума ВАС РФ от 30.04.2009 № 32 «О некоторых вопросах, связанных с оспариванием сделок по основаниям, предусмотренным Федеральным законом «О несостоятельности (банкротстве) // Вестник ВАС РФ. 2009. № 12. С. 82.</w:t>
      </w:r>
    </w:p>
  </w:footnote>
  <w:footnote w:id="12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Решение Арбитражного суда Пермского края от 21.04.2010 по делу № А50-2324/2010 // СПС «</w:t>
      </w:r>
      <w:proofErr w:type="spellStart"/>
      <w:r w:rsidRPr="00531437">
        <w:t>КонсультантПлюс</w:t>
      </w:r>
      <w:proofErr w:type="spellEnd"/>
      <w:r w:rsidRPr="00531437">
        <w:t>».</w:t>
      </w:r>
    </w:p>
  </w:footnote>
  <w:footnote w:id="13">
    <w:p w:rsidR="006403C5" w:rsidRPr="00531437" w:rsidRDefault="006403C5" w:rsidP="00531437">
      <w:pPr>
        <w:ind w:firstLine="567"/>
        <w:jc w:val="both"/>
        <w:rPr>
          <w:sz w:val="20"/>
          <w:szCs w:val="20"/>
        </w:rPr>
      </w:pPr>
      <w:r w:rsidRPr="00531437">
        <w:rPr>
          <w:rStyle w:val="a5"/>
          <w:sz w:val="20"/>
          <w:szCs w:val="20"/>
        </w:rPr>
        <w:footnoteRef/>
      </w:r>
      <w:r w:rsidRPr="00531437">
        <w:rPr>
          <w:sz w:val="20"/>
          <w:szCs w:val="20"/>
        </w:rPr>
        <w:t xml:space="preserve"> Постановление</w:t>
      </w:r>
      <w:proofErr w:type="gramStart"/>
      <w:r w:rsidRPr="00531437">
        <w:rPr>
          <w:sz w:val="20"/>
          <w:szCs w:val="20"/>
        </w:rPr>
        <w:t xml:space="preserve"> С</w:t>
      </w:r>
      <w:proofErr w:type="gramEnd"/>
      <w:r w:rsidRPr="00531437">
        <w:rPr>
          <w:sz w:val="20"/>
          <w:szCs w:val="20"/>
        </w:rPr>
        <w:t>емнадцатого арбитражного апелляционного суда от 03.06.2008г. № 17АП-3273/2008-ГК по делу № А50-199/2008 // СПС «</w:t>
      </w:r>
      <w:proofErr w:type="spellStart"/>
      <w:r w:rsidRPr="00531437">
        <w:rPr>
          <w:sz w:val="20"/>
          <w:szCs w:val="20"/>
        </w:rPr>
        <w:t>КонсультантПлюс</w:t>
      </w:r>
      <w:proofErr w:type="spellEnd"/>
      <w:r w:rsidRPr="00531437">
        <w:rPr>
          <w:sz w:val="20"/>
          <w:szCs w:val="20"/>
        </w:rPr>
        <w:t xml:space="preserve">». </w:t>
      </w:r>
    </w:p>
  </w:footnote>
  <w:footnote w:id="14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Решение Арбитражного суда Пермского края от 21.04.2010 по делу № А50-2324/2010 // СПС «</w:t>
      </w:r>
      <w:proofErr w:type="spellStart"/>
      <w:r w:rsidRPr="00531437">
        <w:t>КонсультантПлюс</w:t>
      </w:r>
      <w:proofErr w:type="spellEnd"/>
      <w:r w:rsidRPr="00531437">
        <w:t>», Постановление</w:t>
      </w:r>
      <w:proofErr w:type="gramStart"/>
      <w:r w:rsidRPr="00531437">
        <w:t xml:space="preserve"> С</w:t>
      </w:r>
      <w:proofErr w:type="gramEnd"/>
      <w:r w:rsidRPr="00531437">
        <w:t>емнадцатого арбитражного апелляционного суда от 10.11.2010 № 17АП-10244/2010-ГК по делу № А71-17990/2009 // СПС «</w:t>
      </w:r>
      <w:proofErr w:type="spellStart"/>
      <w:r w:rsidRPr="00531437">
        <w:t>КонсультантПлюс</w:t>
      </w:r>
      <w:proofErr w:type="spellEnd"/>
      <w:r w:rsidRPr="00531437">
        <w:t>».</w:t>
      </w:r>
    </w:p>
  </w:footnote>
  <w:footnote w:id="15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</w:t>
      </w:r>
      <w:proofErr w:type="spellStart"/>
      <w:r w:rsidRPr="00531437">
        <w:t>Дорохина</w:t>
      </w:r>
      <w:proofErr w:type="spellEnd"/>
      <w:r w:rsidRPr="00531437">
        <w:t xml:space="preserve"> Е.Г. Недействительность сделок в рамках Федерального закона «О несостоятельности (банкротстве) // Закон. 2008. № 6. С. 28.</w:t>
      </w:r>
    </w:p>
  </w:footnote>
  <w:footnote w:id="16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</w:t>
      </w:r>
      <w:proofErr w:type="spellStart"/>
      <w:r w:rsidRPr="00531437">
        <w:t>Телюкина</w:t>
      </w:r>
      <w:proofErr w:type="spellEnd"/>
      <w:r w:rsidRPr="00531437">
        <w:t xml:space="preserve"> М.В. Комментарий к информационному письму Президиума ВАС РФ от 14 апреля 2009г. № 129 «О некоторых вопросах практики применения арбитражными судами положений </w:t>
      </w:r>
      <w:proofErr w:type="spellStart"/>
      <w:r w:rsidRPr="00531437">
        <w:t>абз</w:t>
      </w:r>
      <w:proofErr w:type="spellEnd"/>
      <w:r w:rsidRPr="00531437">
        <w:t xml:space="preserve">. 2 п. 1 ст. 66 ФЗ «О несостоятельности (банкротстве) // Вестник ВАС РФ. 2009. № 9. С. 83. </w:t>
      </w:r>
    </w:p>
  </w:footnote>
  <w:footnote w:id="17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Постановление</w:t>
      </w:r>
      <w:proofErr w:type="gramStart"/>
      <w:r w:rsidRPr="00531437">
        <w:t xml:space="preserve"> С</w:t>
      </w:r>
      <w:proofErr w:type="gramEnd"/>
      <w:r w:rsidRPr="00531437">
        <w:t>емнадцатого арбитражного апелляционного суда от 10.11.2010 № 17АП-10244/2010-ГК по делу № А71-17990/2009 // СПС «</w:t>
      </w:r>
      <w:proofErr w:type="spellStart"/>
      <w:r w:rsidRPr="00531437">
        <w:t>КонсультантПлюс</w:t>
      </w:r>
      <w:proofErr w:type="spellEnd"/>
      <w:r w:rsidRPr="00531437">
        <w:t>».</w:t>
      </w:r>
    </w:p>
  </w:footnote>
  <w:footnote w:id="18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Михайлов А.В., </w:t>
      </w:r>
      <w:proofErr w:type="spellStart"/>
      <w:r w:rsidRPr="00531437">
        <w:t>Челышев</w:t>
      </w:r>
      <w:proofErr w:type="spellEnd"/>
      <w:r w:rsidRPr="00531437">
        <w:t xml:space="preserve"> М.Ю. Взаимосвязанные сделки в гражданском праве России. Ученые записки Казанского государственного университета. Том 151, кн. 4 2009. С. 103-104.</w:t>
      </w:r>
    </w:p>
  </w:footnote>
  <w:footnote w:id="19">
    <w:p w:rsidR="006403C5" w:rsidRPr="00531437" w:rsidRDefault="006403C5" w:rsidP="00531437">
      <w:pPr>
        <w:pStyle w:val="a3"/>
        <w:ind w:firstLine="567"/>
        <w:jc w:val="both"/>
      </w:pPr>
      <w:r w:rsidRPr="00531437">
        <w:rPr>
          <w:rStyle w:val="a5"/>
        </w:rPr>
        <w:footnoteRef/>
      </w:r>
      <w:r w:rsidRPr="00531437">
        <w:t xml:space="preserve"> </w:t>
      </w:r>
      <w:proofErr w:type="spellStart"/>
      <w:r w:rsidRPr="00531437">
        <w:t>Телюкина</w:t>
      </w:r>
      <w:proofErr w:type="spellEnd"/>
      <w:r w:rsidRPr="00531437">
        <w:t xml:space="preserve"> М.В. Комментарий к информационному письму Президиума ВАС РФ от 14 апреля 2009г. № 129 «О некоторых вопросах практики применения арбитражными судами положений </w:t>
      </w:r>
      <w:proofErr w:type="spellStart"/>
      <w:r w:rsidRPr="00531437">
        <w:t>абз</w:t>
      </w:r>
      <w:proofErr w:type="spellEnd"/>
      <w:r w:rsidRPr="00531437">
        <w:t>. 2 п. 1 ст. 66 ФЗ «О несостоятельности (банкротстве) // Вестник ВАС РФ. 2009. № 9. С. 85.</w:t>
      </w:r>
    </w:p>
  </w:footnote>
  <w:footnote w:id="20">
    <w:p w:rsidR="00394A80" w:rsidRPr="00531437" w:rsidRDefault="00394A80" w:rsidP="00394A80">
      <w:pPr>
        <w:pStyle w:val="a3"/>
        <w:ind w:firstLine="567"/>
        <w:jc w:val="both"/>
      </w:pPr>
      <w:r w:rsidRPr="00394A80">
        <w:rPr>
          <w:rStyle w:val="a5"/>
          <w:lang w:val="en-US"/>
        </w:rPr>
        <w:t>*</w:t>
      </w:r>
      <w:r w:rsidRPr="00394A80">
        <w:rPr>
          <w:lang w:val="en-US"/>
        </w:rPr>
        <w:t xml:space="preserve"> </w:t>
      </w:r>
      <w:proofErr w:type="spellStart"/>
      <w:r>
        <w:rPr>
          <w:lang w:val="en-US"/>
        </w:rPr>
        <w:t>Ksenia</w:t>
      </w:r>
      <w:proofErr w:type="spellEnd"/>
      <w:r w:rsidRPr="009A14C8">
        <w:rPr>
          <w:lang w:val="en-US"/>
        </w:rPr>
        <w:t xml:space="preserve"> </w:t>
      </w:r>
      <w:r>
        <w:rPr>
          <w:lang w:val="en-US"/>
        </w:rPr>
        <w:t>S</w:t>
      </w:r>
      <w:r w:rsidRPr="009A14C8">
        <w:rPr>
          <w:lang w:val="en-US"/>
        </w:rPr>
        <w:t xml:space="preserve">. </w:t>
      </w:r>
      <w:proofErr w:type="spellStart"/>
      <w:r w:rsidRPr="009A14C8">
        <w:rPr>
          <w:lang w:val="en-US"/>
        </w:rPr>
        <w:t>Kondratieva</w:t>
      </w:r>
      <w:proofErr w:type="spellEnd"/>
      <w:r w:rsidRPr="009A14C8">
        <w:rPr>
          <w:lang w:val="en-US"/>
        </w:rPr>
        <w:t>, candidate of jurisprudence, Associate Professor of</w:t>
      </w:r>
      <w:r>
        <w:rPr>
          <w:lang w:val="en-US"/>
        </w:rPr>
        <w:t xml:space="preserve"> </w:t>
      </w:r>
      <w:r w:rsidRPr="009A14C8">
        <w:rPr>
          <w:lang w:val="en-US"/>
        </w:rPr>
        <w:t xml:space="preserve">chair of the enterprise right </w:t>
      </w:r>
      <w:r>
        <w:rPr>
          <w:lang w:val="en-US"/>
        </w:rPr>
        <w:t xml:space="preserve">of the </w:t>
      </w:r>
      <w:r w:rsidRPr="009A14C8">
        <w:rPr>
          <w:lang w:val="en-US"/>
        </w:rPr>
        <w:t>Faculty of Law of the Perm State National Research University</w:t>
      </w:r>
      <w:r>
        <w:rPr>
          <w:lang w:val="en-US"/>
        </w:rPr>
        <w:t>.</w:t>
      </w:r>
      <w:r w:rsidRPr="009A14C8">
        <w:rPr>
          <w:lang w:val="en-US"/>
        </w:rPr>
        <w:t xml:space="preserve"> E</w:t>
      </w:r>
      <w:r w:rsidRPr="00394A80">
        <w:t>-</w:t>
      </w:r>
      <w:r w:rsidRPr="009A14C8">
        <w:rPr>
          <w:lang w:val="en-US"/>
        </w:rPr>
        <w:t>mail</w:t>
      </w:r>
      <w:r w:rsidRPr="00394A80">
        <w:t xml:space="preserve">: </w:t>
      </w:r>
      <w:proofErr w:type="spellStart"/>
      <w:r>
        <w:rPr>
          <w:lang w:val="en-US"/>
        </w:rPr>
        <w:t>kcenua</w:t>
      </w:r>
      <w:proofErr w:type="spellEnd"/>
      <w:r w:rsidRPr="00394A80">
        <w:t>-9@</w:t>
      </w:r>
      <w:r>
        <w:rPr>
          <w:lang w:val="en-US"/>
        </w:rPr>
        <w:t>mail</w:t>
      </w:r>
      <w:r w:rsidRPr="00394A80">
        <w:t>.</w:t>
      </w:r>
      <w:proofErr w:type="spellStart"/>
      <w:r>
        <w:rPr>
          <w:lang w:val="en-US"/>
        </w:rPr>
        <w:t>ru</w:t>
      </w:r>
      <w:proofErr w:type="spellEnd"/>
      <w:r w:rsidRPr="00394A80">
        <w:t xml:space="preserve">. </w:t>
      </w:r>
      <w:proofErr w:type="gramStart"/>
      <w:r>
        <w:rPr>
          <w:lang w:val="en-US"/>
        </w:rPr>
        <w:t>Tel</w:t>
      </w:r>
      <w:r w:rsidRPr="00394A80">
        <w:t>. 8</w:t>
      </w:r>
      <w:r w:rsidRPr="009A14C8">
        <w:rPr>
          <w:lang w:val="en-US"/>
        </w:rPr>
        <w:t> </w:t>
      </w:r>
      <w:r w:rsidRPr="00394A80">
        <w:t>961</w:t>
      </w:r>
      <w:r w:rsidRPr="009A14C8">
        <w:rPr>
          <w:lang w:val="en-US"/>
        </w:rPr>
        <w:t> </w:t>
      </w:r>
      <w:r>
        <w:t>759-9292.</w:t>
      </w:r>
      <w:proofErr w:type="gramEnd"/>
    </w:p>
    <w:p w:rsidR="00394A80" w:rsidRPr="00531437" w:rsidRDefault="00394A80" w:rsidP="00394A80">
      <w:pPr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0AB"/>
    <w:multiLevelType w:val="hybridMultilevel"/>
    <w:tmpl w:val="5F2462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5"/>
    <w:rsid w:val="00002163"/>
    <w:rsid w:val="00007B93"/>
    <w:rsid w:val="000233EE"/>
    <w:rsid w:val="00023AC2"/>
    <w:rsid w:val="00034DF8"/>
    <w:rsid w:val="00037836"/>
    <w:rsid w:val="00037899"/>
    <w:rsid w:val="00043466"/>
    <w:rsid w:val="00044C11"/>
    <w:rsid w:val="00044FB7"/>
    <w:rsid w:val="00050F94"/>
    <w:rsid w:val="00051972"/>
    <w:rsid w:val="000531A1"/>
    <w:rsid w:val="0006201C"/>
    <w:rsid w:val="000620C8"/>
    <w:rsid w:val="00062A5A"/>
    <w:rsid w:val="00063E49"/>
    <w:rsid w:val="00070694"/>
    <w:rsid w:val="00080F10"/>
    <w:rsid w:val="000864E9"/>
    <w:rsid w:val="00094D54"/>
    <w:rsid w:val="000956EE"/>
    <w:rsid w:val="00095FF3"/>
    <w:rsid w:val="000A580E"/>
    <w:rsid w:val="000A5AE7"/>
    <w:rsid w:val="000B67FE"/>
    <w:rsid w:val="000B7C14"/>
    <w:rsid w:val="000C22EF"/>
    <w:rsid w:val="000D4ADD"/>
    <w:rsid w:val="000D7542"/>
    <w:rsid w:val="000E32C7"/>
    <w:rsid w:val="000E50DB"/>
    <w:rsid w:val="000E7894"/>
    <w:rsid w:val="000F607D"/>
    <w:rsid w:val="000F7AAA"/>
    <w:rsid w:val="00111A5F"/>
    <w:rsid w:val="001123BE"/>
    <w:rsid w:val="00112487"/>
    <w:rsid w:val="00114281"/>
    <w:rsid w:val="001210C8"/>
    <w:rsid w:val="00121581"/>
    <w:rsid w:val="0012529B"/>
    <w:rsid w:val="00125884"/>
    <w:rsid w:val="00125A25"/>
    <w:rsid w:val="00137ADD"/>
    <w:rsid w:val="00141C79"/>
    <w:rsid w:val="00142564"/>
    <w:rsid w:val="00150AB0"/>
    <w:rsid w:val="0015124C"/>
    <w:rsid w:val="001514C5"/>
    <w:rsid w:val="0015455E"/>
    <w:rsid w:val="001570AE"/>
    <w:rsid w:val="00161426"/>
    <w:rsid w:val="0016331E"/>
    <w:rsid w:val="00174710"/>
    <w:rsid w:val="001748BD"/>
    <w:rsid w:val="00175433"/>
    <w:rsid w:val="00185D54"/>
    <w:rsid w:val="00192CC6"/>
    <w:rsid w:val="00193841"/>
    <w:rsid w:val="001A62E0"/>
    <w:rsid w:val="001B324D"/>
    <w:rsid w:val="001B7B13"/>
    <w:rsid w:val="001C1BC9"/>
    <w:rsid w:val="001D1CA7"/>
    <w:rsid w:val="001D59A6"/>
    <w:rsid w:val="001E014E"/>
    <w:rsid w:val="001E0E58"/>
    <w:rsid w:val="001E5512"/>
    <w:rsid w:val="001E7875"/>
    <w:rsid w:val="001F2721"/>
    <w:rsid w:val="001F50B8"/>
    <w:rsid w:val="00201794"/>
    <w:rsid w:val="0020333D"/>
    <w:rsid w:val="002035BC"/>
    <w:rsid w:val="00207C0B"/>
    <w:rsid w:val="00212341"/>
    <w:rsid w:val="002174C5"/>
    <w:rsid w:val="00222B9C"/>
    <w:rsid w:val="002257A0"/>
    <w:rsid w:val="00226D5D"/>
    <w:rsid w:val="00230343"/>
    <w:rsid w:val="00232B4B"/>
    <w:rsid w:val="00233759"/>
    <w:rsid w:val="002362D0"/>
    <w:rsid w:val="0024224D"/>
    <w:rsid w:val="00254AFA"/>
    <w:rsid w:val="00264A5C"/>
    <w:rsid w:val="00270E73"/>
    <w:rsid w:val="002712C6"/>
    <w:rsid w:val="00271C6B"/>
    <w:rsid w:val="00272AD6"/>
    <w:rsid w:val="0028117A"/>
    <w:rsid w:val="0028270C"/>
    <w:rsid w:val="00282752"/>
    <w:rsid w:val="00286A3C"/>
    <w:rsid w:val="0029108B"/>
    <w:rsid w:val="00292AB1"/>
    <w:rsid w:val="00295B46"/>
    <w:rsid w:val="00296A32"/>
    <w:rsid w:val="002A0617"/>
    <w:rsid w:val="002A14B2"/>
    <w:rsid w:val="002A257C"/>
    <w:rsid w:val="002A4CF4"/>
    <w:rsid w:val="002A5C43"/>
    <w:rsid w:val="002A6C22"/>
    <w:rsid w:val="002A7B17"/>
    <w:rsid w:val="002B55E0"/>
    <w:rsid w:val="002B5B85"/>
    <w:rsid w:val="002C42F6"/>
    <w:rsid w:val="002C6190"/>
    <w:rsid w:val="002D4F9D"/>
    <w:rsid w:val="002D518A"/>
    <w:rsid w:val="002D6929"/>
    <w:rsid w:val="002D6A05"/>
    <w:rsid w:val="002D6AE8"/>
    <w:rsid w:val="002E448C"/>
    <w:rsid w:val="002E4C3E"/>
    <w:rsid w:val="002E5D00"/>
    <w:rsid w:val="002E74D2"/>
    <w:rsid w:val="002F0D70"/>
    <w:rsid w:val="002F5875"/>
    <w:rsid w:val="002F683C"/>
    <w:rsid w:val="00304F7C"/>
    <w:rsid w:val="0031699C"/>
    <w:rsid w:val="00317035"/>
    <w:rsid w:val="003210AB"/>
    <w:rsid w:val="00321F07"/>
    <w:rsid w:val="00324256"/>
    <w:rsid w:val="003277AA"/>
    <w:rsid w:val="00333D1A"/>
    <w:rsid w:val="00335542"/>
    <w:rsid w:val="00346246"/>
    <w:rsid w:val="00346B17"/>
    <w:rsid w:val="0034727F"/>
    <w:rsid w:val="00347794"/>
    <w:rsid w:val="00352DE4"/>
    <w:rsid w:val="0035629F"/>
    <w:rsid w:val="00361A06"/>
    <w:rsid w:val="0036277E"/>
    <w:rsid w:val="00363387"/>
    <w:rsid w:val="003715AB"/>
    <w:rsid w:val="003762C3"/>
    <w:rsid w:val="00380AF6"/>
    <w:rsid w:val="00390219"/>
    <w:rsid w:val="00391D00"/>
    <w:rsid w:val="00393E7F"/>
    <w:rsid w:val="00394A80"/>
    <w:rsid w:val="003A18CA"/>
    <w:rsid w:val="003A291B"/>
    <w:rsid w:val="003A366D"/>
    <w:rsid w:val="003A5A05"/>
    <w:rsid w:val="003A6452"/>
    <w:rsid w:val="003C59B9"/>
    <w:rsid w:val="003C61F4"/>
    <w:rsid w:val="003D287A"/>
    <w:rsid w:val="003D3FED"/>
    <w:rsid w:val="003D418F"/>
    <w:rsid w:val="003D6046"/>
    <w:rsid w:val="003E2CC0"/>
    <w:rsid w:val="003E3A3C"/>
    <w:rsid w:val="003E5394"/>
    <w:rsid w:val="003E6968"/>
    <w:rsid w:val="003F0B0D"/>
    <w:rsid w:val="003F216F"/>
    <w:rsid w:val="003F5931"/>
    <w:rsid w:val="003F646C"/>
    <w:rsid w:val="003F78D0"/>
    <w:rsid w:val="00411732"/>
    <w:rsid w:val="004144FA"/>
    <w:rsid w:val="00415E54"/>
    <w:rsid w:val="0042191C"/>
    <w:rsid w:val="004224DF"/>
    <w:rsid w:val="00426507"/>
    <w:rsid w:val="00427F2C"/>
    <w:rsid w:val="004315C1"/>
    <w:rsid w:val="004334DE"/>
    <w:rsid w:val="00442E76"/>
    <w:rsid w:val="00443F6A"/>
    <w:rsid w:val="00444A20"/>
    <w:rsid w:val="004459B6"/>
    <w:rsid w:val="00447490"/>
    <w:rsid w:val="00452E63"/>
    <w:rsid w:val="00455DA2"/>
    <w:rsid w:val="0046543E"/>
    <w:rsid w:val="00475126"/>
    <w:rsid w:val="0047659F"/>
    <w:rsid w:val="004803C4"/>
    <w:rsid w:val="004811F9"/>
    <w:rsid w:val="00484059"/>
    <w:rsid w:val="0049010D"/>
    <w:rsid w:val="00496052"/>
    <w:rsid w:val="00496CC6"/>
    <w:rsid w:val="004A08C6"/>
    <w:rsid w:val="004B0D2C"/>
    <w:rsid w:val="004B4EE5"/>
    <w:rsid w:val="004B673A"/>
    <w:rsid w:val="004C156A"/>
    <w:rsid w:val="004C7C5E"/>
    <w:rsid w:val="004D1C32"/>
    <w:rsid w:val="004D6946"/>
    <w:rsid w:val="004D6D07"/>
    <w:rsid w:val="004E0F12"/>
    <w:rsid w:val="004E4BDF"/>
    <w:rsid w:val="004E522F"/>
    <w:rsid w:val="004E570C"/>
    <w:rsid w:val="004E673D"/>
    <w:rsid w:val="004E6ACE"/>
    <w:rsid w:val="004E79DF"/>
    <w:rsid w:val="00501084"/>
    <w:rsid w:val="00505409"/>
    <w:rsid w:val="005127DE"/>
    <w:rsid w:val="00516325"/>
    <w:rsid w:val="00527733"/>
    <w:rsid w:val="00531437"/>
    <w:rsid w:val="00531755"/>
    <w:rsid w:val="0053177D"/>
    <w:rsid w:val="00532ED5"/>
    <w:rsid w:val="00534C5E"/>
    <w:rsid w:val="005369A9"/>
    <w:rsid w:val="0054689E"/>
    <w:rsid w:val="00547F92"/>
    <w:rsid w:val="00554E32"/>
    <w:rsid w:val="005613AB"/>
    <w:rsid w:val="00563FE8"/>
    <w:rsid w:val="00566472"/>
    <w:rsid w:val="005734B3"/>
    <w:rsid w:val="005766C4"/>
    <w:rsid w:val="00592769"/>
    <w:rsid w:val="00593416"/>
    <w:rsid w:val="00597FA6"/>
    <w:rsid w:val="005A0662"/>
    <w:rsid w:val="005A418A"/>
    <w:rsid w:val="005A541A"/>
    <w:rsid w:val="005A58DC"/>
    <w:rsid w:val="005A5A03"/>
    <w:rsid w:val="005B24AE"/>
    <w:rsid w:val="005B2FDF"/>
    <w:rsid w:val="005B68B4"/>
    <w:rsid w:val="005C1127"/>
    <w:rsid w:val="005C283F"/>
    <w:rsid w:val="005C493E"/>
    <w:rsid w:val="005C61D0"/>
    <w:rsid w:val="005D107D"/>
    <w:rsid w:val="005D1F76"/>
    <w:rsid w:val="005D2092"/>
    <w:rsid w:val="005D2F92"/>
    <w:rsid w:val="005D4BCD"/>
    <w:rsid w:val="005D6A2C"/>
    <w:rsid w:val="005E0AF1"/>
    <w:rsid w:val="005E7266"/>
    <w:rsid w:val="006022B7"/>
    <w:rsid w:val="006038F5"/>
    <w:rsid w:val="00605941"/>
    <w:rsid w:val="0060719D"/>
    <w:rsid w:val="0061120F"/>
    <w:rsid w:val="00613D13"/>
    <w:rsid w:val="006202E8"/>
    <w:rsid w:val="00630FC5"/>
    <w:rsid w:val="0063132C"/>
    <w:rsid w:val="00632BA2"/>
    <w:rsid w:val="00633D34"/>
    <w:rsid w:val="006341BF"/>
    <w:rsid w:val="006352C1"/>
    <w:rsid w:val="006403C5"/>
    <w:rsid w:val="00642F96"/>
    <w:rsid w:val="00643EEA"/>
    <w:rsid w:val="00652209"/>
    <w:rsid w:val="006540A4"/>
    <w:rsid w:val="0065518A"/>
    <w:rsid w:val="00656826"/>
    <w:rsid w:val="00662FB7"/>
    <w:rsid w:val="00664900"/>
    <w:rsid w:val="00666F32"/>
    <w:rsid w:val="006907B7"/>
    <w:rsid w:val="006934AC"/>
    <w:rsid w:val="006945E6"/>
    <w:rsid w:val="006960B1"/>
    <w:rsid w:val="00696ECD"/>
    <w:rsid w:val="006A1A0E"/>
    <w:rsid w:val="006A1CD8"/>
    <w:rsid w:val="006A2569"/>
    <w:rsid w:val="006A63F1"/>
    <w:rsid w:val="006A7817"/>
    <w:rsid w:val="006B2307"/>
    <w:rsid w:val="006B3983"/>
    <w:rsid w:val="006B50E4"/>
    <w:rsid w:val="006B52E2"/>
    <w:rsid w:val="006B5931"/>
    <w:rsid w:val="006B7F5D"/>
    <w:rsid w:val="006C192C"/>
    <w:rsid w:val="006C2EF0"/>
    <w:rsid w:val="006C30B2"/>
    <w:rsid w:val="006C383C"/>
    <w:rsid w:val="006D4C71"/>
    <w:rsid w:val="006D55D0"/>
    <w:rsid w:val="006E060B"/>
    <w:rsid w:val="006F265F"/>
    <w:rsid w:val="006F5279"/>
    <w:rsid w:val="006F5C57"/>
    <w:rsid w:val="00700059"/>
    <w:rsid w:val="00701921"/>
    <w:rsid w:val="007036C7"/>
    <w:rsid w:val="0070418B"/>
    <w:rsid w:val="007042CF"/>
    <w:rsid w:val="00704FB8"/>
    <w:rsid w:val="00706F73"/>
    <w:rsid w:val="0071098C"/>
    <w:rsid w:val="00710C55"/>
    <w:rsid w:val="007117AA"/>
    <w:rsid w:val="00712B8B"/>
    <w:rsid w:val="007133BB"/>
    <w:rsid w:val="00717AF4"/>
    <w:rsid w:val="007214A4"/>
    <w:rsid w:val="0072226D"/>
    <w:rsid w:val="00722922"/>
    <w:rsid w:val="00724BAC"/>
    <w:rsid w:val="007256DB"/>
    <w:rsid w:val="00734127"/>
    <w:rsid w:val="00737C47"/>
    <w:rsid w:val="00744615"/>
    <w:rsid w:val="0074483D"/>
    <w:rsid w:val="0074662D"/>
    <w:rsid w:val="007536A4"/>
    <w:rsid w:val="00756D5E"/>
    <w:rsid w:val="007613B8"/>
    <w:rsid w:val="0076262C"/>
    <w:rsid w:val="00762A8F"/>
    <w:rsid w:val="00763A2E"/>
    <w:rsid w:val="00765509"/>
    <w:rsid w:val="00766AE1"/>
    <w:rsid w:val="0076758E"/>
    <w:rsid w:val="00772E82"/>
    <w:rsid w:val="00775E5F"/>
    <w:rsid w:val="007769FE"/>
    <w:rsid w:val="00781771"/>
    <w:rsid w:val="0078464D"/>
    <w:rsid w:val="0078505F"/>
    <w:rsid w:val="007870BE"/>
    <w:rsid w:val="00790C55"/>
    <w:rsid w:val="007A177C"/>
    <w:rsid w:val="007A1853"/>
    <w:rsid w:val="007A2038"/>
    <w:rsid w:val="007A434B"/>
    <w:rsid w:val="007A6B5D"/>
    <w:rsid w:val="007B0730"/>
    <w:rsid w:val="007B2EF4"/>
    <w:rsid w:val="007B432E"/>
    <w:rsid w:val="007B5E0A"/>
    <w:rsid w:val="007E5E64"/>
    <w:rsid w:val="007F1562"/>
    <w:rsid w:val="007F5D14"/>
    <w:rsid w:val="007F648D"/>
    <w:rsid w:val="007F6837"/>
    <w:rsid w:val="007F72B5"/>
    <w:rsid w:val="007F750F"/>
    <w:rsid w:val="00804FC7"/>
    <w:rsid w:val="00806AE1"/>
    <w:rsid w:val="00810C37"/>
    <w:rsid w:val="00815CF3"/>
    <w:rsid w:val="00817E9B"/>
    <w:rsid w:val="00817FC8"/>
    <w:rsid w:val="0082073D"/>
    <w:rsid w:val="00840AC8"/>
    <w:rsid w:val="00842FE3"/>
    <w:rsid w:val="00854C98"/>
    <w:rsid w:val="00864E1C"/>
    <w:rsid w:val="008667A8"/>
    <w:rsid w:val="00867D36"/>
    <w:rsid w:val="008701F3"/>
    <w:rsid w:val="00873ADF"/>
    <w:rsid w:val="00874038"/>
    <w:rsid w:val="008763B3"/>
    <w:rsid w:val="0088316D"/>
    <w:rsid w:val="00887EA6"/>
    <w:rsid w:val="00892F41"/>
    <w:rsid w:val="008934FB"/>
    <w:rsid w:val="008A4671"/>
    <w:rsid w:val="008A57C3"/>
    <w:rsid w:val="008B2BAE"/>
    <w:rsid w:val="008B54C8"/>
    <w:rsid w:val="008B731D"/>
    <w:rsid w:val="008C27F4"/>
    <w:rsid w:val="008C5D3D"/>
    <w:rsid w:val="008C7419"/>
    <w:rsid w:val="008D31FD"/>
    <w:rsid w:val="008E0A04"/>
    <w:rsid w:val="008E6859"/>
    <w:rsid w:val="008F08C9"/>
    <w:rsid w:val="008F28E4"/>
    <w:rsid w:val="008F2998"/>
    <w:rsid w:val="009000D4"/>
    <w:rsid w:val="00900CDE"/>
    <w:rsid w:val="009014E8"/>
    <w:rsid w:val="00902665"/>
    <w:rsid w:val="00903DED"/>
    <w:rsid w:val="00906659"/>
    <w:rsid w:val="00912312"/>
    <w:rsid w:val="00913D8D"/>
    <w:rsid w:val="00917142"/>
    <w:rsid w:val="009201D3"/>
    <w:rsid w:val="00932196"/>
    <w:rsid w:val="00952826"/>
    <w:rsid w:val="009530D9"/>
    <w:rsid w:val="00961B3B"/>
    <w:rsid w:val="009622A3"/>
    <w:rsid w:val="009646BE"/>
    <w:rsid w:val="0096500F"/>
    <w:rsid w:val="00970917"/>
    <w:rsid w:val="0097474F"/>
    <w:rsid w:val="009769A2"/>
    <w:rsid w:val="00980FA5"/>
    <w:rsid w:val="0098140F"/>
    <w:rsid w:val="009844A1"/>
    <w:rsid w:val="009855E2"/>
    <w:rsid w:val="00997D4A"/>
    <w:rsid w:val="009A3143"/>
    <w:rsid w:val="009A7BB2"/>
    <w:rsid w:val="009B3ED4"/>
    <w:rsid w:val="009B496B"/>
    <w:rsid w:val="009B509C"/>
    <w:rsid w:val="009B6792"/>
    <w:rsid w:val="009C0254"/>
    <w:rsid w:val="009C1252"/>
    <w:rsid w:val="009D1D43"/>
    <w:rsid w:val="009E11A4"/>
    <w:rsid w:val="009E14D6"/>
    <w:rsid w:val="009E6AC1"/>
    <w:rsid w:val="009F3009"/>
    <w:rsid w:val="009F3012"/>
    <w:rsid w:val="009F3041"/>
    <w:rsid w:val="009F59A9"/>
    <w:rsid w:val="009F697E"/>
    <w:rsid w:val="009F7462"/>
    <w:rsid w:val="00A0378C"/>
    <w:rsid w:val="00A046B4"/>
    <w:rsid w:val="00A04BB2"/>
    <w:rsid w:val="00A058D4"/>
    <w:rsid w:val="00A1046B"/>
    <w:rsid w:val="00A13C6C"/>
    <w:rsid w:val="00A14E74"/>
    <w:rsid w:val="00A219D7"/>
    <w:rsid w:val="00A226A9"/>
    <w:rsid w:val="00A24BC0"/>
    <w:rsid w:val="00A25DA4"/>
    <w:rsid w:val="00A337B1"/>
    <w:rsid w:val="00A349D4"/>
    <w:rsid w:val="00A34C0E"/>
    <w:rsid w:val="00A40489"/>
    <w:rsid w:val="00A40C6A"/>
    <w:rsid w:val="00A42F02"/>
    <w:rsid w:val="00A440B5"/>
    <w:rsid w:val="00A44DA7"/>
    <w:rsid w:val="00A52EA2"/>
    <w:rsid w:val="00A54B64"/>
    <w:rsid w:val="00A571A7"/>
    <w:rsid w:val="00A57CE7"/>
    <w:rsid w:val="00A66E3E"/>
    <w:rsid w:val="00A72A61"/>
    <w:rsid w:val="00A82970"/>
    <w:rsid w:val="00A82BD9"/>
    <w:rsid w:val="00A85ABF"/>
    <w:rsid w:val="00A8714A"/>
    <w:rsid w:val="00A90BA5"/>
    <w:rsid w:val="00A939DF"/>
    <w:rsid w:val="00A93FC7"/>
    <w:rsid w:val="00AA052E"/>
    <w:rsid w:val="00AA3554"/>
    <w:rsid w:val="00AB10B2"/>
    <w:rsid w:val="00AB1A3E"/>
    <w:rsid w:val="00AB267E"/>
    <w:rsid w:val="00AC2B7B"/>
    <w:rsid w:val="00AC4F34"/>
    <w:rsid w:val="00AD30B0"/>
    <w:rsid w:val="00AD473B"/>
    <w:rsid w:val="00AE286F"/>
    <w:rsid w:val="00AF62C4"/>
    <w:rsid w:val="00AF65CF"/>
    <w:rsid w:val="00B0137F"/>
    <w:rsid w:val="00B14357"/>
    <w:rsid w:val="00B15F8B"/>
    <w:rsid w:val="00B167D7"/>
    <w:rsid w:val="00B228D8"/>
    <w:rsid w:val="00B31A73"/>
    <w:rsid w:val="00B3404D"/>
    <w:rsid w:val="00B40568"/>
    <w:rsid w:val="00B41BF9"/>
    <w:rsid w:val="00B432CF"/>
    <w:rsid w:val="00B45B33"/>
    <w:rsid w:val="00B56220"/>
    <w:rsid w:val="00B60CF2"/>
    <w:rsid w:val="00B63BDC"/>
    <w:rsid w:val="00B6731E"/>
    <w:rsid w:val="00B67AC8"/>
    <w:rsid w:val="00B7229A"/>
    <w:rsid w:val="00B750DB"/>
    <w:rsid w:val="00B80AF5"/>
    <w:rsid w:val="00B8265F"/>
    <w:rsid w:val="00B83E03"/>
    <w:rsid w:val="00B83F77"/>
    <w:rsid w:val="00B84670"/>
    <w:rsid w:val="00B84C6B"/>
    <w:rsid w:val="00B92378"/>
    <w:rsid w:val="00B940E0"/>
    <w:rsid w:val="00B95720"/>
    <w:rsid w:val="00BB4270"/>
    <w:rsid w:val="00BB5320"/>
    <w:rsid w:val="00BB78B4"/>
    <w:rsid w:val="00BC3F80"/>
    <w:rsid w:val="00BC78AC"/>
    <w:rsid w:val="00BD4809"/>
    <w:rsid w:val="00BD4AF6"/>
    <w:rsid w:val="00BD5A2C"/>
    <w:rsid w:val="00BE0658"/>
    <w:rsid w:val="00BE76F5"/>
    <w:rsid w:val="00BF0176"/>
    <w:rsid w:val="00BF376C"/>
    <w:rsid w:val="00C00251"/>
    <w:rsid w:val="00C00BE5"/>
    <w:rsid w:val="00C05A2A"/>
    <w:rsid w:val="00C0699E"/>
    <w:rsid w:val="00C0786A"/>
    <w:rsid w:val="00C14F95"/>
    <w:rsid w:val="00C16473"/>
    <w:rsid w:val="00C23105"/>
    <w:rsid w:val="00C23A86"/>
    <w:rsid w:val="00C26D9E"/>
    <w:rsid w:val="00C33290"/>
    <w:rsid w:val="00C35106"/>
    <w:rsid w:val="00C477B2"/>
    <w:rsid w:val="00C524FC"/>
    <w:rsid w:val="00C57FF0"/>
    <w:rsid w:val="00C625E5"/>
    <w:rsid w:val="00C734FB"/>
    <w:rsid w:val="00C74C07"/>
    <w:rsid w:val="00C82B88"/>
    <w:rsid w:val="00C849A1"/>
    <w:rsid w:val="00C86CE9"/>
    <w:rsid w:val="00C94180"/>
    <w:rsid w:val="00C94A39"/>
    <w:rsid w:val="00CA0637"/>
    <w:rsid w:val="00CA2723"/>
    <w:rsid w:val="00CA4170"/>
    <w:rsid w:val="00CB0005"/>
    <w:rsid w:val="00CB5C76"/>
    <w:rsid w:val="00CB5D46"/>
    <w:rsid w:val="00CB5D54"/>
    <w:rsid w:val="00CB73B7"/>
    <w:rsid w:val="00CC3DD6"/>
    <w:rsid w:val="00CC7085"/>
    <w:rsid w:val="00CD0727"/>
    <w:rsid w:val="00CD5015"/>
    <w:rsid w:val="00CE2BBB"/>
    <w:rsid w:val="00CE3EA3"/>
    <w:rsid w:val="00CF4634"/>
    <w:rsid w:val="00CF59C0"/>
    <w:rsid w:val="00CF757D"/>
    <w:rsid w:val="00D02763"/>
    <w:rsid w:val="00D048E6"/>
    <w:rsid w:val="00D06643"/>
    <w:rsid w:val="00D10B77"/>
    <w:rsid w:val="00D11E06"/>
    <w:rsid w:val="00D141FC"/>
    <w:rsid w:val="00D14D1F"/>
    <w:rsid w:val="00D22A09"/>
    <w:rsid w:val="00D32E79"/>
    <w:rsid w:val="00D37794"/>
    <w:rsid w:val="00D46479"/>
    <w:rsid w:val="00D51A9E"/>
    <w:rsid w:val="00D52CEE"/>
    <w:rsid w:val="00D5355D"/>
    <w:rsid w:val="00D53C7A"/>
    <w:rsid w:val="00D545C0"/>
    <w:rsid w:val="00D5543E"/>
    <w:rsid w:val="00D56E7E"/>
    <w:rsid w:val="00D627F4"/>
    <w:rsid w:val="00D63371"/>
    <w:rsid w:val="00D64E9A"/>
    <w:rsid w:val="00D664B8"/>
    <w:rsid w:val="00D717C4"/>
    <w:rsid w:val="00D73412"/>
    <w:rsid w:val="00D736C0"/>
    <w:rsid w:val="00D73CE6"/>
    <w:rsid w:val="00D82DD0"/>
    <w:rsid w:val="00D84CFA"/>
    <w:rsid w:val="00D8632B"/>
    <w:rsid w:val="00D94212"/>
    <w:rsid w:val="00D96E23"/>
    <w:rsid w:val="00DA5EBF"/>
    <w:rsid w:val="00DB332F"/>
    <w:rsid w:val="00DB527C"/>
    <w:rsid w:val="00DC1983"/>
    <w:rsid w:val="00DC4E68"/>
    <w:rsid w:val="00DC5D75"/>
    <w:rsid w:val="00DE2CFE"/>
    <w:rsid w:val="00DE4036"/>
    <w:rsid w:val="00DE77EB"/>
    <w:rsid w:val="00DF01DD"/>
    <w:rsid w:val="00DF0E54"/>
    <w:rsid w:val="00DF776F"/>
    <w:rsid w:val="00DF7F7E"/>
    <w:rsid w:val="00E00BCF"/>
    <w:rsid w:val="00E05E21"/>
    <w:rsid w:val="00E06962"/>
    <w:rsid w:val="00E07C42"/>
    <w:rsid w:val="00E15027"/>
    <w:rsid w:val="00E2259B"/>
    <w:rsid w:val="00E22EFD"/>
    <w:rsid w:val="00E2316C"/>
    <w:rsid w:val="00E242E1"/>
    <w:rsid w:val="00E30821"/>
    <w:rsid w:val="00E33125"/>
    <w:rsid w:val="00E3487C"/>
    <w:rsid w:val="00E36C08"/>
    <w:rsid w:val="00E416D1"/>
    <w:rsid w:val="00E4170E"/>
    <w:rsid w:val="00E44F24"/>
    <w:rsid w:val="00E45860"/>
    <w:rsid w:val="00E477FF"/>
    <w:rsid w:val="00E623E0"/>
    <w:rsid w:val="00E65B51"/>
    <w:rsid w:val="00E72A75"/>
    <w:rsid w:val="00E73D1E"/>
    <w:rsid w:val="00E75DC3"/>
    <w:rsid w:val="00E800B4"/>
    <w:rsid w:val="00E84259"/>
    <w:rsid w:val="00E861D9"/>
    <w:rsid w:val="00E87D9C"/>
    <w:rsid w:val="00E940E6"/>
    <w:rsid w:val="00E94CD6"/>
    <w:rsid w:val="00E96FB1"/>
    <w:rsid w:val="00E97760"/>
    <w:rsid w:val="00EA0A35"/>
    <w:rsid w:val="00EA11BE"/>
    <w:rsid w:val="00EA3355"/>
    <w:rsid w:val="00EB0009"/>
    <w:rsid w:val="00EB31B4"/>
    <w:rsid w:val="00EC1F63"/>
    <w:rsid w:val="00EC4415"/>
    <w:rsid w:val="00EC45AE"/>
    <w:rsid w:val="00EC4869"/>
    <w:rsid w:val="00ED25C2"/>
    <w:rsid w:val="00ED27EF"/>
    <w:rsid w:val="00ED48D6"/>
    <w:rsid w:val="00ED5943"/>
    <w:rsid w:val="00ED7BBE"/>
    <w:rsid w:val="00EE6DAE"/>
    <w:rsid w:val="00EF0459"/>
    <w:rsid w:val="00EF0C97"/>
    <w:rsid w:val="00EF4AAA"/>
    <w:rsid w:val="00EF5127"/>
    <w:rsid w:val="00EF60BE"/>
    <w:rsid w:val="00EF7642"/>
    <w:rsid w:val="00F00BB2"/>
    <w:rsid w:val="00F00DD9"/>
    <w:rsid w:val="00F0162C"/>
    <w:rsid w:val="00F020CD"/>
    <w:rsid w:val="00F02E06"/>
    <w:rsid w:val="00F10C3A"/>
    <w:rsid w:val="00F15929"/>
    <w:rsid w:val="00F17EDB"/>
    <w:rsid w:val="00F21CC2"/>
    <w:rsid w:val="00F26229"/>
    <w:rsid w:val="00F2632E"/>
    <w:rsid w:val="00F35541"/>
    <w:rsid w:val="00F365DE"/>
    <w:rsid w:val="00F4250E"/>
    <w:rsid w:val="00F44024"/>
    <w:rsid w:val="00F440BE"/>
    <w:rsid w:val="00F529E1"/>
    <w:rsid w:val="00F538DF"/>
    <w:rsid w:val="00F54672"/>
    <w:rsid w:val="00F64633"/>
    <w:rsid w:val="00F70F94"/>
    <w:rsid w:val="00F73218"/>
    <w:rsid w:val="00F73AE1"/>
    <w:rsid w:val="00F753B3"/>
    <w:rsid w:val="00F772CA"/>
    <w:rsid w:val="00F8649C"/>
    <w:rsid w:val="00F872FF"/>
    <w:rsid w:val="00F92962"/>
    <w:rsid w:val="00F95EF4"/>
    <w:rsid w:val="00FA13F9"/>
    <w:rsid w:val="00FA1F9C"/>
    <w:rsid w:val="00FB35D7"/>
    <w:rsid w:val="00FB56E4"/>
    <w:rsid w:val="00FC083D"/>
    <w:rsid w:val="00FC1783"/>
    <w:rsid w:val="00FC24F0"/>
    <w:rsid w:val="00FC737E"/>
    <w:rsid w:val="00FD0A42"/>
    <w:rsid w:val="00FD0C41"/>
    <w:rsid w:val="00FD1DF2"/>
    <w:rsid w:val="00FD27F3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0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3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6403C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0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403C5"/>
    <w:rPr>
      <w:vertAlign w:val="superscript"/>
    </w:rPr>
  </w:style>
  <w:style w:type="character" w:styleId="a6">
    <w:name w:val="Hyperlink"/>
    <w:basedOn w:val="a0"/>
    <w:rsid w:val="006403C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31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1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4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ref.by%2Frefs%2F22%2F30332%2F1.html&amp;text=%D1%81%D0%BF%D0%B5%D1%86%D0%B8%D0%B0%D0%BB%D1%8C%D0%BD%D1%8B%D0%B5%20%D0%BE%D1%81%D0%BD%D0%BE%D0%B2%D0%B0%D0%BD%D0%B8%D1%8F%20%D0%BD%D0%B5%D0%B4%D0%B5%D0%B9%D1%81%D1%82%D0%B2%D0%B8%D1%82%D0%B5%D0%BB%D1%8C%D0%BD%D0%BE%D1%81%D1%82%D0%B8&amp;l10n=ru&amp;sign=f606bf9c79846767627bfd68c23cf756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popular/bankrupt/58_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bankrupt/58_5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cenua-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25C61-1FF3-4575-8477-19AEDEBE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9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10</cp:revision>
  <dcterms:created xsi:type="dcterms:W3CDTF">2013-03-30T14:11:00Z</dcterms:created>
  <dcterms:modified xsi:type="dcterms:W3CDTF">2013-04-24T17:50:00Z</dcterms:modified>
</cp:coreProperties>
</file>