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02CB3">
        <w:rPr>
          <w:rFonts w:ascii="Times New Roman" w:hAnsi="Times New Roman" w:cs="Times New Roman"/>
          <w:b/>
          <w:sz w:val="28"/>
          <w:szCs w:val="28"/>
        </w:rPr>
        <w:t>Собянин</w:t>
      </w:r>
      <w:proofErr w:type="spellEnd"/>
      <w:r w:rsidRPr="00802CB3">
        <w:rPr>
          <w:rFonts w:ascii="Times New Roman" w:hAnsi="Times New Roman" w:cs="Times New Roman"/>
          <w:b/>
          <w:sz w:val="28"/>
          <w:szCs w:val="28"/>
        </w:rPr>
        <w:t xml:space="preserve"> А.Д., Боровиков С.Е., </w:t>
      </w:r>
      <w:proofErr w:type="spellStart"/>
      <w:r w:rsidRPr="00802CB3">
        <w:rPr>
          <w:rFonts w:ascii="Times New Roman" w:hAnsi="Times New Roman" w:cs="Times New Roman"/>
          <w:b/>
          <w:sz w:val="28"/>
          <w:szCs w:val="28"/>
        </w:rPr>
        <w:t>Плюснин</w:t>
      </w:r>
      <w:proofErr w:type="spellEnd"/>
      <w:r w:rsidRPr="00802CB3">
        <w:rPr>
          <w:rFonts w:ascii="Times New Roman" w:hAnsi="Times New Roman" w:cs="Times New Roman"/>
          <w:b/>
          <w:sz w:val="28"/>
          <w:szCs w:val="28"/>
        </w:rPr>
        <w:t xml:space="preserve"> Ю.М.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b/>
          <w:sz w:val="28"/>
          <w:szCs w:val="28"/>
        </w:rPr>
        <w:t>От Критских</w:t>
      </w:r>
      <w:r w:rsidRPr="00802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CB3">
        <w:rPr>
          <w:rFonts w:ascii="Times New Roman" w:hAnsi="Times New Roman" w:cs="Times New Roman"/>
          <w:b/>
          <w:color w:val="000000"/>
          <w:sz w:val="28"/>
          <w:szCs w:val="28"/>
        </w:rPr>
        <w:t>коридоров (система МТК</w:t>
      </w:r>
      <w:r w:rsidRPr="00802C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802CB3">
        <w:rPr>
          <w:rFonts w:ascii="Times New Roman" w:hAnsi="Times New Roman" w:cs="Times New Roman"/>
          <w:b/>
          <w:color w:val="000000"/>
          <w:sz w:val="28"/>
          <w:szCs w:val="28"/>
        </w:rPr>
        <w:t>к Системе транспортных евразийских коридоров</w:t>
      </w:r>
      <w:r w:rsidRPr="00802C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2C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(СТЕК). </w:t>
      </w:r>
      <w:bookmarkStart w:id="0" w:name="_GoBack"/>
      <w:bookmarkEnd w:id="0"/>
      <w:r w:rsidRPr="00802CB3">
        <w:rPr>
          <w:rFonts w:ascii="Times New Roman" w:hAnsi="Times New Roman" w:cs="Times New Roman"/>
          <w:b/>
          <w:color w:val="000000"/>
          <w:sz w:val="28"/>
          <w:szCs w:val="28"/>
        </w:rPr>
        <w:t>Кластеры промышленного развития СТЕК</w:t>
      </w:r>
      <w:r w:rsidRPr="00802C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2CB3">
        <w:rPr>
          <w:rFonts w:ascii="Times New Roman" w:hAnsi="Times New Roman" w:cs="Times New Roman"/>
          <w:b/>
          <w:color w:val="000000"/>
          <w:sz w:val="28"/>
          <w:szCs w:val="28"/>
        </w:rPr>
        <w:t>как основа сотрудничества в треугольнике</w:t>
      </w:r>
      <w:r w:rsidRPr="00802C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2CB3">
        <w:rPr>
          <w:rFonts w:ascii="Times New Roman" w:hAnsi="Times New Roman" w:cs="Times New Roman"/>
          <w:b/>
          <w:color w:val="000000"/>
          <w:sz w:val="28"/>
          <w:szCs w:val="28"/>
        </w:rPr>
        <w:t>ЕС/</w:t>
      </w:r>
      <w:proofErr w:type="spellStart"/>
      <w:r w:rsidRPr="00802CB3">
        <w:rPr>
          <w:rFonts w:ascii="Times New Roman" w:hAnsi="Times New Roman" w:cs="Times New Roman"/>
          <w:b/>
          <w:color w:val="000000"/>
          <w:sz w:val="28"/>
          <w:szCs w:val="28"/>
        </w:rPr>
        <w:t>ЕврАзЭС</w:t>
      </w:r>
      <w:proofErr w:type="spellEnd"/>
      <w:r w:rsidRPr="00802CB3">
        <w:rPr>
          <w:rFonts w:ascii="Times New Roman" w:hAnsi="Times New Roman" w:cs="Times New Roman"/>
          <w:b/>
          <w:color w:val="000000"/>
          <w:sz w:val="28"/>
          <w:szCs w:val="28"/>
        </w:rPr>
        <w:t>/КНР</w:t>
      </w:r>
      <w:proofErr w:type="gramStart"/>
      <w:r w:rsidRPr="00802CB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</w:p>
    <w:p w:rsid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Система международных транспортных коридоров (МТК), также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известная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в транспортном сообществе как Критские коридоры,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сыграла исключительно позитивную роль во время перехода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транспортного комплекса бывшего СССР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автаркийной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модостаточной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стратегией развития к нынешней включенности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транспортных комплексов стран постсоветского пространства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глобальную рыночную экономику. Критские коридоры, а также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их дальнейшие продолжения в сибирские регионы РФ, Казахстан,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страны Центральной Евразии помогли относительно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безболез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ненно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решить целый ряд вопросов: привлечения инвестиций,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оп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ределения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приоритетных проектов, и,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важное, задали для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народохозяйственных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комплексов новых независимых стран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транспортную идеологию.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К настоящему времени, на наш взгляд, позитивный потенциал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Критских коридоров для России и Казахстана уже практически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исчерпан. Это видно на примере достаточно скромно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растущих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потоков по Трансазиатской железной дороге (коридор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Ляньюнь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ган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–Роттердам) и практически замирающей динамике сквозного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транзита на Транссибе. Система МТК может и, возможно,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>, превратится в Систему транспортных евразийских коридоров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(СТЕК).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Базовая идея предложена двумя соавторами (Сергеем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Переслегиным и Сергеем Боровиковым) как «концепция плит и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мостов», и с 2002 года, получив название СТЕК, разрабатывается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в тесном сотрудничестве (Сергеем Переслегиным, Александром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Собяниным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, Сергеем Боровиковым, Вячеславом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Бельдеем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и Ку-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батом Рахимовым). Достаточно подробно концепция СТЕК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опи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сана нами в серии публикаций в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российском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железнодорожном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«РЖД-Партнер», материалы переданы организаторам,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поэтому остановимся лишь на основных тезисах концепции СТЕК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и на тех проектах, которые могут стать уже в ближайшие годы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пилотными в новом формате сотрудничества ведущей транспорт-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ной державы мира — Китая, а также Евросоюза и России.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Геоэкономическая неизбежность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Россия исторически пребывает в двух ипостасях, диалектически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противостоящих и при этом неотделимых друг от друга: «средин-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ной земли» и «мирового ребра коммуникации», находясь на стыке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трех цивилизационных платформ — Евро-Атлантической,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Афра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зийской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Азиатской-Тихоокеанской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. Именно это уникальное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ложение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России на цивилизационной карте делает эту страну (при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всей неоднозначности ее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нынешнего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военно-экономического по-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ложения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) одним из игроков на «мировой шахматной доске».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Рос-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сия, исторически и географически,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обречена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подоб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ное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Именно транзитный ресурс евразийской связности, а не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ширная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сырьевая и минеральная база определят будущую роль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Росс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центральноевразийских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союзников. Система МТК,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выстроенная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потребностей европейских рынков,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мало учитывает интересы развития Китая и других стран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конти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нента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. Она не позволяет России и Казахстану, как лидерам Цен-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тральной Евразии, преодолеть сырьевую направленность своего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уклада и закрепляет их зависимость от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достаточ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но узких и не динамичных европейских рынков.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ком-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плексного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зоны Центральной Евразии концепция МТК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лишь закрепощает хозяйственное опустынивание «степного моря»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Евразии, полосы от Каспия до Южной Сибири.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Подобная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страте-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гия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приведет к образованию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обширных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антропопустынь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факти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ческому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сворачиванию всех видов современной индустриальной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в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центральноевразийском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регионе как добывающей-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сырьевой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>, так и транспортно-транзитной, что приведет к общему</w:t>
      </w:r>
    </w:p>
    <w:p w:rsid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системному кризису экономики континента.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b/>
          <w:color w:val="000000"/>
          <w:sz w:val="28"/>
          <w:szCs w:val="28"/>
        </w:rPr>
        <w:t>Сеть коридоров СТЕК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Отметим, что два ключевых игрока мирового транспортного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рын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ка — США и Китай практически не участвуют в развитии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систе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мы Критских коридоров. Если для США это обусловлено скорее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геополитическими интересами, то мотивы Китая, который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вает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преимущественно морской транспорт на базе финансово-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промышленных групп «Большого Китая» (КНР, Сингапур, Тай-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вань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), явно отводя континентальным транспортным коридорам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второстепенную роль, не вполне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ясны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Результатом этой политики являются значительные трудности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реализации важнейшей для экономики Китая программы «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Сибу</w:t>
      </w:r>
      <w:proofErr w:type="spell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да кайфа»,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предусматривающей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ускоренное развитие централь-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и западных регионов КНР для выравнивания промышленного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уровня с прибрежными восточными провинциями. Это приводит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к тому, что Казахстан с большим трудом развивает сеть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железных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и автомобильных дорог у себя в республике и практически не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влечен в транспортное развитие Узбекистана, Таджикистана, Кир-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гизии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и китайского Синьцзяна. В результате Россия не может раз-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вивать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критически важные для обеспечения своего дальнейшего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транспортные маршруты вдоль Арктического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циркум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полярного круга, а также в Восточной Сибири. А для Европы мы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видим итоговые показатели ее экономического роста — более чем</w:t>
      </w: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CB3">
        <w:rPr>
          <w:rFonts w:ascii="Times New Roman" w:hAnsi="Times New Roman" w:cs="Times New Roman"/>
          <w:color w:val="000000"/>
          <w:sz w:val="28"/>
          <w:szCs w:val="28"/>
        </w:rPr>
        <w:t>скромные.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Какие же коридоры СТЕК позволят гармоничным образом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четать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потребность мировой экономики в ресурсах и задачу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соб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ственного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России, Казахстана и других стран Централь-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ной Евразии? Давайте попробуем их просто перечислить. Сразу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еще раз оговоримся, что СТЕК не противоречит системе Крит-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ских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коридоров, но является стратегическим развитием МТК.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На сегодня представляются</w:t>
      </w: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CB3">
        <w:rPr>
          <w:rFonts w:ascii="Times New Roman" w:hAnsi="Times New Roman" w:cs="Times New Roman"/>
          <w:color w:val="000000"/>
          <w:sz w:val="28"/>
          <w:szCs w:val="28"/>
        </w:rPr>
        <w:t>перспективными коридоры</w:t>
      </w:r>
      <w:r w:rsidRPr="00802C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1) широтный коридор «Запад-Восток», который представлен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лым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рядом номерных МТК в системе Критских коридоров, боль-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шая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заканчивается либо на Черном море, либо на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Урале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. Фактически он продолжается по линии Транссибирской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гистрали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и требует активного развития дальневосточного транс-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портного кольца (хотя бы строительства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Транскорейской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железной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дороги). Для обеспечения доступа континентальных областей Ки-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тая к внешним рынкам необходимо его ответвление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Казах-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стан и Трансазиатскую железную дорогу;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2) высокоширотный транспортный коридор Северный морской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путь. Этот маршрут, с одной стороны, позволит получить крат-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чайший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маршрут из Европы в Юго-Восточную Азию,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другой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стороны — обеспечить развитие северных территорий России;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3) диагонально-меридиональный коридор «Север-Юг» (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Мур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манск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–Санкт-Петербург–Астрахань–Мумбаи: Северная Европа —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Средняя Азия, Иран, Пакистан, Индия).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Здесь основным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сдер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живающим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фактором является перегруженность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транспортного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узла в Санкт-Петербурге и слабое развитие транспортно-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логис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тической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 в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Прикаспии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. В настоящее время идет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строительство дополнительных морских портов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по-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бережье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Балтики,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в обозримом будущем эту проблему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разрешат.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Для дальнейшего развития России необходимо строительство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еще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по меньшей мере двух меридиональных транспортных кори-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доров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обеспечат дальнейшее освоение Западной и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точной Сибири. Это: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– коридор «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Мангазея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— Бомбей» (обсуждаемый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правительст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вами Москвы и Югры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Трансазийский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коридор «Арктика — Цен-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тральная Евразия» — от арктического шельфа и севера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Западной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Сибири, полярного Урала — через Казахстан в Иран, Пакистан,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Индию и Китай);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– коридор «Якутия — БАМ — Юго-Восточная Азия», который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даст возможность развития Восточной Сибири. В его рамках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чато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 железнодорожной линии Томмот–Якутск.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Ожидается, что с 2010 году она выйдет к среднему течению Лены,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в перспективе до 2025 года — до арктического побережья моря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Лаптевых.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В контексте сегодняшней конференции отметим, что Казахстан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традиционном восприятии Критских коридоров практически не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вовлечен в развитие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ключевых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для мировой экономики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арктиче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ских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и восточносибирских регионов РФ, а Китай испытывает обще-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системные трудности в доступе к сырьевым ресурсам, что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препят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ствует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промышленному развитию западных областей КНР.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Кластеры ЕС/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ЕврАзЭС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/КНР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обилие постсоветских клонов международных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эконо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мических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объединений на нашем пространстве — выделим три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перспективных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и жизнеспособных, на наш взгляд,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объе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динения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ЕврАзЭС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, ШОС и СВМДА. Таким образом, собственно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центральноевразийское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 будем понимать как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ЕврА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зЭС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, имея в виду не только нынешних членов и наблюдателей Ев-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разийского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сотрудничества, но и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потенциальных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кандидатов.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Кластеры международного сотрудничества в треугольнике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Евросоюз /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ЕврАзЭС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/ Китай должны тяготеть к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континенталь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ным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центрам, а не к портам, как это происходит сейчас. Наиболее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перспективными представляются зоны пересечения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транспортных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коридоров, поскольку они «естественным путем» претендуют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роль логистических центров и имеют приоритетный доступ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раз-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нообразным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внешним рынкам.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Зоны формирования таких кластеров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1) Казань. Находясь на пересечении Транссиба и Волги, она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образует логистический центр, координирующий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транспортные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потоки «Север-Юг» и «Восток-Запад».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2) Югра. Находясь на пересечении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Севморпути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и «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Мангазеи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Бомбея» регион обладает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значительными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природными, человече-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скими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финансовыми и ресурсами.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Джунгарские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ворота. Являются точкой пересечения ряда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континентальных коридоров — «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Мангазея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–Бомбей»,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Трансазиат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железной дороги. Основные «ворота» в Западный Китай.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3) Астрахань-Аксарайская и порт Оля. Находится на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пересече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нии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коридора «Север-Юг» и «Восток-Запад». Обеспечивают раз-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витие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Прикаспийского транспортного кольца, имеют выход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систему Волго-Донского канала в Черное море и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внутренние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вод-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ные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пути Европы.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4) кластер ККЖД (Китайско-Киргизской железной дороги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Кашгарии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в Ферганскую долину).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К сожалению, политическая нестабильность в Киргизии делает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перспективы развития этого кластера достаточно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туманными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Перспективный кластер в Северо-Восточной Сибири, видимо,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будет развиваться в более отдаленной перспективе (для его фор-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мирования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необходима ритмичная работа всего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СевМорПути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hAnsi="Times New Roman" w:cs="Times New Roman"/>
          <w:color w:val="000000"/>
          <w:sz w:val="28"/>
          <w:szCs w:val="28"/>
        </w:rPr>
        <w:t>лаживание</w:t>
      </w: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02CB3">
        <w:rPr>
          <w:rFonts w:ascii="Times New Roman" w:hAnsi="Times New Roman" w:cs="Times New Roman"/>
          <w:color w:val="000000"/>
          <w:sz w:val="28"/>
          <w:szCs w:val="28"/>
        </w:rPr>
        <w:t>которой потребует времени).</w:t>
      </w:r>
      <w:proofErr w:type="gramEnd"/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Мы предлагаем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европейским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, казахстанским и китайским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заторам сегодняшней конференции подумать о проработке и пре-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зентации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двух кластеров СТЕК — Югры, презентацию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экономи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ческого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потенциала кластера можно провести в </w:t>
      </w: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Чунцине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>, и</w:t>
      </w:r>
    </w:p>
    <w:p w:rsidR="00802CB3" w:rsidRPr="00802CB3" w:rsidRDefault="00802CB3" w:rsidP="008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Джунгарских</w:t>
      </w:r>
      <w:proofErr w:type="spellEnd"/>
      <w:r w:rsidRPr="00802CB3">
        <w:rPr>
          <w:rFonts w:ascii="Times New Roman" w:hAnsi="Times New Roman" w:cs="Times New Roman"/>
          <w:color w:val="000000"/>
          <w:sz w:val="28"/>
          <w:szCs w:val="28"/>
        </w:rPr>
        <w:t xml:space="preserve"> ворот, презентацию кластера можно было бы </w:t>
      </w:r>
      <w:proofErr w:type="gramStart"/>
      <w:r w:rsidRPr="00802CB3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802CB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26E19" w:rsidRPr="00802CB3" w:rsidRDefault="00802CB3" w:rsidP="00802CB3">
      <w:pPr>
        <w:rPr>
          <w:rFonts w:ascii="Times New Roman" w:hAnsi="Times New Roman" w:cs="Times New Roman"/>
          <w:sz w:val="28"/>
          <w:szCs w:val="28"/>
        </w:rPr>
      </w:pPr>
      <w:r w:rsidRPr="00802CB3">
        <w:rPr>
          <w:rFonts w:ascii="Times New Roman" w:hAnsi="Times New Roman" w:cs="Times New Roman"/>
          <w:color w:val="000000"/>
          <w:sz w:val="28"/>
          <w:szCs w:val="28"/>
        </w:rPr>
        <w:t>вести в Санкт-Петербурге.</w:t>
      </w:r>
    </w:p>
    <w:sectPr w:rsidR="00026E19" w:rsidRPr="0080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B3"/>
    <w:rsid w:val="0077205E"/>
    <w:rsid w:val="00802CB3"/>
    <w:rsid w:val="0091396A"/>
    <w:rsid w:val="00A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68ED-FA5F-4C5D-9068-A3193443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Плюснин Юрий Михайлович</dc:creator>
  <cp:lastModifiedBy>Плюснин Юрий Михайлович</cp:lastModifiedBy>
  <cp:revision>2</cp:revision>
  <dcterms:created xsi:type="dcterms:W3CDTF">2016-02-20T13:54:00Z</dcterms:created>
  <dcterms:modified xsi:type="dcterms:W3CDTF">2016-02-20T13:54:00Z</dcterms:modified>
</cp:coreProperties>
</file>