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032553"/>
          <w:sz w:val="60"/>
          <w:szCs w:val="60"/>
          <w:lang w:val="en-US"/>
        </w:rPr>
      </w:pPr>
      <w:r w:rsidRPr="00987F42">
        <w:rPr>
          <w:rFonts w:ascii="Georgia Bold Italic" w:hAnsi="Georgia Bold Italic" w:cs="Georgia Bold Italic"/>
          <w:color w:val="032553"/>
          <w:sz w:val="60"/>
          <w:szCs w:val="60"/>
          <w:lang w:val="en-US"/>
        </w:rPr>
        <w:t>Без партнерства</w:t>
      </w: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BE0004"/>
          <w:sz w:val="20"/>
          <w:szCs w:val="20"/>
          <w:lang w:val="en-US"/>
        </w:rPr>
      </w:pPr>
      <w:r w:rsidRPr="00987F42">
        <w:rPr>
          <w:rFonts w:ascii="Georgia Bold Italic" w:hAnsi="Georgia Bold Italic" w:cs="Georgia Bold Italic"/>
          <w:color w:val="BE0004"/>
          <w:sz w:val="20"/>
          <w:szCs w:val="20"/>
          <w:lang w:val="en-US"/>
        </w:rPr>
        <w:t>15 марта 2017</w:t>
      </w:r>
    </w:p>
    <w:p w:rsid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BE0004"/>
          <w:sz w:val="20"/>
          <w:szCs w:val="20"/>
          <w:lang w:val="en-US"/>
        </w:rPr>
      </w:pP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BE0004"/>
          <w:lang w:val="en-US"/>
        </w:rPr>
      </w:pPr>
      <w:hyperlink r:id="rId5" w:history="1">
        <w:r w:rsidRPr="00987F42">
          <w:rPr>
            <w:rFonts w:ascii="Georgia Bold Italic" w:hAnsi="Georgia Bold Italic" w:cs="Georgia Bold Italic"/>
            <w:color w:val="BE0004"/>
            <w:lang w:val="en-US"/>
          </w:rPr>
          <w:t>Д</w:t>
        </w:r>
        <w:r w:rsidRPr="00987F42">
          <w:rPr>
            <w:rFonts w:ascii="Georgia Bold Italic" w:hAnsi="Georgia Bold Italic" w:cs="Georgia Bold Italic"/>
            <w:color w:val="BE0004"/>
            <w:lang w:val="en-US"/>
          </w:rPr>
          <w:t>м</w:t>
        </w:r>
        <w:r w:rsidRPr="00987F42">
          <w:rPr>
            <w:rFonts w:ascii="Georgia Bold Italic" w:hAnsi="Georgia Bold Italic" w:cs="Georgia Bold Italic"/>
            <w:color w:val="BE0004"/>
            <w:lang w:val="en-US"/>
          </w:rPr>
          <w:t>итрий Новиков</w:t>
        </w:r>
      </w:hyperlink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b/>
          <w:bCs/>
          <w:color w:val="032553"/>
          <w:sz w:val="32"/>
          <w:szCs w:val="32"/>
          <w:lang w:val="en-US"/>
        </w:rPr>
      </w:pPr>
      <w:r w:rsidRPr="00987F42">
        <w:rPr>
          <w:rFonts w:ascii="Georgia Bold Italic" w:hAnsi="Georgia Bold Italic" w:cs="Georgia Bold Italic"/>
          <w:b/>
          <w:bCs/>
          <w:color w:val="032553"/>
          <w:sz w:val="32"/>
          <w:szCs w:val="32"/>
          <w:lang w:val="en-US"/>
        </w:rPr>
        <w:t>Что означает отказ Вашингтона от ТПП для будущего мировой торговли</w:t>
      </w:r>
    </w:p>
    <w:p w:rsid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i/>
          <w:iCs/>
          <w:color w:val="032553"/>
          <w:sz w:val="32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b/>
          <w:bCs/>
          <w:i/>
          <w:iCs/>
          <w:color w:val="032553"/>
          <w:sz w:val="32"/>
          <w:szCs w:val="32"/>
          <w:lang w:val="en-US"/>
        </w:rPr>
        <w:t>Дмитрий Новиков</w:t>
      </w:r>
      <w:r w:rsidRPr="00987F42">
        <w:rPr>
          <w:rFonts w:ascii="Georgia Bold Italic" w:hAnsi="Georgia Bold Italic" w:cs="Georgia Bold Italic"/>
          <w:i/>
          <w:iCs/>
          <w:color w:val="032553"/>
          <w:sz w:val="32"/>
          <w:szCs w:val="32"/>
          <w:lang w:val="en-US"/>
        </w:rPr>
        <w:t xml:space="preserve"> - научный сотрудник Центра комплексных европейских и международных исследований Национального исследовательского университета «Высшая школа экономики» (ЦКЕМИ НИУ ВШЭ), Россия.</w:t>
      </w:r>
      <w:proofErr w:type="gramEnd"/>
      <w:r>
        <w:rPr>
          <w:rFonts w:ascii="Georgia Bold Italic" w:hAnsi="Georgia Bold Italic" w:cs="Georgia Bold Italic"/>
          <w:i/>
          <w:iCs/>
          <w:color w:val="032553"/>
          <w:sz w:val="32"/>
          <w:szCs w:val="32"/>
          <w:lang w:val="en-US"/>
        </w:rPr>
        <w:t xml:space="preserve"> </w:t>
      </w:r>
    </w:p>
    <w:p w:rsidR="00987F42" w:rsidRPr="008C31EC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36"/>
          <w:szCs w:val="36"/>
          <w:lang w:val="en-US"/>
        </w:rPr>
      </w:pPr>
      <w:hyperlink r:id="rId6" w:history="1">
        <w:proofErr w:type="gramStart"/>
        <w:r w:rsidRPr="008C31EC">
          <w:rPr>
            <w:rFonts w:ascii="Georgia Bold Italic" w:hAnsi="Georgia Bold Italic" w:cs="Georgia Bold Italic"/>
            <w:color w:val="032553"/>
            <w:sz w:val="36"/>
            <w:szCs w:val="36"/>
            <w:lang w:val="en-US"/>
          </w:rPr>
          <w:t>Главная</w:t>
        </w:r>
      </w:hyperlink>
      <w:r w:rsidRPr="008C31EC">
        <w:rPr>
          <w:rFonts w:ascii="Georgia Bold Italic" w:hAnsi="Georgia Bold Italic" w:cs="Georgia Bold Italic"/>
          <w:color w:val="262626"/>
          <w:sz w:val="36"/>
          <w:szCs w:val="36"/>
          <w:lang w:val="en-US"/>
        </w:rPr>
        <w:t>/</w:t>
      </w:r>
      <w:hyperlink r:id="rId7" w:history="1">
        <w:r w:rsidRPr="008C31EC">
          <w:rPr>
            <w:rFonts w:ascii="Georgia Bold Italic" w:hAnsi="Georgia Bold Italic" w:cs="Georgia Bold Italic"/>
            <w:color w:val="032553"/>
            <w:sz w:val="36"/>
            <w:szCs w:val="36"/>
            <w:lang w:val="en-US"/>
          </w:rPr>
          <w:t>Архив номеров</w:t>
        </w:r>
      </w:hyperlink>
      <w:r w:rsidRPr="008C31EC">
        <w:rPr>
          <w:rFonts w:ascii="Georgia Bold Italic" w:hAnsi="Georgia Bold Italic" w:cs="Georgia Bold Italic"/>
          <w:color w:val="262626"/>
          <w:sz w:val="36"/>
          <w:szCs w:val="36"/>
          <w:lang w:val="en-US"/>
        </w:rPr>
        <w:t>/</w:t>
      </w:r>
      <w:hyperlink r:id="rId8" w:history="1">
        <w:r>
          <w:rPr>
            <w:rFonts w:ascii="Georgia Bold Italic" w:hAnsi="Georgia Bold Italic" w:cs="Georgia Bold Italic"/>
            <w:color w:val="BE0004"/>
            <w:sz w:val="36"/>
            <w:szCs w:val="36"/>
            <w:lang w:val="en-US"/>
          </w:rPr>
          <w:t>№2, 2016</w:t>
        </w:r>
        <w:bookmarkStart w:id="0" w:name="_GoBack"/>
        <w:bookmarkEnd w:id="0"/>
        <w:r w:rsidRPr="008C31EC">
          <w:rPr>
            <w:rFonts w:ascii="Georgia Bold Italic" w:hAnsi="Georgia Bold Italic" w:cs="Georgia Bold Italic"/>
            <w:color w:val="BE0004"/>
            <w:sz w:val="36"/>
            <w:szCs w:val="36"/>
            <w:lang w:val="en-US"/>
          </w:rPr>
          <w:t xml:space="preserve"> г.</w:t>
        </w:r>
        <w:proofErr w:type="gramEnd"/>
      </w:hyperlink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i/>
          <w:iCs/>
          <w:color w:val="032553"/>
          <w:sz w:val="32"/>
          <w:szCs w:val="32"/>
          <w:lang w:val="en-US"/>
        </w:rPr>
      </w:pP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i/>
          <w:iCs/>
          <w:color w:val="032553"/>
          <w:sz w:val="32"/>
          <w:szCs w:val="32"/>
          <w:lang w:val="en-US"/>
        </w:rPr>
      </w:pP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032553"/>
          <w:sz w:val="32"/>
          <w:szCs w:val="32"/>
          <w:lang w:val="en-US"/>
        </w:rPr>
      </w:pPr>
      <w:r w:rsidRPr="00987F42">
        <w:rPr>
          <w:rFonts w:ascii="Georgia Bold Italic" w:hAnsi="Georgia Bold Italic" w:cs="Georgia Bold Italic"/>
          <w:color w:val="BE0004"/>
          <w:sz w:val="32"/>
          <w:szCs w:val="32"/>
          <w:lang w:val="en-US"/>
        </w:rPr>
        <w:t>Резюме:</w:t>
      </w:r>
      <w:r w:rsidRPr="00987F42">
        <w:rPr>
          <w:rFonts w:ascii="Georgia Bold Italic" w:hAnsi="Georgia Bold Italic" w:cs="Georgia Bold Italic"/>
          <w:color w:val="032553"/>
          <w:sz w:val="32"/>
          <w:szCs w:val="32"/>
          <w:lang w:val="en-US"/>
        </w:rPr>
        <w:t xml:space="preserve"> Отказ новой республиканской администрации от одной из самых масштабных торгово-экономических инициатив Соединенных Штатов – Транстихоокеанского партнерства – обозначил сдвиг в азиатской политике Вашингтона. </w:t>
      </w:r>
      <w:proofErr w:type="gramStart"/>
      <w:r w:rsidRPr="00987F42">
        <w:rPr>
          <w:rFonts w:ascii="Georgia Bold Italic" w:hAnsi="Georgia Bold Italic" w:cs="Georgia Bold Italic"/>
          <w:color w:val="032553"/>
          <w:sz w:val="32"/>
          <w:szCs w:val="32"/>
          <w:lang w:val="en-US"/>
        </w:rPr>
        <w:t>Для американских союзников и конкурентов в АТР это чревато появлением новых рисков, связанных с неопределенностью.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36"/>
          <w:szCs w:val="36"/>
          <w:lang w:val="en-US"/>
        </w:rPr>
      </w:pPr>
      <w:r w:rsidRPr="00987F42">
        <w:rPr>
          <w:rFonts w:ascii="Arial" w:hAnsi="Arial" w:cs="Arial"/>
          <w:b/>
          <w:bCs/>
          <w:color w:val="FFFFFF"/>
          <w:sz w:val="36"/>
          <w:szCs w:val="36"/>
          <w:lang w:val="en-US"/>
        </w:rPr>
        <w:t>Давайте дружить</w:t>
      </w: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032553"/>
          <w:sz w:val="22"/>
          <w:lang w:val="en-US"/>
        </w:rPr>
      </w:pPr>
      <w:hyperlink r:id="rId9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ТТП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0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США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1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торговля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2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Трамп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3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АТР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4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ВТО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5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мировая экономика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6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Обама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7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ТТИП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8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Китай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19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власть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20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Клинтон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21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экономика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22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инвестиции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23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АТЭС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24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АСЕАН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25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Япония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26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Тайвань</w:t>
        </w:r>
      </w:hyperlink>
      <w:r w:rsidRPr="00987F42">
        <w:rPr>
          <w:rFonts w:ascii="Georgia Bold Italic" w:hAnsi="Georgia Bold Italic" w:cs="Georgia Bold Italic"/>
          <w:color w:val="032553"/>
          <w:sz w:val="22"/>
          <w:lang w:val="en-US"/>
        </w:rPr>
        <w:t xml:space="preserve"> </w:t>
      </w:r>
      <w:hyperlink r:id="rId27" w:history="1">
        <w:r w:rsidRPr="00987F42">
          <w:rPr>
            <w:rFonts w:ascii="Georgia Bold Italic" w:hAnsi="Georgia Bold Italic" w:cs="Georgia Bold Italic"/>
            <w:color w:val="032553"/>
            <w:sz w:val="22"/>
            <w:lang w:val="en-US"/>
          </w:rPr>
          <w:t>Россия</w:t>
        </w:r>
      </w:hyperlink>
    </w:p>
    <w:p w:rsid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Отказ новой республиканской администрации от одной из самых масштабных торгово-экономических инициатив Соединенных Штатов – Транстихоокеанского партнерства – обозначил сдвиг в азиатской политике Вашингтона.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Для американских союзников и конкурентов в АТР это чревато появлением новых рисков, связанных с неопределенностью.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Между тем речь, возможно, идет лишь о смене облика, но не содержания проводимой политики.</w:t>
      </w:r>
      <w:proofErr w:type="gramEnd"/>
    </w:p>
    <w:p w:rsid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b/>
          <w:bCs/>
          <w:color w:val="262626"/>
          <w:sz w:val="28"/>
          <w:szCs w:val="32"/>
          <w:lang w:val="en-US"/>
        </w:rPr>
      </w:pP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r w:rsidRPr="00987F42">
        <w:rPr>
          <w:rFonts w:ascii="Georgia Bold Italic" w:hAnsi="Georgia Bold Italic" w:cs="Georgia Bold Italic"/>
          <w:b/>
          <w:bCs/>
          <w:color w:val="262626"/>
          <w:sz w:val="28"/>
          <w:szCs w:val="32"/>
          <w:lang w:val="en-US"/>
        </w:rPr>
        <w:t>Цена вопроса</w:t>
      </w: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Выход США из Транстихоокеанского партнерства (ТТП) – соответствующий указ Дональд Трамп подписал 23 января, спустя три дня после инаугурации – будет иметь как региональные, так и глобальные последствия, масштаб которых пока трудно оценить.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ТТП стало </w:t>
      </w:r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lastRenderedPageBreak/>
        <w:t>одним из главных элементов американского «разворота в Азию», и в последний год пребывания у власти Барака Обамы (после подписания соглашения в октябре 2015 г.) подавалось как важнейший внешнеполитический успех демократов.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глобальном измерении ТТП наряду с Трансатлантическим торговым и инвестиционным партнерством (ТАТИП) являлось частью комплексной стратегии по преобразованию международного экономического порядка.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По замыслу инициаторов, новые структуры должны были прийти на смену уже не удовлетворяющей интересы Вашингтона глобальной экономике.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Провал попытки «централизованного» (через ВТО) обновления правил международной торговли, предпринятой в рамках Дохийского раунда, еще в середине 2000-х гг.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поставил вопрос об альтернативных путях развития институтов регулирования мировой экономики: одной из альтернатив стало создание двусторонних зон свободной торговли, бум которых наблюдался в АТР в 2000-е годы. Для Вашингтона вопрос о реформе установившегося после холодной войны порядка обрел особое значение после экономического кризиса 2007–2009 гг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.,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он ускорил изменение расстановки сил на мировой арене, высветив укрепление Китая.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Относительный неуспех США и появление новых центров силы продемонстрировали, что при сохранении прежних правил игры, основанных на нормах ВТО и других Бреттон-Вудских институтов, Соединенные Штаты не просто перестают быть главным бенефициаром глобализации, но могут оказаться среди проигравших (если не экономически, то политически).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Проекты ТТП и ТАТИП стали попыткой обновления этих правил ради большего соответствия американским интересам.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ТТП являлось важным инструментом азиатской политики администрации Обамы.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 одной стороны, оно удовлетворяло существующий в регионе спрос на институты, с другой – упрочило архитектуру противостояния растущей мощи Китая.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Примечательно, что в первые годы этот проект представляли как открытый формат вовлечения и мягкого навязывания Пекину новых правил игры, но с ростом американо-китайской напряженности риторика приобретала все более антикитайский тон.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С осени 2015 г. в ряде публичных заявлений и прежде всего в знаменитой майской статье в </w:t>
      </w:r>
      <w:r w:rsidRPr="00987F42">
        <w:rPr>
          <w:rFonts w:ascii="Georgia Bold Italic" w:hAnsi="Georgia Bold Italic" w:cs="Georgia Bold Italic"/>
          <w:i/>
          <w:iCs/>
          <w:color w:val="262626"/>
          <w:sz w:val="28"/>
          <w:szCs w:val="32"/>
          <w:lang w:val="en-US"/>
        </w:rPr>
        <w:t>The Washington Post</w:t>
      </w:r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Обама открыто указывал, что ТТП призвано не допустить, чтобы правила международной торговли писались в Пекине (и вообще где-либо кроме Вашингтона).</w:t>
      </w: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Однако успехи в плане практической реализации этой политики оказались невелики.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Администрация Обамы добилась подписания (но не ратификации) ТТП, так и не сумев должным образом «продать» соглашение на внутриполитическом рынке – итоговый текст, по мнению многих критиков, был полон необязательных уступок.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Переговоры же по ТАТИП, судя по регулярным утечкам и публичным заявлениям по обе стороны Атлантики, «забуксовали» еще в последний год президентства Обамы.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Европейцы затягивали переговоры с покидающей Белый дом администрацией, ожидая прихода новой команды, которая обладала бы возможностью и политическими ресурсами обеспечить ратификацию документа.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Сторонники обоих проектов делали ставку на Хиллари Клинтон, которая стояла у истоков этих инициатив и являлась, по сути, консенсусным кандидатом от политического и бюрократического истеблишмента.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Предполагалось, что, несмотря на ее критику условий соглашения по ТТП, после выборов проект вернется в повестку дня.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Азиатские союзники США не скрывали расчета на то, что новая демократическая администрация, возможно после символических поправок, добьется ратификации ТТП, и выстраиваемый почти целое десятилетие мегапроект будет реализован.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Дональд Трамп грозит свести на нет усилия Соединенных Штатов последних лет по преобразованию международной системы торговли и уже вносит сумятицу в американскую политику в Азии, дезориентируя своими заявлениями и действиями и союзников, и конкурентов.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Выход Вашингтона из большой и практически завершенной (и казавшейся совсем недавно почти неотвратимой) сделки напоминает не менее неожиданный отказ США от участия в Лиге Наций в 1919 г. и вызывает у наблюдателей – особенно в АТР – тревогу относительно возврата «единственной сверхдержавы» к изоляционизму, пусть и очевидно в более ограниченной по сравнению с первой половиной XX в. форме.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Однако в условиях нарастающей внутриполитической борьбы отказ от ТТП носит скорее конъюнктурный, чем стратегический характер, а само решение может оказаться далеко не таким необратимым, каким его пытается представить пришедшая к власти администрация.</w:t>
      </w:r>
      <w:proofErr w:type="gramEnd"/>
      <w:r w:rsidRPr="00987F42">
        <w:rPr>
          <w:rFonts w:ascii="Georgia Bold Italic" w:hAnsi="Georgia Bold Italic" w:cs="Georgia Bold Italic"/>
          <w:i/>
          <w:iCs/>
          <w:color w:val="262626"/>
          <w:sz w:val="28"/>
          <w:szCs w:val="32"/>
          <w:lang w:val="en-US"/>
        </w:rPr>
        <w:t xml:space="preserve"> </w:t>
      </w: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r w:rsidRPr="00987F42">
        <w:rPr>
          <w:rFonts w:ascii="Georgia Bold Italic" w:hAnsi="Georgia Bold Italic" w:cs="Georgia Bold Italic"/>
          <w:b/>
          <w:bCs/>
          <w:color w:val="262626"/>
          <w:sz w:val="28"/>
          <w:szCs w:val="32"/>
          <w:lang w:val="en-US"/>
        </w:rPr>
        <w:t>Истоки торгового эгоизма</w:t>
      </w: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Непредсказуемость внешней политики администрации Трампа, примером которой служит отказ от масштабного проекта предшественника, отражает общую неготовность принять новую роль внутриполитических изменений в международных отношениях.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Консенсус американских и вообще западных элит по поводу роли и места США в мире, сохранявшийся четверть века, формировал жесткую преемственность внешнеполитического курса.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Администрация Обамы развивала идею ТТП, выдвинутую командой ее республиканских предшественников, та же подхватила флаг развития институциональных инициатив в регионе из рук администрации Клинтона.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Сторонники ТТП питали надежды, что проект удастся сохранить как раз в силу преемственности внешнеполитических задач.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Симптоматично сделанное во время саммита АТЭС шуточное предложение новозеландского премьер-министра Джона Ки переименовать ТТП в Трамп-Тихоокеанское партнерство.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Очевидно, партнеры по проекту рассчитывали на гибкость новой администрации.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Дальнейший ход событий вызвал шок в стане сторонников проекта в Соединенных Штатах и других странах-участницах, хотя позиция Трампа была давно известна.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Главной проблемой стало даже не разрушение масштабного проекта как таковое, сколько непонимание того, какой будет новая американская стратегия в Азии – отказ от ТТП демонстративно подчеркнул отход от прежней политики без ясного указания, что ее заменит.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Ни сам Трамп, ни его советники пока не сформулировали внятной программы действий, за исключением общей критики предшественников и нескольких неожиданных антикитайских ходов – что дает представление скорее об эмоциональном фоне, чем о содержании возможных действий Вашингтона в АТР.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Экспертное сообщество дезориентировано, оно склонно приписывать экстравагантные шаги неопытности и импульсивности Трампа, помноженной на его уязвимость, а значит повышенную чувствительность к внутриполитической проблематике.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На первый взгляд отказ от ТТП выглядит случайным следствием внутриполитических обстоятельств.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условиях тиражируемых в прессе обвинений в популизме Трампу необходимо было быстро исполнить хотя бы одно крупное предвыборное обещание.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В этом смысле выход из ТТП в качестве символического закрытия «гештальта» первых ста дней президентства тактически безупречен: даже при неважном начале администрации будет чем отчитаться перед избирателями, а технически отзыв подписи от нератифицированного соглашения занимает считанные часы.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 принятии решения, видимо, учитывалось, что ни республиканцы, ни демократы никогда полностью не поддерживали соглашение.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На этом фоне шаг Трампа едва ли мог встретить организованное сопротивление, как это произошло, например, в случае с базой Гуантанамо – неспособность закрыть ее закрепила за Обамой образ слабого и нерешительного лидера.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Однако комплексный взгляд на политическую и экономическую программу Трампа позволяет говорить о том, что свертывание ТТП имеет более глубокое обоснование.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Трамп и его сторонники во многом сближаются c теми представителями политического мейнстрима (в том числе Обамой), которые считают, что дальнейшее развитие глобализации в нынешней форме будет вести к ослаблению позиций США.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Но вместо дорогостоящих попыток «развернуть» процессы в нужном для Вашингтона направлении Трамп предлагает от них отгородиться.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Этот подход имеет системную внутреннюю поддержку, падая на благодатную почву традиционного изоляционизма «одноэтажной Америки», в особенности более патриархальных средних штатов, которые Трампа и избрали.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отличие от исторически ориентированных на торговлю и финансы штатов побережья (в массе своей, за исключением Юга и Флориды, проголосовавших за Клинтон), «внутренняя Америка» в гораздо меньшей степени является бенефициаром глобализации и в гораздо большей ощущает ее издержки.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Призыв возвести стену на американо-мексиканской границе и отказ от масштабного многостороннего соглашения – части одной идеологической программы, которую можно свести к тезису «защитимся от глобализации».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Отсюда не просто эмоциональные нападки на ТТП как частный случай, но системное неприятие глобальных и региональных многосторонних договоров как таковых: в ходе предвыборных дебатов Трамп критиковал и соглашение НАФТА, и малоэффективную, с его точки зрения, ВТО.</w:t>
      </w: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ТТП не вписывается в экономическую программу Трампа, вдохновленную «рейганомикой» и вобравшую в себя некоторые фобии средней Америки.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«Трампономика», по-видимому, будет представлять собой синтез классических республиканских рецептов (снижение налоговой нагрузки на бизнес, дерегулирование, «маленькое правительство» при росте государственного долга и др.) в рейгановском варианте и ряда экстремальных по меркам сегодняшнего мейнстрима мер, которые Трамп позиционирует как свои личные новаторские инициативы.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К последним относятся и обещания чрезвычайно жесткого протекционизма.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ходе предвыборной кампании Трамп успел пообещать значительный рост торговых тарифов, включая наиболее одиозные заявления о 35-процентной пошлине на товары из Мексики и 45-процентные – из Китая.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Многие американцы видят в этом ностальгический блеск «Позолоченного века» – периода бурного экономического роста в Соединенных Штатах последней трети XIX – начала XX столетия, во многом строившегося на жесточайших протекционистских мерах.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Тогда Республиканская партия тоже была оплотом протекционизма, недаром Трампа сравнивают с другим эксцентричным президентом – Теодором Рузвельтом.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На деле Трамп сильно ограничен в реализации обещанных им протекционистских мер.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Внутри страны главным препятствием будет Конгресс, без согласования с которым глава исполнительной власти не может менять торговые тарифы более чем на 15%, и то в качестве формально временной меры.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Извне на открытую протекционистскую политику будут оказывать давление нормы ВТО (выход из организации опять же невозможен без одобрения Конгресса).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Вследствие этого предлагаемый Трампом протекционизм, вероятно, в значительной степени будет строиться на повышении нетарифных барьеров, точечных запретах (иногда, возможно, и в форме экономических санкций), налоговых и инвестиционных стимулах для переброски в США производств.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ТТП, которое в немалой степени ориентировано как раз на регламентацию и смягчение нетарифных барьеров торговли и ограничение внерыночных стимулов для национальных производителей, в такую экономическую модель не просто не вписывалось, но напрямую ей противоречило.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 </w:t>
      </w: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Предлагаемые Трампом протекционистские меры теоретически не противоречат решению тех прикладных задач, которые администрация Обамы объявила в качестве приоритетных при создании ТТП: стимулирование экспорта, создание новых рабочих мест, повышение конкурентоспособности американской экономики. Напротив, критики проекта из числа профессиональных экономистов, среди которых – нобелевский лауреат </w:t>
      </w:r>
      <w:hyperlink r:id="rId28" w:history="1">
        <w:r w:rsidRPr="00987F42">
          <w:rPr>
            <w:rFonts w:ascii="Georgia Bold Italic" w:hAnsi="Georgia Bold Italic" w:cs="Georgia Bold Italic"/>
            <w:color w:val="BE0004"/>
            <w:sz w:val="28"/>
            <w:szCs w:val="32"/>
            <w:lang w:val="en-US"/>
          </w:rPr>
          <w:t>Джозеф Стиглиц,</w:t>
        </w:r>
      </w:hyperlink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справедливо указывают на крайне неравномерное распределение выгод: бенефициарами выступят главным образом крупные ТНК, а воздействие ТТП на американский рынок труда будет неоднозначным и, возможно, даже подстегнет, а не снизит безработицу. К этому следует добавить и негативное изменение структуры внешней торговли: при прогнозируемом увеличении экспорта соглашение будет стимулировать и дефицит торгового баланса Соединенных Штатов.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Трамп, таким образом, позиционирует свое решение как отказ от сомнительного и дорогого инструмента стимулирования экономики в пользу простых и проверенных временем мер.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Не сработали в случае с ТТП и внутриполитические институциональные механизмы, призванные обеспечить преемственность курса.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Формирование республиканского большинства в обеих палатах Конгресса в условиях непростых отношений Трампа с партийным истеблишментом не укрепило политическую конструкцию.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С одной стороны, в вопросе внешней торговли (как и во многих других) позиции президента и республиканского мейнстрима кардинально расходятся: костяк «великой старой партии» продолжает тяготеть к фритрейдерству, и протекционистская риторика Трампа вызывает у значительной части республиканской элиты отторжение.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ходе президентской кампании 2012 г. республиканцы, представленные тогда традиционными правыми и правоцентристскими кандидатами, критиковали Обаму за недостаточно решительное отстаивание либерализации торговли, в том числе в АТР.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Однако даже у сторонников фритрейда отношение к ТТП остается неоднозначным.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Республиканцы традиционно настороженно относятся к большим многосторонним соглашениям: за последние десятилетия все крупные глобальные и региональные торговые сделки, в которых США принимали участие – ГАТТ, ВТО, НАФТА – заключались при демократических администрациях (что не мешало, однако, значительной части республиканцев за них голосовать).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Важным фактором остается и априорное неприятие консервативным крылом республиканцев обамовских инициатив как таковых, которое распространяется и на ТТП.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Так, хотя в ходе кампании 2016 г. в поддержку проекта высказывался ряд республиканских кандидатов, включая Джеба Буша и Марко Рубио, в число критиков ТТП вошли такие влиятельные фигуры, как спикер нижней палаты Конгресса Пол Райан и один из видных активистов «движения чаепития» ультраправый сенатор Тед Круз. Опросы показывают раскол по вопросу о ТТП и среди республиканских избирателей: хотя большая часть республиканского электората ТТП не доверяет, число поддерживающих заключение сделки отстает всего на 5–6%.</w:t>
      </w: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Одержи победу более традиционный кандидат, эти противоречия вряд ли определили бы судьбу проекта: даже наиболее жесткие его противники из консервативного лагеря в основном критиковали сам документ, а не идею мегарегиональных сделок как таковую.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этом случае заявление об отказе от ТТП следовало бы интерпретировать скорее как попытку перезагрузить инициативу, в том числе с целью избавиться от политически нежелательной для части истеблишмента (в том числе и демократического) ассоциации проекта с относительно непопулярным Обамой.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Трамп, однако, как представитель другого, во многом контрэлитного политического движения, по-видимому, намерен использовать меж- и внутрипартийные противоречия для подрыва и перекройки отдельных аспектов внутренней и внешней политики (в рамках, позволяющих ему сохранять рабочие отношения с традиционным истеблишментом).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А отказ от ТТП является шагом (возможно, интуитивным) в сторону системной перестройки американского подхода к развитию глобального и тихоокеанского экономического порядка.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Открытым остается вопрос, насколько не имеющая прочной политической базы администрация Трампа в состоянии трансформировать набор интуитивных установок в осмысленный курс.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Применительно к решению о выходе из ТТП это будет зависеть от двух факторов.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Во-первых, насколько успешной и устойчивой окажется реализация экономической программы Трампа – неудачи побудят республиканский кабинет отказаться от основных заявленных принципов, что откроет дорогу заключению многосторонних мегасделок.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Во-вторых, предложит ли новая администрация альтернативу политике последних десяти лет.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И здесь новый кабинет находится в узком фарватере, определяемом объективными вызовами интересам США в регионе, что может вынудить американцев вернуться к идее мегарегионального соглашения.</w:t>
      </w:r>
      <w:proofErr w:type="gramEnd"/>
      <w:r w:rsidRPr="00987F42">
        <w:rPr>
          <w:rFonts w:ascii="Georgia Bold Italic" w:hAnsi="Georgia Bold Italic" w:cs="Georgia Bold Italic"/>
          <w:i/>
          <w:iCs/>
          <w:color w:val="262626"/>
          <w:sz w:val="28"/>
          <w:szCs w:val="32"/>
          <w:lang w:val="en-US"/>
        </w:rPr>
        <w:t xml:space="preserve"> </w:t>
      </w: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r w:rsidRPr="00987F42">
        <w:rPr>
          <w:rFonts w:ascii="Georgia Bold Italic" w:hAnsi="Georgia Bold Italic" w:cs="Georgia Bold Italic"/>
          <w:b/>
          <w:bCs/>
          <w:color w:val="262626"/>
          <w:sz w:val="28"/>
          <w:szCs w:val="32"/>
          <w:lang w:val="en-US"/>
        </w:rPr>
        <w:t>Новая старая политика</w:t>
      </w: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Главной проблемой отказа от ТТП является то, что это решение вступает в противоречие с внешнеполитической программой Трампа, одним из главных пунктов которой является противостояние Китаю.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Декларированное новой администрацией ужесточение подхода к Пекину означает необходимость его более активного сдерживания, которое трудно представить без экономической компоненты.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Пока многие американские союзники в АТР впадают во все большую экономическую зависимость от Пекина, что объективно размывает американское лидерство в региональной системе альянсов.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Введение в действие ТТП способствовало бы ослаблению этой тенденции, укрепив институциональные и торгово-экономические связи между США и их союзниками и партнерами.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Главным геоэкономическим следствием соглашения стало бы подстегивание американских инвестиций в страны – участницы проекта (прежде всего развивающиеся экспортно-ориентированные экономики) и соответствующий рост экспорта из этих стран в США.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Принципиально, что конфигурация, сложившаяся к моменту подписания соглашения, не предполагала даже гипотетического (по крайней мере в ближайшие годы) участия Китая.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Перестройка региональных производственных цепочек происходила бы, таким образом, в основном за счет Пекина, медленно ослабляя и американо-китайскую экономическую связку.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Отказываясь от ТТП, Трамп отбрасывает инструмент, необходимый для проведения в жизнь им же предлагаемой политики.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Свертывание ТТП создает в АТР нормативный вакуум при высоком спросе на институты.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Дефицит институтов по-прежнему считается одной из основных проблем, мешающих развитию и повышающих политические риски.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этой связи любые претензии на лидерство тесно связаны со способностью возглавлять и реализовывать институциональное строительство, формируя позитивную повестку для развития экономических связей.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Отказавшись от ТТП и не предлагая ничего взамен, Вашингтон не только нанес колоссальный урон своей репутации, но и подрубил одну из опор собственной азиатской политики последних лет.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Пекин уже пытается воспользоваться ситуацией и заполнить образовавшийся вакуум своими проектами.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ходе саммита АТЭС в Перу КНР вновь энергично выступала с идеей создания общерегиональной ЗСТ на базе организации, минуя промежуточные блоковые форматы.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На фоне общей неопределенности эти предложения были встречены прессой почти как сенсационные, хотя ничего нового в них нет – Китай продвигает эту инициативу с 2014 г., она же, в свою очередь, является чуть ли не зеркальным отражением американских предложений аж еще 2006 года.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Гораздо больший потенциал имеет Всеобъемлющее региональное экономическое партнерство (ВРЭП) – поддерживаемая Китаем альтернатива ТТП, которая создана в 2013 г. вокруг АСЕАН.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Несмотря на видимое замедление переговорного процесса между участниками проекта, после свертывания ТТП ВРЭП остается единственным реально функционирующим многосторонним форматом переговоров для выработки новых правил региональной торговли.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На руку США пока играет то, что Китай ограничен в возможностях нормативной экспансии: низкое качество институтов самой китайской экономики, невысокая заинтересованность китайского бизнеса и государственных предприятий в повышении стандартов экономической деятельности и отсутствие опыта реализации больших международных институциональных проектов двигает Пекин к тому, чтобы в отношениях с соседями по-прежнему делать упор на финансовые вливания.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Сформированные КНР международные институты – прежде всего Азиатский банк инфраструктурных инвестиций – выполняют роль институциональных зонтиков для наращивания инвестиций в нужном для Пекина направлении, а не генерируют новые правила.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На то же ориентирован и ВРЭП – переговоры в рамках этого проекта в малой степени затрагивают нетарифное регулирование, фокусируясь на снижении тарифных ограничений и обеспечении институциональной среды для больших инфраструктурных проектов в Юго-Восточной Азии.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Китайские проекты, таким образом, способны ослабить американские позиции в АТР, усилив замкнутость азиатской экономики на китайскую, но заполнить нормативно-институциональный вакуум в регионе и тем более на глобальном уровне они не способны.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У администрации Трампа остается пространство для маневра, позволяющее совместить внутриполитическую и экономическую повестку с региональными задачами.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Трамп уже обозначил новую конфигурацию американской торговой политики в Азии: объявляя об отказе от ТТП, он упомянул возврат к практике двусторонних ЗСТ, где США могут иметь более сильную переговорную позицию и успешнее продавливать свои экономические требования.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ТТП в этом случае может оказаться полезным как готовая база для переговоров – между Соединенными Штатами и одиннадцатью государствами региона уже существуют согласованные позиции по правилам торговли, которые могут стать основой для двустороннего «передоговаривания».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При этом избирательная трансформация многостороннего соглашения в двусторонние форматы облегчается тем, что ТТП и так содержит чрезвычайно индивидуальные условия для большинства участников.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Обновление правил торговли на двустороннем уровне предпочтительно прежде всего благодаря гибкости: республиканской администрации будет проще совмещать двусторонние торговые соглашения с заявленным дрейфом в сторону протекционизма и жесткой защитой национальных интересов.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По-видимому, администрация Трампа будет стремиться смещать формат таких соглашений в сторону обновления стандартов регулирования торговли, в меньшей степени способствуя ее либерализации, по крайней мере в сфере тарифных барьеров.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Это существенно усложнит переговоры, особенно с Японией, договоренности с которой представляют для США наибольший экономический смысл.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Вашингтон, вероятно, сможет воспользоваться и во многом им же порожденной растерянностью своих азиатских союзников – угроза остаться один на один с КНР будет подталкивать их к уступкам, в том числе экономическим.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В долгосрочной перспективе такой подход способен расширить правовую базу для перехода к более или менее унифицированной многосторонней сделке, которая вберет в себя двусторонние соглашения о ЗСТ (как это собиралось сделать и ТТП).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Осуществить такой переход проще, если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11 оставшихся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участников ТТП все же сформируют многостороннюю зону свободной торговли без американского участия.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Такой сценарий развития инициативы, в которой ведущая роль будет принадлежать уже Японии, нельзя исключать.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Однако главная проблема заключается в том, что двусторонние ЗСТ, даже в случае успешного заключения их со всеми одиннадцатью партнерами по ТТП (что маловероятно), не создают унифицированных норм, предполагая индивидуальные условия для каждой пары.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Таким образом, хотя расширение веера двусторонних ЗСТ (прежде всего – на Японию, вероятно – и на других американских союзников, не исключая не участвующие в проекте ТТП Филиппины) выполнит роль экономического сдерживания Китая, нерешенной останется главная задача долгосрочного развития АТР – формирование унифицированной институциональной среды региональной экономики.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Более того, провал политики расширения пакета двусторонних соглашений (возможный, с учетом технической и политической сложности переговоров) и дальнейшее повышение регионального веса Китая, в том числе за счет развития и продвижения ВРЭП, может стимулировать Вашингтон смещать конкуренцию из экономико-институционального соревнования в военно-силовое, включая пересмотр отношений с Тайванем, о возможности которого Трамп уже успел заявить.</w:t>
      </w:r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Есть вероятность, что Вашингтон вернется к идее многосторонней торговой сделки в новом политическом цикле – через 4–8 лет.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Нельзя исключать такого поворота событий и при республиканской администрации – там могут вспомнить, например, об идее Митта Ромни о «Рейгановской зоне свободной торговли» (она выдвигалась во время кампании 2012 г.) – республиканской альтернативе ТТП, базирующейся на тех же принципах.</w:t>
      </w:r>
      <w:proofErr w:type="gramEnd"/>
    </w:p>
    <w:p w:rsidR="00987F42" w:rsidRPr="00987F42" w:rsidRDefault="00987F42" w:rsidP="00987F42">
      <w:pPr>
        <w:widowControl w:val="0"/>
        <w:autoSpaceDE w:val="0"/>
        <w:autoSpaceDN w:val="0"/>
        <w:adjustRightInd w:val="0"/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Для России сложившаяся ситуация создает как риски, связанные с повышением региональной неопределенности, так и возможности.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Формальный провал ТТП и снижение институционального давления со стороны США на Россию и Китай не должны стать поводом для сокращения усилий по выстраиванию собственных проектов.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Напротив, ожидаемый переход республиканской администрации к практике продвижения двусторонних ЗСТ способен стать даже более эффективной стратегией с точки зрения геоэкономической консолидации азиатских союзников вокруг Вашингтона, формируя более жесткие, хотя и не унифицированные экономико-институциональные связки на более выгодных для американцев условиях.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Нельзя исключать, что через 4–8 лет следующая администрация использует базу двусторонних торгово-экономических соглашений в качестве основы нового многостороннего проекта.</w:t>
      </w:r>
      <w:proofErr w:type="gramEnd"/>
    </w:p>
    <w:p w:rsidR="00AE5CAC" w:rsidRPr="00987F42" w:rsidRDefault="00987F42" w:rsidP="00987F42">
      <w:pPr>
        <w:rPr>
          <w:sz w:val="22"/>
        </w:rPr>
      </w:pP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Развитие больших инициатив, в том числе всеобъемлющего евразийского партнерства, ориентированного на сопряжение российского опыта экспорта технических норм и китайских экономических возможностей, представляется наилучшей стратегией.</w:t>
      </w:r>
      <w:proofErr w:type="gramEnd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 xml:space="preserve"> </w:t>
      </w:r>
      <w:proofErr w:type="gramStart"/>
      <w:r w:rsidRPr="00987F42">
        <w:rPr>
          <w:rFonts w:ascii="Georgia Bold Italic" w:hAnsi="Georgia Bold Italic" w:cs="Georgia Bold Italic"/>
          <w:color w:val="262626"/>
          <w:sz w:val="28"/>
          <w:szCs w:val="32"/>
          <w:lang w:val="en-US"/>
        </w:rPr>
        <w:t>Такое партнерство может быть еще одним альтернативным форматом, генерирующим нормы международной торгово-экономической деятельности и способным удовлетворить региональный спрос на институты.</w:t>
      </w:r>
      <w:proofErr w:type="gramEnd"/>
    </w:p>
    <w:sectPr w:rsidR="00AE5CAC" w:rsidRPr="00987F42" w:rsidSect="00AE5C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Georgia Bold Italic">
    <w:panose1 w:val="020408020504050902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42"/>
    <w:rsid w:val="00987F42"/>
    <w:rsid w:val="00A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4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4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4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4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lobalaffairs.ru/tag/TPP" TargetMode="External"/><Relationship Id="rId20" Type="http://schemas.openxmlformats.org/officeDocument/2006/relationships/hyperlink" Target="http://www.globalaffairs.ru/tag/Clinton" TargetMode="External"/><Relationship Id="rId21" Type="http://schemas.openxmlformats.org/officeDocument/2006/relationships/hyperlink" Target="http://www.globalaffairs.ru/tag/economy" TargetMode="External"/><Relationship Id="rId22" Type="http://schemas.openxmlformats.org/officeDocument/2006/relationships/hyperlink" Target="http://www.globalaffairs.ru/tag/investment" TargetMode="External"/><Relationship Id="rId23" Type="http://schemas.openxmlformats.org/officeDocument/2006/relationships/hyperlink" Target="http://www.globalaffairs.ru/tag/t_197" TargetMode="External"/><Relationship Id="rId24" Type="http://schemas.openxmlformats.org/officeDocument/2006/relationships/hyperlink" Target="http://www.globalaffairs.ru/tag/ASEAN" TargetMode="External"/><Relationship Id="rId25" Type="http://schemas.openxmlformats.org/officeDocument/2006/relationships/hyperlink" Target="http://www.globalaffairs.ru/tag/t_61" TargetMode="External"/><Relationship Id="rId26" Type="http://schemas.openxmlformats.org/officeDocument/2006/relationships/hyperlink" Target="http://www.globalaffairs.ru/tag/Taiwan" TargetMode="External"/><Relationship Id="rId27" Type="http://schemas.openxmlformats.org/officeDocument/2006/relationships/hyperlink" Target="http://www.globalaffairs.ru/tag/t_225" TargetMode="External"/><Relationship Id="rId28" Type="http://schemas.openxmlformats.org/officeDocument/2006/relationships/hyperlink" Target="http://www.globalaffairs.ru/person/p_309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globalaffairs.ru/tag/t_150" TargetMode="External"/><Relationship Id="rId11" Type="http://schemas.openxmlformats.org/officeDocument/2006/relationships/hyperlink" Target="http://www.globalaffairs.ru/tag/trade" TargetMode="External"/><Relationship Id="rId12" Type="http://schemas.openxmlformats.org/officeDocument/2006/relationships/hyperlink" Target="http://www.globalaffairs.ru/tag/Trump" TargetMode="External"/><Relationship Id="rId13" Type="http://schemas.openxmlformats.org/officeDocument/2006/relationships/hyperlink" Target="http://www.globalaffairs.ru/tag/Asia-Pacific" TargetMode="External"/><Relationship Id="rId14" Type="http://schemas.openxmlformats.org/officeDocument/2006/relationships/hyperlink" Target="http://www.globalaffairs.ru/tag/t_86" TargetMode="External"/><Relationship Id="rId15" Type="http://schemas.openxmlformats.org/officeDocument/2006/relationships/hyperlink" Target="http://www.globalaffairs.ru/tag/t_37" TargetMode="External"/><Relationship Id="rId16" Type="http://schemas.openxmlformats.org/officeDocument/2006/relationships/hyperlink" Target="http://www.globalaffairs.ru/tag/t_188" TargetMode="External"/><Relationship Id="rId17" Type="http://schemas.openxmlformats.org/officeDocument/2006/relationships/hyperlink" Target="http://www.globalaffairs.ru/tag/TTIP" TargetMode="External"/><Relationship Id="rId18" Type="http://schemas.openxmlformats.org/officeDocument/2006/relationships/hyperlink" Target="http://www.globalaffairs.ru/tag/t_15" TargetMode="External"/><Relationship Id="rId19" Type="http://schemas.openxmlformats.org/officeDocument/2006/relationships/hyperlink" Target="http://www.globalaffairs.ru/tag/governtmen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lobalaffairs.ru/person/p_3032" TargetMode="External"/><Relationship Id="rId6" Type="http://schemas.openxmlformats.org/officeDocument/2006/relationships/hyperlink" Target="http://www.globalaffairs.ru/" TargetMode="External"/><Relationship Id="rId7" Type="http://schemas.openxmlformats.org/officeDocument/2006/relationships/hyperlink" Target="http://www.globalaffairs.ru/numbers" TargetMode="External"/><Relationship Id="rId8" Type="http://schemas.openxmlformats.org/officeDocument/2006/relationships/hyperlink" Target="http://www.globalaffairs.ru/numbers/12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4076</Words>
  <Characters>23236</Characters>
  <Application>Microsoft Macintosh Word</Application>
  <DocSecurity>0</DocSecurity>
  <Lines>193</Lines>
  <Paragraphs>54</Paragraphs>
  <ScaleCrop>false</ScaleCrop>
  <Company/>
  <LinksUpToDate>false</LinksUpToDate>
  <CharactersWithSpaces>27258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2017-03-15T17:57:00Z</dcterms:created>
  <dcterms:modified xsi:type="dcterms:W3CDTF">2017-03-15T18:00:00Z</dcterms:modified>
</cp:coreProperties>
</file>