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C3333"/>
          <w:sz w:val="20"/>
          <w:szCs w:val="20"/>
          <w:lang w:eastAsia="ru-RU"/>
        </w:rPr>
      </w:pPr>
      <w:r w:rsidRPr="00B66668">
        <w:rPr>
          <w:rFonts w:ascii="Verdana" w:eastAsia="Times New Roman" w:hAnsi="Verdana" w:cs="Times New Roman"/>
          <w:b/>
          <w:bCs/>
          <w:color w:val="CC3333"/>
          <w:sz w:val="20"/>
          <w:szCs w:val="20"/>
          <w:lang w:eastAsia="ru-RU"/>
        </w:rPr>
        <w:t>Смертность пешеходов на дорогах России</w:t>
      </w:r>
      <w:bookmarkStart w:id="0" w:name="_FN_0"/>
      <w:r w:rsidRPr="00B66668">
        <w:rPr>
          <w:rFonts w:ascii="Verdana" w:eastAsia="Times New Roman" w:hAnsi="Verdana" w:cs="Times New Roman"/>
          <w:b/>
          <w:bCs/>
          <w:color w:val="CC3333"/>
          <w:sz w:val="20"/>
          <w:szCs w:val="20"/>
          <w:vertAlign w:val="superscript"/>
          <w:lang w:eastAsia="ru-RU"/>
        </w:rPr>
        <w:fldChar w:fldCharType="begin"/>
      </w:r>
      <w:r w:rsidRPr="00B66668">
        <w:rPr>
          <w:rFonts w:ascii="Verdana" w:eastAsia="Times New Roman" w:hAnsi="Verdana" w:cs="Times New Roman"/>
          <w:b/>
          <w:bCs/>
          <w:color w:val="CC3333"/>
          <w:sz w:val="20"/>
          <w:szCs w:val="20"/>
          <w:vertAlign w:val="superscript"/>
          <w:lang w:eastAsia="ru-RU"/>
        </w:rPr>
        <w:instrText xml:space="preserve"> HYPERLINK "http://demoscope.ru/weekly/2013/0573/analit02.php" \l "_FNR_0" </w:instrText>
      </w:r>
      <w:r w:rsidRPr="00B66668">
        <w:rPr>
          <w:rFonts w:ascii="Verdana" w:eastAsia="Times New Roman" w:hAnsi="Verdana" w:cs="Times New Roman"/>
          <w:b/>
          <w:bCs/>
          <w:color w:val="CC3333"/>
          <w:sz w:val="20"/>
          <w:szCs w:val="20"/>
          <w:vertAlign w:val="superscript"/>
          <w:lang w:eastAsia="ru-RU"/>
        </w:rPr>
        <w:fldChar w:fldCharType="separate"/>
      </w:r>
      <w:r w:rsidRPr="00B66668">
        <w:rPr>
          <w:rFonts w:ascii="Arial" w:eastAsia="Times New Roman" w:hAnsi="Arial" w:cs="Arial"/>
          <w:b/>
          <w:bCs/>
          <w:color w:val="CC3333"/>
          <w:sz w:val="18"/>
          <w:szCs w:val="18"/>
          <w:vertAlign w:val="superscript"/>
          <w:lang w:eastAsia="ru-RU"/>
        </w:rPr>
        <w:t>*</w:t>
      </w:r>
      <w:r w:rsidRPr="00B66668">
        <w:rPr>
          <w:rFonts w:ascii="Verdana" w:eastAsia="Times New Roman" w:hAnsi="Verdana" w:cs="Times New Roman"/>
          <w:b/>
          <w:bCs/>
          <w:color w:val="CC3333"/>
          <w:sz w:val="20"/>
          <w:szCs w:val="20"/>
          <w:vertAlign w:val="superscript"/>
          <w:lang w:eastAsia="ru-RU"/>
        </w:rPr>
        <w:fldChar w:fldCharType="end"/>
      </w:r>
      <w:bookmarkEnd w:id="0"/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Т. Фаттахов</w:t>
      </w:r>
      <w:bookmarkStart w:id="1" w:name="_FN_1"/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vertAlign w:val="superscript"/>
          <w:lang w:eastAsia="ru-RU"/>
        </w:rPr>
        <w:fldChar w:fldCharType="begin"/>
      </w: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vertAlign w:val="superscript"/>
          <w:lang w:eastAsia="ru-RU"/>
        </w:rPr>
        <w:instrText xml:space="preserve"> HYPERLINK "http://demoscope.ru/weekly/2013/0573/analit02.php" \l "_FNR_1" </w:instrText>
      </w: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vertAlign w:val="superscript"/>
          <w:lang w:eastAsia="ru-RU"/>
        </w:rPr>
        <w:fldChar w:fldCharType="separate"/>
      </w:r>
      <w:r w:rsidRPr="00B66668">
        <w:rPr>
          <w:rFonts w:ascii="Arial" w:eastAsia="Times New Roman" w:hAnsi="Arial" w:cs="Arial"/>
          <w:b/>
          <w:bCs/>
          <w:color w:val="CC3333"/>
          <w:sz w:val="18"/>
          <w:szCs w:val="18"/>
          <w:vertAlign w:val="superscript"/>
          <w:lang w:eastAsia="ru-RU"/>
        </w:rPr>
        <w:t>1</w:t>
      </w: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vertAlign w:val="superscript"/>
          <w:lang w:eastAsia="ru-RU"/>
        </w:rPr>
        <w:fldChar w:fldCharType="end"/>
      </w:r>
      <w:bookmarkEnd w:id="1"/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 - специально для Демоскопа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Источники данных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России</w:t>
      </w:r>
      <w:proofErr w:type="gramEnd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данные о погибших пешеходах существуют с 1956 года. С 1956 по 1998 год Росстатом в группе транспортных происшествий выделялась отдельная причина смерти: «Автомототранспортные несчастные случаи на общественной дороге в результате наезда на пешехода».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1999 году в связи с переходом на Международную классификацию болезней травм и причин смерти (МКБ–10) причина «Автомототранспортные несчастные случаи на общественной дороге в результате наезда на пешехода» была заменена на другую</w:t>
      </w:r>
      <w:r w:rsidRPr="00B666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причину</w:t>
      </w:r>
      <w:r w:rsidRPr="00B666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gramEnd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Пешеход, пострадавший в результате транспортного несчастного случая».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2006 года Росстат стал выделять две категории погибших пешеходов:</w:t>
      </w:r>
    </w:p>
    <w:p w:rsidR="00B66668" w:rsidRPr="00B66668" w:rsidRDefault="00B66668" w:rsidP="00B66668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Пешеход, пострадавший от дорожного мототранспортного несчастного случая;</w:t>
      </w:r>
    </w:p>
    <w:p w:rsidR="00B66668" w:rsidRPr="00B66668" w:rsidRDefault="00B66668" w:rsidP="00B66668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Пешеход, пострадавший от внедорожного мототранспортного несчастного случая.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2011 году в статистической форме С-51 "Распределение умерших по полу, возрастным группам и причинам смерти", которая действует с 1989 года, стали выделять 4 причины пешеходной смертности:</w:t>
      </w:r>
    </w:p>
    <w:p w:rsidR="00B66668" w:rsidRPr="00B66668" w:rsidRDefault="00B66668" w:rsidP="00B66668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Пешеход, пострадавший в результате дорожного транспортного случая (кроме железнодорожного);</w:t>
      </w:r>
    </w:p>
    <w:p w:rsidR="00B66668" w:rsidRPr="00B66668" w:rsidRDefault="00B66668" w:rsidP="00B66668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Пешеход, пострадавший в результате недорожного транспортного случая (кроме железнодорожного);</w:t>
      </w:r>
    </w:p>
    <w:p w:rsidR="00B66668" w:rsidRPr="00B66668" w:rsidRDefault="00B66668" w:rsidP="00B66668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Пешеход, пострадавший при столкновении с поездом или другим железнодорожным транспортным средством;</w:t>
      </w:r>
    </w:p>
    <w:p w:rsidR="00B66668" w:rsidRPr="00B66668" w:rsidRDefault="00B66668" w:rsidP="00B66668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Пешеход, пострадавший в </w:t>
      </w:r>
      <w:proofErr w:type="gramStart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результате  неуточненного</w:t>
      </w:r>
      <w:proofErr w:type="gramEnd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транспортного случая (кроме железнодорожного).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Объединим данные Росстата о смертности пешеходов в один ряд следующим образом:</w:t>
      </w:r>
    </w:p>
    <w:p w:rsidR="00B66668" w:rsidRPr="00B66668" w:rsidRDefault="00B66668" w:rsidP="00B66668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1989-1998 гг. возьмем статистику автомототранспортных несчастных случаев на общественной дороге в результате наезда на пешеходов;</w:t>
      </w:r>
    </w:p>
    <w:p w:rsidR="00B66668" w:rsidRPr="00B66668" w:rsidRDefault="00B66668" w:rsidP="00B66668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1999-2005 гг. возьмем статистику автомототранспортных несчастных случаев на общественной дороге в результате наезда на пешеходов.</w:t>
      </w:r>
    </w:p>
    <w:p w:rsidR="00B66668" w:rsidRPr="00B66668" w:rsidRDefault="00B66668" w:rsidP="00B66668">
      <w:pPr>
        <w:numPr>
          <w:ilvl w:val="0"/>
          <w:numId w:val="3"/>
        </w:num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2006-2010 гг. возьмем сумму пешеходов, пострадавших от дорожных мототранспортных несчастных случаев </w:t>
      </w:r>
      <w:proofErr w:type="gramStart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 пешеходов</w:t>
      </w:r>
      <w:proofErr w:type="gramEnd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пострадавших от внедорожных мототранспортных несчастных случаев (рис. 1).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lastRenderedPageBreak/>
        <w:drawing>
          <wp:inline distT="0" distB="0" distL="0" distR="0">
            <wp:extent cx="4638675" cy="3429000"/>
            <wp:effectExtent l="0" t="0" r="9525" b="0"/>
            <wp:docPr id="15" name="Рисунок 15" descr="http://demoscope.ru/weekly/2013/0573/img3/a_graf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oscope.ru/weekly/2013/0573/img3/a_graf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Рисунок 1. Число погибших пешеходов по данным Росстата и ООН (ГИБДД), человек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Росстат, UNECE Statistics.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Помимо статистики Росстата, существует статистика ГИБДД о погибших пешеходах. Но данные ГИБДД, в электронном виде имеются за очень короткий период - с 1997 года. Еще один существенный недостаток этих данных заключается в том, что они находятся в закрытом доступе и не публикуются, а то, что обрывочно публикуется, не имеет базовых распределений по полу и возрасту.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1993 по 2004 гг. имеются данные ООН (они также приведены на рис. 1), которые, видимо, формировались на основе данных ГИБДД, этот вывод можно сделать, сравнивая абсолютные значения чисел погибших в ДТП. Поэтому расхождение в цифрах между Росстатом и ООН будем рассматривать как расхождение между Росстатом и ГИБДД. Это расхождение достаточно трудно объяснить, так как мы не знаем, кто попадает в статистику ГИБДД как пешеход. Поэтому для дальнейшего анализа будем использовать данные Росстата, ввиду того, что они собираются в соответствии с МКБ-10, имеют распределения по полу, возрасту, и могут быть использованы для международного и регионального сравнения.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Общая ситуация и система корректных показателей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начала 90-х годов в России наблюдается бурный рост автомобилизации. Этот рост сопровождался увеличением доли пешеходной смертности в общей структуре смертности от ДТП, до 1998 года. В 1991 году был достигнут исторический максимум пешеходной смертности, который составил 24206 погибших. Всего же с 1989 по 2011 год на дорогах России погибло около 397 тыс. пешеходов.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lastRenderedPageBreak/>
        <w:drawing>
          <wp:inline distT="0" distB="0" distL="0" distR="0">
            <wp:extent cx="5038725" cy="3314700"/>
            <wp:effectExtent l="0" t="0" r="9525" b="0"/>
            <wp:docPr id="14" name="Рисунок 14" descr="http://demoscope.ru/weekly/2013/0573/img3/a_graf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moscope.ru/weekly/2013/0573/img3/a_graf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Рисунок 2. Число погибших пешеходов по полу (шкала слева, человек) и доля пешеходной смертности в общей структуре погибших от ДТП (шкала справа, %),</w:t>
      </w: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br/>
        <w:t>1989-2011 гг.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Росстат.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Абсолютные числа событий не является лучшим показателем для оценки ситуации, ввиду того, что они подвержены влиянию возрастной структуры населения. Из рисунка 3 видно, что на число погибших пешеходов в той или иной возрастной группе оказывает значительное влияние численность населения в этой возрастной группе.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drawing>
          <wp:inline distT="0" distB="0" distL="0" distR="0">
            <wp:extent cx="5429250" cy="2676525"/>
            <wp:effectExtent l="0" t="0" r="0" b="9525"/>
            <wp:docPr id="13" name="Рисунок 13" descr="http://demoscope.ru/weekly/2013/0573/img3/a_graf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moscope.ru/weekly/2013/0573/img3/a_graf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Рисунок 3. Число погибших пешеходов по пятилетним возрастным группам (слева) и половозрастная структура населения России (справа), 2011 г.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Росстат.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Для того, что бы</w:t>
      </w:r>
      <w:proofErr w:type="gramEnd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устранить влияние возрастной структуры, воспользуемся стандартизованным коэффициентом смертности, который позволяет элиминировать влияние различий в возрастной структуре населения (рис 4).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drawing>
          <wp:inline distT="0" distB="0" distL="0" distR="0">
            <wp:extent cx="4914900" cy="3495675"/>
            <wp:effectExtent l="0" t="0" r="0" b="9525"/>
            <wp:docPr id="12" name="Рисунок 12" descr="http://demoscope.ru/weekly/2013/0573/img3/a_graf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moscope.ru/weekly/2013/0573/img3/a_graf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Рисунок 4. Стандартизованные коэффициенты смертности пешеходов и общей смертности от всех транспортных несчастных случаев, на 100000 населения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Расчеты автора на основе данных Росстата.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Половозрастные особенности пешеходной смертности в России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значительные различия в смертности пешеходов по полу. С 1989 по 2011 год в структуре пешеходной смертности всегда преобладали мужчины, на которых приходилось более 70% всех смертных случаев. В то же время на протяжении всего периода наблюдается рост вклада женской пешеходной смертности - с 23% в 1989 до 31,7% в 2010 году, и только в 2011 году он несколько снизился (рис. 5).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drawing>
          <wp:inline distT="0" distB="0" distL="0" distR="0">
            <wp:extent cx="4391025" cy="2838450"/>
            <wp:effectExtent l="0" t="0" r="9525" b="0"/>
            <wp:docPr id="11" name="Рисунок 11" descr="http://demoscope.ru/weekly/2013/0573/img3/a_graf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moscope.ru/weekly/2013/0573/img3/a_graf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lastRenderedPageBreak/>
        <w:t>Рисунок 5. Вклад мужчин и женщин в общую структуру смертности пешеходов, 1989-2011 гг., %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Расчеты автора на основе данных Росстата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Половые различия в смертности пешеходов зависят от возраста. Они особенно заметны в средних возрастах - от 20 до 60 лет, а также в самой старшей возрастной группе - 85 лет и старше. Из рисунка 6 видно, что именно в этих возрастах мужчины подвержены наибольшему риску, попасть под автомобиль, доля погибших мужчин-пешеходов по сравнению с женщинами-пешеходами значительно выше.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drawing>
          <wp:inline distT="0" distB="0" distL="0" distR="0">
            <wp:extent cx="5124450" cy="2809875"/>
            <wp:effectExtent l="0" t="0" r="0" b="9525"/>
            <wp:docPr id="10" name="Рисунок 10" descr="http://demoscope.ru/weekly/2013/0573/img3/a_graf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moscope.ru/weekly/2013/0573/img3/a_graf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Рисунок 6. Вклад мужчин и женщин в пешеходную смертность в 2011 г. по возрастным группам, %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Расчеты автора на основе данных Росстата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Динамика повозрастных показателей пешеходной смертности в России с 1989 по 2011 г. свидетельствует о ряде </w:t>
      </w:r>
      <w:proofErr w:type="gramStart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положительных тенденций</w:t>
      </w:r>
      <w:proofErr w:type="gramEnd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наметившихся в этот период. В начале 90-х годов существовали значительные различия в мужской пешеходной смертности между отдельными возрастными группами. Так, в группах 15-29, 30-44 </w:t>
      </w:r>
      <w:proofErr w:type="gramStart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 45</w:t>
      </w:r>
      <w:proofErr w:type="gramEnd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-59 погибало 6-7 человек на 100000 населения, в возрастной группе 60-74 - около 3 человек на 100000, в возрасте 0-14 и 75 и старше - чуть больше 1,5 человек на 100000 населения. К 2010 г. эти различия заметно сократились – в основном за счет более высоких темпов снижения СКС у пешеходов-мужчин в трудоспособных возрастах. В других возрастных группах также происходило снижение, но оно не было столь стремительным.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женщин-пешеходов ситуация с 1989 по 2004 г. во всех возрастных группах, кроме детских, практически не менялась. Наблюдались небольшие положительные тенденции с 1991 по 1998 г., но затем они сменились очередным подъемом в 1999-2003 г., который свел к нулю положительные тенденции 1991-1998 гг. С 2004 по 2010 г. шло значительное снижение СКС во всех возрастных группах, которое вновь сменяется подъемом в 2011 г. (рис. 7).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lastRenderedPageBreak/>
        <w:drawing>
          <wp:inline distT="0" distB="0" distL="0" distR="0">
            <wp:extent cx="3695700" cy="4886325"/>
            <wp:effectExtent l="0" t="0" r="0" b="9525"/>
            <wp:docPr id="9" name="Рисунок 9" descr="http://demoscope.ru/weekly/2013/0573/img3/a_graf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moscope.ru/weekly/2013/0573/img3/a_graf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Рисунок 7. Коэффициенты смертности пешеходов по пятнадцатилетним возрастным группам, на 100000 населения соответствующего возраста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Расчеты автора на основе данных Росстата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1989 и 2011 гг. у мужчин 58,2% снижения стандартизованного коэффициента пешеходной смертности пришлось на возрастную группу 15-44 года, 9% - на детские возраста 0-14 лет, 27,7% - на возрастную группу 45-74 года и 4,8% - на возрастную группу 75 лет и старше.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женщин на детские возраста 0-14 лет пришлось 18,4% от общего снижения, почти такую же долю внесла возрастная группа 15-29 лет, 35,2% снижения пришлось на возрастную группу 45-74 года и 12,6% - на возрастную группу 75 и старше (рис. 8).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lastRenderedPageBreak/>
        <w:drawing>
          <wp:inline distT="0" distB="0" distL="0" distR="0">
            <wp:extent cx="3924300" cy="3390900"/>
            <wp:effectExtent l="0" t="0" r="0" b="0"/>
            <wp:docPr id="8" name="Рисунок 8" descr="http://demoscope.ru/weekly/2013/0573/img3/a_graf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moscope.ru/weekly/2013/0573/img3/a_graf0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Рисунок 8. Снижение значения возрастных коэффициентов смертности пешеходов по пятнадцатилетним возрастным группам: 2011 год в % к 1989 году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Расчеты автора на основе данных Росстата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 отмеченных изменений с 1989 по 2011 г. изменился возрастной профиль мужской пешеходной смертности, причем самые значительные изменения произошли в молодых возрастах. У женщин ситуации немного иная. Снижение смертности с 1989 по 2011 г. произошло во всех возрастных группах, но эти изменения были распределены более однородно, чем у мужчин (рис. 9).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lastRenderedPageBreak/>
        <w:drawing>
          <wp:inline distT="0" distB="0" distL="0" distR="0">
            <wp:extent cx="4105275" cy="6096000"/>
            <wp:effectExtent l="0" t="0" r="9525" b="0"/>
            <wp:docPr id="7" name="Рисунок 7" descr="http://demoscope.ru/weekly/2013/0573/img3/a_graf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moscope.ru/weekly/2013/0573/img3/a_graf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Рисунок 9. Коэффициенты смертности пешеходов по пятилетним возрастным группам в 2011 и г., на 100000 населения соответствующего возраста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Расчеты автора на основе данных Росстата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изменением возрастного профиля смертности менялся и средний возраст смерти. Так в 1989 г. у мужчин-пешеходов он составлял 37,3 года, а у женщин-пешеходов 47,8 года. До 1998 года происходило омоложение женской пешеходной смертности, тогда как средний возраст мужской смертности оставался достаточно стабильным. После 1998 года в России наблюдается увеличение среднего возраста смерти для обоих полов, что свидетельствует об увеличении вклада в пешеходную смертность старших возрастных групп населения. При этом разрыв в среднем возрасте смерти между мужчинами и женщинами - в пределах 7-</w:t>
      </w:r>
      <w:proofErr w:type="gramStart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 лет</w:t>
      </w:r>
      <w:proofErr w:type="gramEnd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 с 1999 года не меняется (рис. 10).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lastRenderedPageBreak/>
        <w:drawing>
          <wp:inline distT="0" distB="0" distL="0" distR="0">
            <wp:extent cx="4476750" cy="3000375"/>
            <wp:effectExtent l="0" t="0" r="0" b="9525"/>
            <wp:docPr id="6" name="Рисунок 6" descr="http://demoscope.ru/weekly/2013/0573/img3/a_graf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moscope.ru/weekly/2013/0573/img3/a_graf0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Рисунок 10. Средний возраст смерти пешеходов, 1989-2011 гг., лет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Расчеты автора на основе данных Росстата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Различия в пешеходной смертности между городом и селом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России существуют различия в пешеходной смертности в зависимости не только от пола и возраста, но и от типа поселения. В целом смертность мужчин-пешеходов на селе выше, чем в городе, хотя в период с 1999 по 2003 г., когда </w:t>
      </w:r>
      <w:proofErr w:type="gramStart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смертность  на</w:t>
      </w:r>
      <w:proofErr w:type="gramEnd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селе была чуть выше городской.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женщин долгое время наблюдалась обратная ситуация. До 2006 г. </w:t>
      </w:r>
      <w:proofErr w:type="gramStart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смертность  городских</w:t>
      </w:r>
      <w:proofErr w:type="gramEnd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женщин-пешеходов была выше, но с недавнего времени ситуация изменилась (рис. 11).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drawing>
          <wp:inline distT="0" distB="0" distL="0" distR="0">
            <wp:extent cx="5429250" cy="2447925"/>
            <wp:effectExtent l="0" t="0" r="0" b="9525"/>
            <wp:docPr id="5" name="Рисунок 5" descr="http://demoscope.ru/weekly/2013/0573/img3/a_graf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moscope.ru/weekly/2013/0573/img3/a_graf0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Рисунок 11. Стандартизованный коэффициент смертности пешеходов в городе и селе, 1989-2011 гг., на 100000 населения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Расчеты автора на основе данных Росстата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Повозрастные коэффициенты смертности пешеходов в городе и селе, для мужчин и женщин также имеют значительные различия. У мужчин разница между городом и селом объясняется очень высокой смертностью сельских мужчин в трудоспособных возрастах, хотя риски для мужчин-</w:t>
      </w: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пешеходов в старших возрастных группах в городах и выше. В целом средний возраст смерти для мужчин-пешеходов в городе выше, чем на селе, что говорит о более молодой структуре погибающих пешеходов на селе.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женщин в возрастной группе 15-74 года риски для женщин-пешеходов на селе значительно выше, чем в городе, но в старших возрастных группах у женщин, как и у мужчин, риски в городах выше, чем на селе (рис. 12).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drawing>
          <wp:inline distT="0" distB="0" distL="0" distR="0">
            <wp:extent cx="4714875" cy="7534275"/>
            <wp:effectExtent l="0" t="0" r="9525" b="9525"/>
            <wp:docPr id="4" name="Рисунок 4" descr="http://demoscope.ru/weekly/2013/0573/img3/a_graf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moscope.ru/weekly/2013/0573/img3/a_graf0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Рисунок 12. Возрастные коэффициенты смертности для пешеходов мужчин и женщин в городской и сельской местности, 2011 г., на 100000 населения соответствующего возраста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lastRenderedPageBreak/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Расчеты автора на основе данных Росстата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Вклад отдельных возрастных групп в пешеходную смертность в городе и селе представлен на рис. 13. Из рисунка видно, какие половозрастные группы подвержены наибольшему риску. Так в городе основной группой риска у мужчин являются возрастные группы 30-44 и 45-49 лет. У женщин 45-59 и 60-74 года. Село имеет ряд отличий от города. Так в зоне высокой пешеходной смертности в селе находятся мужчины в возрастном интервале 15-59 лет и женщины в интервале 15-74 года.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drawing>
          <wp:inline distT="0" distB="0" distL="0" distR="0">
            <wp:extent cx="5248275" cy="7600950"/>
            <wp:effectExtent l="0" t="0" r="9525" b="0"/>
            <wp:docPr id="3" name="Рисунок 3" descr="http://demoscope.ru/weekly/2013/0573/img3/a_graf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moscope.ru/weekly/2013/0573/img3/a_graf02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lastRenderedPageBreak/>
        <w:t>Рисунок 13. Динамика возрастных коэффициентов смертности пешеходов по пятнадцатилетним возрастным группам в разрезе город-село, 1989-2011 гг., на 100000 населения соответствующего возраста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Расчеты автора на основе данных Росстата.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Региональные различия в смертности пешеходов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России пешеходная смертность крайне неоднородна в региональном разрезе. Если в среднем по России стандартизованный коэффициент смертности для мужчин-пешеходов составляет почти 10 погибших на 100000 населения, то в Республике Тыва этот показатель равен 30, в Республике Бурятия 21, в Московской области 19 погибшим на 100000 населения. Если не брать в расчет республики северного Кавказа, то минимальные показатели пешеходной смертности наблюдаются в Магаданской области - 1, в Ростовской и Мурманской областях - 3, в Рязанской области 5 погибших на 100000 населения. Между минимальным и максимальным значениями СКС на региональном уровне наблюдается тридцатикратная разница. Такая ситуация с пешеходной смертностью у мужчин, говорит о том, что должна быть выделена особая группы проблемных регионов, в которых скрываются основные резервы снижения смертности.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 xml:space="preserve">Таблица 1. Стандартизованный коэффициент </w:t>
      </w:r>
      <w:proofErr w:type="gramStart"/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смертности  мужчин</w:t>
      </w:r>
      <w:proofErr w:type="gramEnd"/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-пешеходов по регионам России в 2011 г., на 100000 населения, регионы ранжированы по убыванию показателя</w:t>
      </w:r>
    </w:p>
    <w:tbl>
      <w:tblPr>
        <w:tblW w:w="5000" w:type="pct"/>
        <w:tblCellSpacing w:w="0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shd w:val="clear" w:color="auto" w:fill="F3F3F3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1868"/>
        <w:gridCol w:w="687"/>
        <w:gridCol w:w="491"/>
        <w:gridCol w:w="2163"/>
        <w:gridCol w:w="687"/>
        <w:gridCol w:w="394"/>
        <w:gridCol w:w="1967"/>
        <w:gridCol w:w="687"/>
      </w:tblGrid>
      <w:tr w:rsidR="00B66668" w:rsidRPr="00B66668" w:rsidTr="00B66668">
        <w:trPr>
          <w:tblCellSpacing w:w="0" w:type="dxa"/>
        </w:trPr>
        <w:tc>
          <w:tcPr>
            <w:tcW w:w="2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ru-RU"/>
              </w:rPr>
              <w:t>СКС</w:t>
            </w:r>
          </w:p>
        </w:tc>
        <w:tc>
          <w:tcPr>
            <w:tcW w:w="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ru-RU"/>
              </w:rPr>
              <w:t>СКС</w:t>
            </w:r>
          </w:p>
        </w:tc>
        <w:tc>
          <w:tcPr>
            <w:tcW w:w="2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ru-RU"/>
              </w:rPr>
              <w:t>СКС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30,21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8,27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21,17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8,22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8,22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8,12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17,17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8,06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10,87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7,77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7,62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7,39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15,41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6,99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6,81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г.Москва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6,76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6,75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6,66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6,51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14,22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6,47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Пермская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6,41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Oмская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6,06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13,31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г.Санкт-Петербург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Камчатская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5,80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Читинская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9,41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5,60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5,50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11,99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4,89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4,77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3,13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3,05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2,83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2,30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11,23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1,03</w:t>
            </w:r>
          </w:p>
        </w:tc>
      </w:tr>
    </w:tbl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Расчеты автора на основе данных Росстата.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женщин средний </w:t>
      </w:r>
      <w:proofErr w:type="gramStart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СКС  в</w:t>
      </w:r>
      <w:proofErr w:type="gramEnd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2011г. составил 2,7 на 100000 населения. Максимальные значения данного показателя для женщин наблюдались в тех же регионах, что и мужчин: Республика Тыва, Республика Бурятия, Владимирская, Новгородская, Ленинградская и Орловская области. В Республике Тыва значение СКС составляет почти 8 погибших на 100000 населения. Разница между максимальным и минимальным значением, если не считать республики Северного Кавказа, десятикратна. У женщин разброс в СКС не так велик, как у мужчин, но все равно, значителен.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Таблица 2. Стандартизованный коэффициент смертности женщин-пешеходов по регионам России в 2011 г., на 100000 населения, регионы ранжированы по убыванию показателя</w:t>
      </w:r>
    </w:p>
    <w:tbl>
      <w:tblPr>
        <w:tblW w:w="5000" w:type="pct"/>
        <w:tblCellSpacing w:w="0" w:type="dxa"/>
        <w:tblBorders>
          <w:top w:val="outset" w:sz="6" w:space="0" w:color="006666"/>
          <w:left w:val="outset" w:sz="6" w:space="0" w:color="006666"/>
          <w:bottom w:val="outset" w:sz="6" w:space="0" w:color="006666"/>
          <w:right w:val="outset" w:sz="6" w:space="0" w:color="006666"/>
        </w:tblBorders>
        <w:shd w:val="clear" w:color="auto" w:fill="F3F3F3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1869"/>
        <w:gridCol w:w="688"/>
        <w:gridCol w:w="491"/>
        <w:gridCol w:w="2064"/>
        <w:gridCol w:w="687"/>
        <w:gridCol w:w="394"/>
        <w:gridCol w:w="2064"/>
        <w:gridCol w:w="687"/>
      </w:tblGrid>
      <w:tr w:rsidR="00B66668" w:rsidRPr="00B66668" w:rsidTr="00B66668">
        <w:trPr>
          <w:tblCellSpacing w:w="0" w:type="dxa"/>
        </w:trPr>
        <w:tc>
          <w:tcPr>
            <w:tcW w:w="2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ru-RU"/>
              </w:rPr>
              <w:t>СКС</w:t>
            </w:r>
          </w:p>
        </w:tc>
        <w:tc>
          <w:tcPr>
            <w:tcW w:w="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ru-RU"/>
              </w:rPr>
              <w:t>СКС</w:t>
            </w:r>
          </w:p>
        </w:tc>
        <w:tc>
          <w:tcPr>
            <w:tcW w:w="20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ru-RU"/>
              </w:rPr>
              <w:t>СКС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2,29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2,26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Читинская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2,24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2,13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2,08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2,05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2,02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2,01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2,00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Oмская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1,98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1,95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1,92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1,89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г.Санкт-Петербург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г.Москва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1,74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1,65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1,61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1,37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Камчатская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1,23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1,21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Пермская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1,17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1,06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1,01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0,88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0,86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0,71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0,50</w:t>
            </w:r>
          </w:p>
        </w:tc>
      </w:tr>
      <w:tr w:rsidR="00B66668" w:rsidRPr="00B66668" w:rsidTr="00B66668">
        <w:trPr>
          <w:tblCellSpacing w:w="0" w:type="dxa"/>
        </w:trPr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3F3F3"/>
            <w:vAlign w:val="center"/>
            <w:hideMark/>
          </w:tcPr>
          <w:p w:rsidR="00B66668" w:rsidRPr="00B66668" w:rsidRDefault="00B66668" w:rsidP="00B666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B66668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0,46</w:t>
            </w:r>
          </w:p>
        </w:tc>
      </w:tr>
    </w:tbl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Расчеты автора на основе данных Росстата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Россия на мировом фоне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Несмотря на положительные тенденции в пешеходной смертности, которые наблюдаются в России последние 20 лет, ситуация остается тяжелой. Разрыв в значении общего коэффициента между Россией и развитыми странами огромен. Так в ряде европейских стран значения общего коэффициента с начала 1990-х гг. не превышает 3 погибших на 100000 населения и продолжает снижаться.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многих странах Европы, таких как Бельгия, Великобритания, Германия, Норвегия, Швеция и др. значение общего коэффициента смертности для пешеходов уже давно установился на уровне меньше единицы на 100000 населения. В ряде других стран, таких как Австрия, Бельгия, Кипр, Словения и др. этот уровень чуть выше, но не превышает 2 погибших на 100000 населения.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lastRenderedPageBreak/>
        <w:drawing>
          <wp:inline distT="0" distB="0" distL="0" distR="0">
            <wp:extent cx="5429250" cy="2409825"/>
            <wp:effectExtent l="0" t="0" r="0" b="9525"/>
            <wp:docPr id="2" name="Рисунок 2" descr="http://demoscope.ru/weekly/2013/0573/img3/a_graf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moscope.ru/weekly/2013/0573/img3/a_graf02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Рисунок 14. Общий коэффициент смертности пешеходов в некоторых странах, 1995-2011 гг. (слева) и общий коэффициент смертности пешеходов в некоторых странах в 2010 г., на 100000 населения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UNECE Statistics.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детских возрастах возрастные коэффициенты смертности в России и европейских странах вполне сопоставимы. Но, начиная с возрастной группы 15-17 лет, пешеходная смертность в России резко возрастает. В европейских </w:t>
      </w:r>
      <w:proofErr w:type="gramStart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странах  риски</w:t>
      </w:r>
      <w:proofErr w:type="gramEnd"/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попасть под машину у детей и людей в трудоспособных возрастах не велики. С увеличением возраста в интервале от 0 до 64 лет в рассматриваемых странах риски возрастают незначительно, тогда как в России риски с возрастом увеличиваются в разы. В странах Запада у пешеходов, основной группой риска являются пожилые люди. В России же, пожилые люди тоже являются группой высокого риска, но показатели интенсивности смерти в этих возрастах у нас в 2-5 раз выше, чем в сравниваемых странах. Разница в интенсивностях смертности пешеходовмежду Россией и, например, Нидерландами в возрастной группе 15-17 лет почти тридцатикратная, в возрастной группе 18-20 лет шестнадцатикратная, 21-24 года пятидесятикратная, 25-64 двадцатикратная. И это с учетом того, что данные по пешеходной смертности по Нидерландам десятилетней давности. Отставание России от успешных западных стран сконцентрировано именно в трудоспособных возрастах (рис. 15).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noProof/>
          <w:color w:val="1A1A1A"/>
          <w:sz w:val="20"/>
          <w:szCs w:val="20"/>
          <w:lang w:eastAsia="ru-RU"/>
        </w:rPr>
        <w:drawing>
          <wp:inline distT="0" distB="0" distL="0" distR="0">
            <wp:extent cx="4171950" cy="3514725"/>
            <wp:effectExtent l="0" t="0" r="0" b="9525"/>
            <wp:docPr id="1" name="Рисунок 1" descr="http://demoscope.ru/weekly/2013/0573/img3/a_graf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moscope.ru/weekly/2013/0573/img3/a_graf02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lastRenderedPageBreak/>
        <w:t>Рисунок 15. Возрастные коэффициенты смертности пешеходов в России и некоторых странах Европы, на 100000 населения</w:t>
      </w:r>
    </w:p>
    <w:p w:rsidR="00B66668" w:rsidRPr="00B66668" w:rsidRDefault="00B66668" w:rsidP="00B66668">
      <w:pPr>
        <w:shd w:val="clear" w:color="auto" w:fill="F3F3F3"/>
        <w:spacing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i/>
          <w:iCs/>
          <w:color w:val="1A1A1A"/>
          <w:sz w:val="20"/>
          <w:szCs w:val="20"/>
          <w:lang w:eastAsia="ru-RU"/>
        </w:rPr>
        <w:t>Источник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: UNECE Statistics.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того чтобы в России достигнуть уровня в 3 погибших на 100000 населения, необходимо снизить пешеходную смертность до 4500 человек в год, а для того что бы достигнуть уровня 1 погибший на 100000 населения, необходимо снизить пешеходную смертность до 1500 человек в год. Достигнуть таких результатов в ближайшее время, вряд ли удастся. Если в России сохранятся среднегодовые темпы снижения пешеходной смертности, наблюдавшиеся за последние двадцать лет (примерно -2% в год), нынешний европейский уровень в России будет достигнут к 2100 году.</w:t>
      </w:r>
    </w:p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сожалению, сегодня мало внимания уделяется научной стороне вопроса. Недостаток в статистических данных, регулярных публикациях, статьях делает проблему неизученной. Поэтому меры политики направленные на стабилизацию ситуации, часто бывают неэффективными. Пока такой подход к безопасности дорожного движения в России будет сохраняться, вряд ли можно ожидать скорого улучшения ситуации.</w:t>
      </w:r>
    </w:p>
    <w:p w:rsidR="00B66668" w:rsidRPr="00B66668" w:rsidRDefault="00B66668" w:rsidP="00B6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33.9pt;height:.75pt" o:hrpct="500" o:hrstd="t" o:hrnoshade="t" o:hr="t" fillcolor="black" stroked="f"/>
        </w:pict>
      </w:r>
    </w:p>
    <w:bookmarkStart w:id="2" w:name="_FNR_0"/>
    <w:p w:rsidR="00B66668" w:rsidRPr="00B66668" w:rsidRDefault="00B66668" w:rsidP="00B66668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B66668">
        <w:rPr>
          <w:rFonts w:ascii="Arial" w:eastAsia="Times New Roman" w:hAnsi="Arial" w:cs="Arial"/>
          <w:color w:val="1A1A1A"/>
          <w:sz w:val="20"/>
          <w:szCs w:val="20"/>
          <w:vertAlign w:val="superscript"/>
          <w:lang w:eastAsia="ru-RU"/>
        </w:rPr>
        <w:fldChar w:fldCharType="begin"/>
      </w:r>
      <w:r w:rsidRPr="00B66668">
        <w:rPr>
          <w:rFonts w:ascii="Arial" w:eastAsia="Times New Roman" w:hAnsi="Arial" w:cs="Arial"/>
          <w:color w:val="1A1A1A"/>
          <w:sz w:val="20"/>
          <w:szCs w:val="20"/>
          <w:vertAlign w:val="superscript"/>
          <w:lang w:eastAsia="ru-RU"/>
        </w:rPr>
        <w:instrText xml:space="preserve"> HYPERLINK "http://demoscope.ru/weekly/2013/0573/analit02.php" \l "_FN_0" </w:instrText>
      </w:r>
      <w:r w:rsidRPr="00B66668">
        <w:rPr>
          <w:rFonts w:ascii="Arial" w:eastAsia="Times New Roman" w:hAnsi="Arial" w:cs="Arial"/>
          <w:color w:val="1A1A1A"/>
          <w:sz w:val="20"/>
          <w:szCs w:val="20"/>
          <w:vertAlign w:val="superscript"/>
          <w:lang w:eastAsia="ru-RU"/>
        </w:rPr>
        <w:fldChar w:fldCharType="separate"/>
      </w:r>
      <w:r w:rsidRPr="00B66668">
        <w:rPr>
          <w:rFonts w:ascii="Arial" w:eastAsia="Times New Roman" w:hAnsi="Arial" w:cs="Arial"/>
          <w:b/>
          <w:bCs/>
          <w:color w:val="CC3333"/>
          <w:sz w:val="18"/>
          <w:szCs w:val="18"/>
          <w:vertAlign w:val="superscript"/>
          <w:lang w:eastAsia="ru-RU"/>
        </w:rPr>
        <w:t>*</w:t>
      </w:r>
      <w:r w:rsidRPr="00B66668">
        <w:rPr>
          <w:rFonts w:ascii="Arial" w:eastAsia="Times New Roman" w:hAnsi="Arial" w:cs="Arial"/>
          <w:color w:val="1A1A1A"/>
          <w:sz w:val="20"/>
          <w:szCs w:val="20"/>
          <w:vertAlign w:val="superscript"/>
          <w:lang w:eastAsia="ru-RU"/>
        </w:rPr>
        <w:fldChar w:fldCharType="end"/>
      </w:r>
      <w:bookmarkEnd w:id="2"/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- Данное научное исследование (№ проекта 05-0029) выполнено при поддержке Программы "Научный фонд НИУ ВШЭ" в 2011- 2013 гг."</w:t>
      </w:r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br/>
      </w:r>
      <w:bookmarkStart w:id="3" w:name="_FNR_1"/>
      <w:r w:rsidRPr="00B66668">
        <w:rPr>
          <w:rFonts w:ascii="Arial" w:eastAsia="Times New Roman" w:hAnsi="Arial" w:cs="Arial"/>
          <w:color w:val="1A1A1A"/>
          <w:sz w:val="20"/>
          <w:szCs w:val="20"/>
          <w:vertAlign w:val="superscript"/>
          <w:lang w:eastAsia="ru-RU"/>
        </w:rPr>
        <w:fldChar w:fldCharType="begin"/>
      </w:r>
      <w:r w:rsidRPr="00B66668">
        <w:rPr>
          <w:rFonts w:ascii="Arial" w:eastAsia="Times New Roman" w:hAnsi="Arial" w:cs="Arial"/>
          <w:color w:val="1A1A1A"/>
          <w:sz w:val="20"/>
          <w:szCs w:val="20"/>
          <w:vertAlign w:val="superscript"/>
          <w:lang w:eastAsia="ru-RU"/>
        </w:rPr>
        <w:instrText xml:space="preserve"> HYPERLINK "http://demoscope.ru/weekly/2013/0573/analit02.php" \l "_FN_1" </w:instrText>
      </w:r>
      <w:r w:rsidRPr="00B66668">
        <w:rPr>
          <w:rFonts w:ascii="Arial" w:eastAsia="Times New Roman" w:hAnsi="Arial" w:cs="Arial"/>
          <w:color w:val="1A1A1A"/>
          <w:sz w:val="20"/>
          <w:szCs w:val="20"/>
          <w:vertAlign w:val="superscript"/>
          <w:lang w:eastAsia="ru-RU"/>
        </w:rPr>
        <w:fldChar w:fldCharType="separate"/>
      </w:r>
      <w:r w:rsidRPr="00B66668">
        <w:rPr>
          <w:rFonts w:ascii="Arial" w:eastAsia="Times New Roman" w:hAnsi="Arial" w:cs="Arial"/>
          <w:b/>
          <w:bCs/>
          <w:color w:val="CC3333"/>
          <w:sz w:val="18"/>
          <w:szCs w:val="18"/>
          <w:vertAlign w:val="superscript"/>
          <w:lang w:eastAsia="ru-RU"/>
        </w:rPr>
        <w:t>1</w:t>
      </w:r>
      <w:r w:rsidRPr="00B66668">
        <w:rPr>
          <w:rFonts w:ascii="Arial" w:eastAsia="Times New Roman" w:hAnsi="Arial" w:cs="Arial"/>
          <w:color w:val="1A1A1A"/>
          <w:sz w:val="20"/>
          <w:szCs w:val="20"/>
          <w:vertAlign w:val="superscript"/>
          <w:lang w:eastAsia="ru-RU"/>
        </w:rPr>
        <w:fldChar w:fldCharType="end"/>
      </w:r>
      <w:bookmarkEnd w:id="3"/>
      <w:r w:rsidRPr="00B6666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Фаттахов Тимур Асфанович – магистр демографии, Институт демографии НИУ ВШЭ.</w:t>
      </w:r>
    </w:p>
    <w:p w:rsidR="00851DFA" w:rsidRDefault="00851DFA">
      <w:bookmarkStart w:id="4" w:name="_GoBack"/>
      <w:bookmarkEnd w:id="4"/>
    </w:p>
    <w:sectPr w:rsidR="0085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4E4"/>
    <w:multiLevelType w:val="multilevel"/>
    <w:tmpl w:val="F094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57E1D"/>
    <w:multiLevelType w:val="multilevel"/>
    <w:tmpl w:val="C732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26DE0"/>
    <w:multiLevelType w:val="multilevel"/>
    <w:tmpl w:val="E280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9E"/>
    <w:rsid w:val="0021329E"/>
    <w:rsid w:val="00851DFA"/>
    <w:rsid w:val="00B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81C8-E3D2-4EAC-A126-A2DA38F2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B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6668"/>
    <w:rPr>
      <w:color w:val="0000FF"/>
      <w:u w:val="single"/>
    </w:rPr>
  </w:style>
  <w:style w:type="paragraph" w:customStyle="1" w:styleId="z1">
    <w:name w:val="z1"/>
    <w:basedOn w:val="a"/>
    <w:rsid w:val="00B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668"/>
  </w:style>
  <w:style w:type="paragraph" w:customStyle="1" w:styleId="p2">
    <w:name w:val="p2"/>
    <w:basedOn w:val="a"/>
    <w:rsid w:val="00B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3">
    <w:name w:val="z3"/>
    <w:basedOn w:val="a"/>
    <w:rsid w:val="00B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3216</Words>
  <Characters>18337</Characters>
  <Application>Microsoft Office Word</Application>
  <DocSecurity>0</DocSecurity>
  <Lines>152</Lines>
  <Paragraphs>43</Paragraphs>
  <ScaleCrop>false</ScaleCrop>
  <Company/>
  <LinksUpToDate>false</LinksUpToDate>
  <CharactersWithSpaces>21510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Fattahov</dc:creator>
  <cp:keywords/>
  <dc:description/>
  <cp:lastModifiedBy>Timur Fattahov</cp:lastModifiedBy>
  <cp:revision>2</cp:revision>
  <dcterms:created xsi:type="dcterms:W3CDTF">2014-10-23T09:43:00Z</dcterms:created>
  <dcterms:modified xsi:type="dcterms:W3CDTF">2014-10-23T09:44:00Z</dcterms:modified>
</cp:coreProperties>
</file>