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B60" w:rsidRPr="00AD7D2D" w:rsidRDefault="00BE1B60" w:rsidP="00BE1B60">
      <w:pPr>
        <w:pageBreakBefore/>
        <w:spacing w:line="360" w:lineRule="auto"/>
        <w:jc w:val="center"/>
        <w:outlineLvl w:val="0"/>
        <w:rPr>
          <w:rFonts w:ascii="Times New Roman" w:hAnsi="Times New Roman"/>
          <w:b/>
          <w:sz w:val="28"/>
          <w:szCs w:val="28"/>
        </w:rPr>
      </w:pPr>
      <w:bookmarkStart w:id="0" w:name="_GoBack"/>
      <w:bookmarkEnd w:id="0"/>
      <w:r>
        <w:rPr>
          <w:rFonts w:ascii="Times New Roman" w:hAnsi="Times New Roman"/>
          <w:b/>
          <w:sz w:val="28"/>
          <w:szCs w:val="28"/>
        </w:rPr>
        <w:t xml:space="preserve">Глава 9. </w:t>
      </w:r>
      <w:r w:rsidRPr="00AD7D2D">
        <w:rPr>
          <w:rFonts w:ascii="Times New Roman" w:hAnsi="Times New Roman"/>
          <w:b/>
          <w:sz w:val="28"/>
          <w:szCs w:val="28"/>
        </w:rPr>
        <w:t>Рынок муниципальных облигаций: анализ перспектив</w:t>
      </w:r>
    </w:p>
    <w:p w:rsidR="00BE1B60" w:rsidRPr="00AD7D2D" w:rsidRDefault="00BE1B60" w:rsidP="00BE1B60">
      <w:pPr>
        <w:spacing w:after="120" w:line="360" w:lineRule="auto"/>
        <w:ind w:firstLine="567"/>
        <w:jc w:val="both"/>
        <w:rPr>
          <w:rFonts w:ascii="Times New Roman" w:hAnsi="Times New Roman"/>
          <w:sz w:val="24"/>
          <w:szCs w:val="24"/>
        </w:rPr>
      </w:pPr>
      <w:r w:rsidRPr="00AD7D2D">
        <w:rPr>
          <w:rFonts w:ascii="Times New Roman" w:hAnsi="Times New Roman"/>
          <w:sz w:val="24"/>
          <w:szCs w:val="24"/>
        </w:rPr>
        <w:t>А.И. Столяров</w:t>
      </w:r>
    </w:p>
    <w:p w:rsidR="00BE1B60" w:rsidRPr="00AD7D2D" w:rsidRDefault="00BE1B60" w:rsidP="00BE1B60">
      <w:pPr>
        <w:spacing w:after="0" w:line="360" w:lineRule="auto"/>
        <w:ind w:firstLine="709"/>
        <w:jc w:val="both"/>
        <w:outlineLvl w:val="1"/>
        <w:rPr>
          <w:rFonts w:ascii="Times New Roman" w:hAnsi="Times New Roman"/>
          <w:sz w:val="24"/>
          <w:szCs w:val="24"/>
        </w:rPr>
      </w:pPr>
      <w:r w:rsidRPr="00AD7D2D">
        <w:rPr>
          <w:rFonts w:ascii="Times New Roman" w:hAnsi="Times New Roman"/>
          <w:b/>
          <w:sz w:val="24"/>
          <w:szCs w:val="24"/>
        </w:rPr>
        <w:t>Доля российского рынка муниципальных облигаций</w:t>
      </w:r>
      <w:r w:rsidRPr="00AD7D2D">
        <w:rPr>
          <w:rFonts w:ascii="Times New Roman" w:hAnsi="Times New Roman"/>
          <w:sz w:val="24"/>
          <w:szCs w:val="24"/>
        </w:rPr>
        <w:t>.</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За прошедшие 10 лет рынок муниципальных облигаций Российской Федерации с</w:t>
      </w:r>
      <w:r>
        <w:rPr>
          <w:rFonts w:ascii="Times New Roman" w:hAnsi="Times New Roman"/>
          <w:sz w:val="24"/>
          <w:szCs w:val="24"/>
        </w:rPr>
        <w:t>ущественно вырос в объеме с 23,</w:t>
      </w:r>
      <w:r w:rsidRPr="00AD7D2D">
        <w:rPr>
          <w:rFonts w:ascii="Times New Roman" w:hAnsi="Times New Roman"/>
          <w:sz w:val="24"/>
          <w:szCs w:val="24"/>
        </w:rPr>
        <w:t>6 млрд. рублей</w:t>
      </w:r>
      <w:r>
        <w:rPr>
          <w:rFonts w:ascii="Times New Roman" w:hAnsi="Times New Roman"/>
          <w:sz w:val="24"/>
          <w:szCs w:val="24"/>
        </w:rPr>
        <w:t xml:space="preserve"> </w:t>
      </w:r>
      <w:r w:rsidRPr="00AD7D2D">
        <w:rPr>
          <w:rFonts w:ascii="Times New Roman" w:hAnsi="Times New Roman"/>
          <w:sz w:val="24"/>
          <w:szCs w:val="24"/>
        </w:rPr>
        <w:t>в июне 2002 года до 563,9 млрд. в сентябре 2015 года. Этот рост составил</w:t>
      </w:r>
      <w:r>
        <w:rPr>
          <w:rFonts w:ascii="Times New Roman" w:hAnsi="Times New Roman"/>
          <w:sz w:val="24"/>
          <w:szCs w:val="24"/>
        </w:rPr>
        <w:t xml:space="preserve"> </w:t>
      </w:r>
      <w:r w:rsidRPr="00AD7D2D">
        <w:rPr>
          <w:rFonts w:ascii="Times New Roman" w:hAnsi="Times New Roman"/>
          <w:sz w:val="24"/>
          <w:szCs w:val="24"/>
        </w:rPr>
        <w:t>более чем</w:t>
      </w:r>
      <w:r>
        <w:rPr>
          <w:rFonts w:ascii="Times New Roman" w:hAnsi="Times New Roman"/>
          <w:sz w:val="24"/>
          <w:szCs w:val="24"/>
        </w:rPr>
        <w:t xml:space="preserve"> </w:t>
      </w:r>
      <w:r w:rsidRPr="00AD7D2D">
        <w:rPr>
          <w:rFonts w:ascii="Times New Roman" w:hAnsi="Times New Roman"/>
          <w:sz w:val="24"/>
          <w:szCs w:val="24"/>
        </w:rPr>
        <w:t>в 23 раза по номинальной стоимости. С одной стороны, это много, но с чем сравнивать. Для сравнения, к концу 2014 г. объем выпущенных муниципальных бумаг в США составил 3,7 трлн. долларов.</w:t>
      </w:r>
    </w:p>
    <w:p w:rsidR="00BE1B60" w:rsidRDefault="00BE1B60" w:rsidP="00BE1B60">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91050" cy="2752725"/>
            <wp:effectExtent l="0" t="0" r="0" b="0"/>
            <wp:docPr id="18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E1B60" w:rsidRPr="00AD7D2D" w:rsidRDefault="00BE1B60" w:rsidP="00BE1B60">
      <w:pPr>
        <w:spacing w:after="0" w:line="360" w:lineRule="auto"/>
        <w:ind w:firstLine="709"/>
        <w:jc w:val="both"/>
        <w:rPr>
          <w:rFonts w:ascii="Times New Roman" w:hAnsi="Times New Roman"/>
          <w:sz w:val="24"/>
          <w:szCs w:val="24"/>
        </w:rPr>
      </w:pPr>
      <w:r>
        <w:rPr>
          <w:rFonts w:ascii="Times New Roman" w:hAnsi="Times New Roman"/>
          <w:sz w:val="24"/>
          <w:szCs w:val="24"/>
        </w:rPr>
        <w:t>Рис.</w:t>
      </w:r>
      <w:r w:rsidRPr="00AD7D2D">
        <w:rPr>
          <w:rFonts w:ascii="Times New Roman" w:hAnsi="Times New Roman"/>
          <w:sz w:val="24"/>
          <w:szCs w:val="24"/>
        </w:rPr>
        <w:t xml:space="preserve"> 1. Объем рынка муниципальный облигаций РФ (облигаций субъектов федерации и муниципальных образований)</w:t>
      </w:r>
      <w:r>
        <w:rPr>
          <w:rFonts w:ascii="Times New Roman" w:hAnsi="Times New Roman"/>
          <w:sz w:val="24"/>
          <w:szCs w:val="24"/>
        </w:rPr>
        <w:t xml:space="preserve"> </w:t>
      </w:r>
      <w:r w:rsidRPr="00AD7D2D">
        <w:rPr>
          <w:rFonts w:ascii="Times New Roman" w:hAnsi="Times New Roman"/>
          <w:sz w:val="24"/>
          <w:szCs w:val="24"/>
        </w:rPr>
        <w:t xml:space="preserve">(по данным </w:t>
      </w:r>
      <w:r w:rsidRPr="00AD7D2D">
        <w:rPr>
          <w:rFonts w:ascii="Times New Roman" w:hAnsi="Times New Roman"/>
          <w:sz w:val="24"/>
          <w:szCs w:val="24"/>
          <w:lang w:val="en-US"/>
        </w:rPr>
        <w:t>cbonds</w:t>
      </w:r>
      <w:r w:rsidRPr="00AD7D2D">
        <w:rPr>
          <w:rFonts w:ascii="Times New Roman" w:hAnsi="Times New Roman"/>
          <w:sz w:val="24"/>
          <w:szCs w:val="24"/>
        </w:rPr>
        <w:t>)</w:t>
      </w:r>
    </w:p>
    <w:p w:rsidR="00BE1B60" w:rsidRPr="00AD7D2D" w:rsidRDefault="00BE1B60" w:rsidP="00BE1B60">
      <w:pPr>
        <w:spacing w:after="0" w:line="360" w:lineRule="auto"/>
        <w:ind w:firstLine="709"/>
        <w:jc w:val="both"/>
        <w:rPr>
          <w:rFonts w:ascii="Times New Roman" w:hAnsi="Times New Roman"/>
          <w:sz w:val="24"/>
          <w:szCs w:val="24"/>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Однако даже на приведенном графике видно, что максимального темпа рост этого рынка составил в период с 2002 по 2008 год. С 31 января 2011 года объем рынка государственных облигаций упал с 462 млрд. до 382</w:t>
      </w:r>
      <w:r>
        <w:rPr>
          <w:rFonts w:ascii="Times New Roman" w:hAnsi="Times New Roman"/>
          <w:sz w:val="24"/>
          <w:szCs w:val="24"/>
        </w:rPr>
        <w:t xml:space="preserve"> </w:t>
      </w:r>
      <w:r w:rsidRPr="00AD7D2D">
        <w:rPr>
          <w:rFonts w:ascii="Times New Roman" w:hAnsi="Times New Roman"/>
          <w:sz w:val="24"/>
          <w:szCs w:val="24"/>
        </w:rPr>
        <w:t>млрд. в июне 2012 года. После чего</w:t>
      </w:r>
      <w:r>
        <w:rPr>
          <w:rFonts w:ascii="Times New Roman" w:hAnsi="Times New Roman"/>
          <w:sz w:val="24"/>
          <w:szCs w:val="24"/>
        </w:rPr>
        <w:t xml:space="preserve"> </w:t>
      </w:r>
      <w:r w:rsidRPr="00AD7D2D">
        <w:rPr>
          <w:rFonts w:ascii="Times New Roman" w:hAnsi="Times New Roman"/>
          <w:sz w:val="24"/>
          <w:szCs w:val="24"/>
        </w:rPr>
        <w:t>рост возобновился, но с меньшими темпами. За 9 месяцев 2015 года объем рынка вырос на 5,9% (на 31,5 млрд. рублей).</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В середине 90-ых 19 века российские регионы активно выходили на рынок еврооблигаций. Еврооблигации выпустили Москва, Санкт-Петербург, Нижегородская область, Ханты-Мансиийский автономный округ. Но в дальнейшем законодательные ограничения привели к тому, что этот рынок прекратил свое существование.</w:t>
      </w:r>
      <w:r>
        <w:rPr>
          <w:rFonts w:ascii="Times New Roman" w:hAnsi="Times New Roman"/>
          <w:sz w:val="24"/>
          <w:szCs w:val="24"/>
        </w:rPr>
        <w:t xml:space="preserve"> </w:t>
      </w:r>
      <w:r w:rsidRPr="00AD7D2D">
        <w:rPr>
          <w:rFonts w:ascii="Times New Roman" w:hAnsi="Times New Roman"/>
          <w:sz w:val="24"/>
          <w:szCs w:val="24"/>
        </w:rPr>
        <w:t>С 2008 г. новых муниципальных еврооблигаций не размещалось. С 2012 г. в обращении находится единственный выпуск г. Москвы: Москва, 2016, EUR (LPN) объемом 407 млн евро.</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lastRenderedPageBreak/>
        <w:t>Какое место рынок муниципальных облигаций занимает в общем объеме финансового рынка и облигационного рынка России?</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Доля российского рынка муниципальных облигаций (включая облигации субъектов федерации и муниципальных образований) составила</w:t>
      </w:r>
      <w:r>
        <w:rPr>
          <w:rFonts w:ascii="Times New Roman" w:hAnsi="Times New Roman"/>
          <w:sz w:val="24"/>
          <w:szCs w:val="24"/>
        </w:rPr>
        <w:t xml:space="preserve"> </w:t>
      </w:r>
      <w:r w:rsidRPr="00AD7D2D">
        <w:rPr>
          <w:rFonts w:ascii="Times New Roman" w:hAnsi="Times New Roman"/>
          <w:sz w:val="24"/>
          <w:szCs w:val="24"/>
        </w:rPr>
        <w:t>на конец 2014 года 4,5% от общего объема российского внутреннего облигационного рынка, а его доля к ВВП составила 0,7%. За последние годы эти доли существенно снизились.</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Так, в</w:t>
      </w:r>
      <w:r>
        <w:rPr>
          <w:rFonts w:ascii="Times New Roman" w:hAnsi="Times New Roman"/>
          <w:sz w:val="24"/>
          <w:szCs w:val="24"/>
        </w:rPr>
        <w:t xml:space="preserve"> </w:t>
      </w:r>
      <w:r w:rsidRPr="00AD7D2D">
        <w:rPr>
          <w:rFonts w:ascii="Times New Roman" w:hAnsi="Times New Roman"/>
          <w:sz w:val="24"/>
          <w:szCs w:val="24"/>
        </w:rPr>
        <w:t>2010 году доля рынка муниципальных облигаций по отношению к общему объему рынка внутренних облигаций составляла 7,4%,</w:t>
      </w:r>
      <w:r>
        <w:rPr>
          <w:rFonts w:ascii="Times New Roman" w:hAnsi="Times New Roman"/>
          <w:sz w:val="24"/>
          <w:szCs w:val="24"/>
        </w:rPr>
        <w:t xml:space="preserve"> </w:t>
      </w:r>
      <w:r w:rsidRPr="00AD7D2D">
        <w:rPr>
          <w:rFonts w:ascii="Times New Roman" w:hAnsi="Times New Roman"/>
          <w:sz w:val="24"/>
          <w:szCs w:val="24"/>
        </w:rPr>
        <w:t>в 2009 – 8,6%,</w:t>
      </w:r>
      <w:r>
        <w:rPr>
          <w:rFonts w:ascii="Times New Roman" w:hAnsi="Times New Roman"/>
          <w:sz w:val="24"/>
          <w:szCs w:val="24"/>
        </w:rPr>
        <w:t xml:space="preserve"> </w:t>
      </w:r>
      <w:r w:rsidRPr="00AD7D2D">
        <w:rPr>
          <w:rFonts w:ascii="Times New Roman" w:hAnsi="Times New Roman"/>
          <w:sz w:val="24"/>
          <w:szCs w:val="24"/>
        </w:rPr>
        <w:t>2008 – 8,2%,</w:t>
      </w:r>
      <w:r>
        <w:rPr>
          <w:rFonts w:ascii="Times New Roman" w:hAnsi="Times New Roman"/>
          <w:sz w:val="24"/>
          <w:szCs w:val="24"/>
        </w:rPr>
        <w:t xml:space="preserve"> </w:t>
      </w:r>
      <w:r w:rsidRPr="00AD7D2D">
        <w:rPr>
          <w:rFonts w:ascii="Times New Roman" w:hAnsi="Times New Roman"/>
          <w:sz w:val="24"/>
          <w:szCs w:val="24"/>
        </w:rPr>
        <w:t>в 2007 – 9%, а в 2006 году эта доля составляла 8,7%.</w:t>
      </w:r>
      <w:r>
        <w:rPr>
          <w:rFonts w:ascii="Times New Roman" w:hAnsi="Times New Roman"/>
          <w:sz w:val="24"/>
          <w:szCs w:val="24"/>
        </w:rPr>
        <w:t xml:space="preserve"> </w:t>
      </w:r>
      <w:r w:rsidRPr="00AD7D2D">
        <w:rPr>
          <w:rFonts w:ascii="Times New Roman" w:hAnsi="Times New Roman"/>
          <w:sz w:val="24"/>
          <w:szCs w:val="24"/>
        </w:rPr>
        <w:t>Снизилась и доля рынка муниципальных облигаций по отношению к ВВП . В 2010 она составляла 1%, а в 2009 году – 1,1%.</w:t>
      </w:r>
      <w:r w:rsidRPr="00AD7D2D">
        <w:rPr>
          <w:rStyle w:val="a5"/>
          <w:rFonts w:ascii="Times New Roman" w:hAnsi="Times New Roman"/>
          <w:sz w:val="24"/>
          <w:szCs w:val="24"/>
        </w:rPr>
        <w:footnoteReference w:id="1"/>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 Из вышеприведенных цифр можно сделать вывод, что относительная</w:t>
      </w:r>
      <w:r>
        <w:rPr>
          <w:rFonts w:ascii="Times New Roman" w:hAnsi="Times New Roman"/>
          <w:sz w:val="24"/>
          <w:szCs w:val="24"/>
        </w:rPr>
        <w:t xml:space="preserve"> </w:t>
      </w:r>
      <w:r w:rsidRPr="00AD7D2D">
        <w:rPr>
          <w:rFonts w:ascii="Times New Roman" w:hAnsi="Times New Roman"/>
          <w:sz w:val="24"/>
          <w:szCs w:val="24"/>
        </w:rPr>
        <w:t xml:space="preserve">доля рынка муниципальных облигаций уменьшилась.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При этом в общем объеме торгов на внутреннем облигационном рынке доля объема торгов муниципальными облигациями составляла 4, 43% в 2013 году, 3,5% в 2014 году. Для сравнения, по данным ассоциации участников фондового рынка США </w:t>
      </w:r>
      <w:r w:rsidRPr="00AD7D2D">
        <w:rPr>
          <w:rFonts w:ascii="Times New Roman" w:hAnsi="Times New Roman"/>
          <w:sz w:val="24"/>
          <w:szCs w:val="24"/>
          <w:lang w:val="en-US"/>
        </w:rPr>
        <w:t>Sifma</w:t>
      </w:r>
      <w:r w:rsidRPr="00AD7D2D">
        <w:rPr>
          <w:rFonts w:ascii="Times New Roman" w:hAnsi="Times New Roman"/>
          <w:sz w:val="24"/>
          <w:szCs w:val="24"/>
        </w:rPr>
        <w:t>, объем торгов по муниципальным облигациям во 3 квартале 2015 году в США составлял 7, 6 млрд. долларов в день,</w:t>
      </w:r>
      <w:r>
        <w:rPr>
          <w:rFonts w:ascii="Times New Roman" w:hAnsi="Times New Roman"/>
          <w:sz w:val="24"/>
          <w:szCs w:val="24"/>
        </w:rPr>
        <w:t xml:space="preserve"> </w:t>
      </w:r>
      <w:r w:rsidRPr="00AD7D2D">
        <w:rPr>
          <w:rFonts w:ascii="Times New Roman" w:hAnsi="Times New Roman"/>
          <w:sz w:val="24"/>
          <w:szCs w:val="24"/>
        </w:rPr>
        <w:t>объем торгов государственными облигациями 489,1 млрд. долларов, а объем торгов корпоративными облигациями составил 24,1 млрд. долларов.</w:t>
      </w:r>
      <w:r w:rsidRPr="00AD7D2D">
        <w:rPr>
          <w:rStyle w:val="a5"/>
          <w:rFonts w:ascii="Times New Roman" w:hAnsi="Times New Roman"/>
          <w:sz w:val="24"/>
          <w:szCs w:val="24"/>
        </w:rPr>
        <w:footnoteReference w:id="2"/>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При этом коэффициент оборачиваемости российского рынка муниципальных облигаций (отношение объема торгов к номинальной стоимости выпущенных облигаций) составлял в 2013 71,11%, а в 2014 – 91,79%, что, кстати, превышает аналогичные показатели по рынку государственных и корпоративных облигаций. Это говорит, что рынок муниципальных облигаций остается одним из ликвидных сегментов российского облигационного рынка.</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Это показывают и расчеты Лаборатории анализа финансовых рынков Высшей школы экономики по индексам ликвидности Thomson Reuters.</w:t>
      </w:r>
    </w:p>
    <w:p w:rsidR="00BE1B60" w:rsidRPr="00AD7D2D" w:rsidRDefault="00BE1B60" w:rsidP="00BE1B60">
      <w:pPr>
        <w:keepNext/>
        <w:spacing w:after="0" w:line="360" w:lineRule="auto"/>
        <w:ind w:firstLine="709"/>
        <w:jc w:val="both"/>
        <w:rPr>
          <w:rFonts w:ascii="Times New Roman" w:hAnsi="Times New Roman"/>
          <w:sz w:val="24"/>
          <w:szCs w:val="24"/>
        </w:rPr>
      </w:pPr>
      <w:r w:rsidRPr="00AD7D2D">
        <w:rPr>
          <w:rFonts w:ascii="Times New Roman" w:hAnsi="Times New Roman"/>
          <w:sz w:val="24"/>
          <w:szCs w:val="24"/>
        </w:rPr>
        <w:lastRenderedPageBreak/>
        <w:t>Таблица 1. Индексы ликвидности Thomson Reuters по сегментам внутреннего облигационного рынка</w:t>
      </w:r>
    </w:p>
    <w:tbl>
      <w:tblPr>
        <w:tblW w:w="8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469"/>
        <w:gridCol w:w="1552"/>
        <w:gridCol w:w="1553"/>
        <w:gridCol w:w="1770"/>
      </w:tblGrid>
      <w:tr w:rsidR="00BE1B60" w:rsidRPr="002E5E1D" w:rsidTr="00EA5206">
        <w:trPr>
          <w:trHeight w:val="300"/>
        </w:trPr>
        <w:tc>
          <w:tcPr>
            <w:tcW w:w="2519" w:type="dxa"/>
            <w:vMerge w:val="restart"/>
            <w:shd w:val="clear" w:color="auto" w:fill="auto"/>
            <w:noWrap/>
            <w:hideMark/>
          </w:tcPr>
          <w:p w:rsidR="00BE1B60" w:rsidRPr="00AD7D2D" w:rsidRDefault="00BE1B60" w:rsidP="00EA5206">
            <w:pPr>
              <w:keepNext/>
              <w:spacing w:after="0" w:line="360" w:lineRule="auto"/>
              <w:ind w:firstLine="709"/>
              <w:jc w:val="both"/>
              <w:rPr>
                <w:rFonts w:ascii="Times New Roman" w:hAnsi="Times New Roman"/>
                <w:sz w:val="24"/>
                <w:szCs w:val="24"/>
              </w:rPr>
            </w:pPr>
            <w:r w:rsidRPr="00AD7D2D">
              <w:rPr>
                <w:rFonts w:ascii="Times New Roman" w:hAnsi="Times New Roman"/>
                <w:bCs/>
                <w:sz w:val="24"/>
                <w:szCs w:val="24"/>
              </w:rPr>
              <w:t>Сектор</w:t>
            </w:r>
          </w:p>
        </w:tc>
        <w:tc>
          <w:tcPr>
            <w:tcW w:w="6344" w:type="dxa"/>
            <w:gridSpan w:val="4"/>
            <w:shd w:val="clear" w:color="auto" w:fill="auto"/>
            <w:hideMark/>
          </w:tcPr>
          <w:p w:rsidR="00BE1B60" w:rsidRPr="00AD7D2D" w:rsidRDefault="00BE1B60" w:rsidP="00EA5206">
            <w:pPr>
              <w:keepNext/>
              <w:spacing w:after="0" w:line="360" w:lineRule="auto"/>
              <w:ind w:firstLine="709"/>
              <w:jc w:val="center"/>
              <w:rPr>
                <w:rFonts w:ascii="Times New Roman" w:hAnsi="Times New Roman"/>
                <w:bCs/>
                <w:sz w:val="24"/>
                <w:szCs w:val="24"/>
              </w:rPr>
            </w:pPr>
            <w:r w:rsidRPr="00AD7D2D">
              <w:rPr>
                <w:rFonts w:ascii="Times New Roman" w:hAnsi="Times New Roman"/>
                <w:bCs/>
                <w:sz w:val="24"/>
                <w:szCs w:val="24"/>
              </w:rPr>
              <w:t>Март 2015</w:t>
            </w:r>
          </w:p>
        </w:tc>
      </w:tr>
      <w:tr w:rsidR="00BE1B60" w:rsidRPr="002E5E1D" w:rsidTr="00EA5206">
        <w:trPr>
          <w:trHeight w:val="270"/>
        </w:trPr>
        <w:tc>
          <w:tcPr>
            <w:tcW w:w="2519" w:type="dxa"/>
            <w:vMerge/>
            <w:shd w:val="clear" w:color="auto" w:fill="auto"/>
            <w:noWrap/>
            <w:hideMark/>
          </w:tcPr>
          <w:p w:rsidR="00BE1B60" w:rsidRPr="00AD7D2D" w:rsidRDefault="00BE1B60" w:rsidP="00EA5206">
            <w:pPr>
              <w:keepNext/>
              <w:spacing w:after="0" w:line="360" w:lineRule="auto"/>
              <w:ind w:firstLine="709"/>
              <w:jc w:val="both"/>
              <w:rPr>
                <w:rFonts w:ascii="Times New Roman" w:hAnsi="Times New Roman"/>
                <w:sz w:val="24"/>
                <w:szCs w:val="24"/>
              </w:rPr>
            </w:pPr>
          </w:p>
        </w:tc>
        <w:tc>
          <w:tcPr>
            <w:tcW w:w="3021" w:type="dxa"/>
            <w:gridSpan w:val="2"/>
            <w:shd w:val="clear" w:color="000000" w:fill="FFFFFF"/>
            <w:hideMark/>
          </w:tcPr>
          <w:p w:rsidR="00BE1B60" w:rsidRPr="00AD7D2D" w:rsidRDefault="00BE1B60" w:rsidP="00EA5206">
            <w:pPr>
              <w:keepNext/>
              <w:spacing w:after="0" w:line="360" w:lineRule="auto"/>
              <w:ind w:firstLine="709"/>
              <w:jc w:val="both"/>
              <w:rPr>
                <w:rFonts w:ascii="Times New Roman" w:hAnsi="Times New Roman"/>
                <w:bCs/>
                <w:sz w:val="24"/>
                <w:szCs w:val="24"/>
              </w:rPr>
            </w:pPr>
            <w:r w:rsidRPr="00AD7D2D">
              <w:rPr>
                <w:rFonts w:ascii="Times New Roman" w:hAnsi="Times New Roman"/>
                <w:bCs/>
                <w:sz w:val="24"/>
                <w:szCs w:val="24"/>
              </w:rPr>
              <w:t>Liquidity Index</w:t>
            </w:r>
          </w:p>
        </w:tc>
        <w:tc>
          <w:tcPr>
            <w:tcW w:w="3323" w:type="dxa"/>
            <w:gridSpan w:val="2"/>
            <w:shd w:val="clear" w:color="000000" w:fill="FFFFFF"/>
            <w:hideMark/>
          </w:tcPr>
          <w:p w:rsidR="00BE1B60" w:rsidRPr="00AD7D2D" w:rsidRDefault="00BE1B60" w:rsidP="00EA5206">
            <w:pPr>
              <w:keepNext/>
              <w:spacing w:after="0" w:line="360" w:lineRule="auto"/>
              <w:jc w:val="both"/>
              <w:rPr>
                <w:rFonts w:ascii="Times New Roman" w:hAnsi="Times New Roman"/>
                <w:bCs/>
                <w:sz w:val="24"/>
                <w:szCs w:val="24"/>
              </w:rPr>
            </w:pPr>
            <w:r w:rsidRPr="00AD7D2D">
              <w:rPr>
                <w:rFonts w:ascii="Times New Roman" w:hAnsi="Times New Roman"/>
                <w:bCs/>
                <w:sz w:val="24"/>
                <w:szCs w:val="24"/>
              </w:rPr>
              <w:t>Weighted Liquidity Index</w:t>
            </w:r>
          </w:p>
        </w:tc>
      </w:tr>
      <w:tr w:rsidR="00BE1B60" w:rsidRPr="002E5E1D" w:rsidTr="00EA5206">
        <w:trPr>
          <w:trHeight w:val="300"/>
        </w:trPr>
        <w:tc>
          <w:tcPr>
            <w:tcW w:w="2519" w:type="dxa"/>
            <w:vMerge/>
            <w:shd w:val="clear" w:color="auto" w:fill="auto"/>
            <w:noWrap/>
            <w:hideMark/>
          </w:tcPr>
          <w:p w:rsidR="00BE1B60" w:rsidRPr="00AD7D2D" w:rsidRDefault="00BE1B60" w:rsidP="00EA5206">
            <w:pPr>
              <w:keepNext/>
              <w:spacing w:after="0" w:line="360" w:lineRule="auto"/>
              <w:ind w:firstLine="709"/>
              <w:jc w:val="both"/>
              <w:rPr>
                <w:rFonts w:ascii="Times New Roman" w:hAnsi="Times New Roman"/>
                <w:bCs/>
                <w:sz w:val="24"/>
                <w:szCs w:val="24"/>
              </w:rPr>
            </w:pPr>
          </w:p>
        </w:tc>
        <w:tc>
          <w:tcPr>
            <w:tcW w:w="1469" w:type="dxa"/>
            <w:shd w:val="clear" w:color="auto" w:fill="auto"/>
            <w:noWrap/>
            <w:hideMark/>
          </w:tcPr>
          <w:p w:rsidR="00BE1B60" w:rsidRPr="00AD7D2D" w:rsidRDefault="00BE1B60" w:rsidP="00EA5206">
            <w:pPr>
              <w:keepNext/>
              <w:spacing w:after="0" w:line="360" w:lineRule="auto"/>
              <w:jc w:val="both"/>
              <w:rPr>
                <w:rFonts w:ascii="Times New Roman" w:hAnsi="Times New Roman"/>
                <w:bCs/>
                <w:sz w:val="24"/>
                <w:szCs w:val="24"/>
              </w:rPr>
            </w:pPr>
            <w:r w:rsidRPr="00AD7D2D">
              <w:rPr>
                <w:rFonts w:ascii="Times New Roman" w:hAnsi="Times New Roman"/>
                <w:bCs/>
                <w:sz w:val="24"/>
                <w:szCs w:val="24"/>
              </w:rPr>
              <w:t>Среднее</w:t>
            </w:r>
          </w:p>
        </w:tc>
        <w:tc>
          <w:tcPr>
            <w:tcW w:w="1552" w:type="dxa"/>
            <w:shd w:val="clear" w:color="auto" w:fill="auto"/>
            <w:noWrap/>
            <w:hideMark/>
          </w:tcPr>
          <w:p w:rsidR="00BE1B60" w:rsidRPr="00AD7D2D" w:rsidRDefault="00BE1B60" w:rsidP="00EA5206">
            <w:pPr>
              <w:keepNext/>
              <w:spacing w:after="0" w:line="360" w:lineRule="auto"/>
              <w:jc w:val="both"/>
              <w:rPr>
                <w:rFonts w:ascii="Times New Roman" w:hAnsi="Times New Roman"/>
                <w:bCs/>
                <w:sz w:val="24"/>
                <w:szCs w:val="24"/>
              </w:rPr>
            </w:pPr>
            <w:r w:rsidRPr="00AD7D2D">
              <w:rPr>
                <w:rFonts w:ascii="Times New Roman" w:hAnsi="Times New Roman"/>
                <w:bCs/>
                <w:sz w:val="24"/>
                <w:szCs w:val="24"/>
              </w:rPr>
              <w:t>Медиана</w:t>
            </w:r>
          </w:p>
        </w:tc>
        <w:tc>
          <w:tcPr>
            <w:tcW w:w="1553" w:type="dxa"/>
            <w:shd w:val="clear" w:color="auto" w:fill="auto"/>
            <w:noWrap/>
            <w:hideMark/>
          </w:tcPr>
          <w:p w:rsidR="00BE1B60" w:rsidRPr="00AD7D2D" w:rsidRDefault="00BE1B60" w:rsidP="00EA5206">
            <w:pPr>
              <w:keepNext/>
              <w:spacing w:after="0" w:line="360" w:lineRule="auto"/>
              <w:jc w:val="both"/>
              <w:rPr>
                <w:rFonts w:ascii="Times New Roman" w:hAnsi="Times New Roman"/>
                <w:bCs/>
                <w:sz w:val="24"/>
                <w:szCs w:val="24"/>
              </w:rPr>
            </w:pPr>
            <w:r w:rsidRPr="00AD7D2D">
              <w:rPr>
                <w:rFonts w:ascii="Times New Roman" w:hAnsi="Times New Roman"/>
                <w:bCs/>
                <w:sz w:val="24"/>
                <w:szCs w:val="24"/>
              </w:rPr>
              <w:t>Среднее</w:t>
            </w:r>
          </w:p>
        </w:tc>
        <w:tc>
          <w:tcPr>
            <w:tcW w:w="1770" w:type="dxa"/>
            <w:shd w:val="clear" w:color="auto" w:fill="auto"/>
            <w:noWrap/>
            <w:hideMark/>
          </w:tcPr>
          <w:p w:rsidR="00BE1B60" w:rsidRPr="00AD7D2D" w:rsidRDefault="00BE1B60" w:rsidP="00EA5206">
            <w:pPr>
              <w:keepNext/>
              <w:spacing w:after="0" w:line="360" w:lineRule="auto"/>
              <w:jc w:val="both"/>
              <w:rPr>
                <w:rFonts w:ascii="Times New Roman" w:hAnsi="Times New Roman"/>
                <w:bCs/>
                <w:sz w:val="24"/>
                <w:szCs w:val="24"/>
              </w:rPr>
            </w:pPr>
            <w:r w:rsidRPr="00AD7D2D">
              <w:rPr>
                <w:rFonts w:ascii="Times New Roman" w:hAnsi="Times New Roman"/>
                <w:bCs/>
                <w:sz w:val="24"/>
                <w:szCs w:val="24"/>
              </w:rPr>
              <w:t>Медиана</w:t>
            </w:r>
          </w:p>
        </w:tc>
      </w:tr>
      <w:tr w:rsidR="00BE1B60" w:rsidRPr="002E5E1D" w:rsidTr="00EA5206">
        <w:trPr>
          <w:trHeight w:val="300"/>
        </w:trPr>
        <w:tc>
          <w:tcPr>
            <w:tcW w:w="2519" w:type="dxa"/>
            <w:shd w:val="clear" w:color="auto" w:fill="auto"/>
            <w:noWrap/>
            <w:vAlign w:val="bottom"/>
            <w:hideMark/>
          </w:tcPr>
          <w:p w:rsidR="00BE1B60" w:rsidRPr="00AD7D2D" w:rsidRDefault="00BE1B60" w:rsidP="00EA5206">
            <w:pPr>
              <w:spacing w:after="0" w:line="360" w:lineRule="auto"/>
              <w:jc w:val="both"/>
              <w:rPr>
                <w:rFonts w:ascii="Times New Roman" w:hAnsi="Times New Roman"/>
                <w:bCs/>
                <w:sz w:val="24"/>
                <w:szCs w:val="24"/>
              </w:rPr>
            </w:pPr>
            <w:r w:rsidRPr="00AD7D2D">
              <w:rPr>
                <w:rFonts w:ascii="Times New Roman" w:hAnsi="Times New Roman"/>
                <w:bCs/>
                <w:sz w:val="24"/>
                <w:szCs w:val="24"/>
              </w:rPr>
              <w:t>Государственные</w:t>
            </w:r>
          </w:p>
        </w:tc>
        <w:tc>
          <w:tcPr>
            <w:tcW w:w="1469"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53,2</w:t>
            </w:r>
          </w:p>
        </w:tc>
        <w:tc>
          <w:tcPr>
            <w:tcW w:w="1552"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60,2</w:t>
            </w:r>
          </w:p>
        </w:tc>
        <w:tc>
          <w:tcPr>
            <w:tcW w:w="1553"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43,2</w:t>
            </w:r>
          </w:p>
        </w:tc>
        <w:tc>
          <w:tcPr>
            <w:tcW w:w="1770"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29,4</w:t>
            </w:r>
          </w:p>
        </w:tc>
      </w:tr>
      <w:tr w:rsidR="00BE1B60" w:rsidRPr="002E5E1D" w:rsidTr="00EA5206">
        <w:trPr>
          <w:trHeight w:val="300"/>
        </w:trPr>
        <w:tc>
          <w:tcPr>
            <w:tcW w:w="2519" w:type="dxa"/>
            <w:shd w:val="clear" w:color="auto" w:fill="auto"/>
            <w:noWrap/>
            <w:vAlign w:val="bottom"/>
            <w:hideMark/>
          </w:tcPr>
          <w:p w:rsidR="00BE1B60" w:rsidRPr="00AD7D2D" w:rsidRDefault="00BE1B60" w:rsidP="00EA5206">
            <w:pPr>
              <w:spacing w:after="0" w:line="360" w:lineRule="auto"/>
              <w:jc w:val="both"/>
              <w:rPr>
                <w:rFonts w:ascii="Times New Roman" w:hAnsi="Times New Roman"/>
                <w:bCs/>
                <w:sz w:val="24"/>
                <w:szCs w:val="24"/>
              </w:rPr>
            </w:pPr>
            <w:r w:rsidRPr="00AD7D2D">
              <w:rPr>
                <w:rFonts w:ascii="Times New Roman" w:hAnsi="Times New Roman"/>
                <w:bCs/>
                <w:sz w:val="24"/>
                <w:szCs w:val="24"/>
              </w:rPr>
              <w:t>Муниципальные</w:t>
            </w:r>
          </w:p>
        </w:tc>
        <w:tc>
          <w:tcPr>
            <w:tcW w:w="1469"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26,9</w:t>
            </w:r>
          </w:p>
        </w:tc>
        <w:tc>
          <w:tcPr>
            <w:tcW w:w="1552"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26,6</w:t>
            </w:r>
          </w:p>
        </w:tc>
        <w:tc>
          <w:tcPr>
            <w:tcW w:w="1553"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5,5</w:t>
            </w:r>
          </w:p>
        </w:tc>
        <w:tc>
          <w:tcPr>
            <w:tcW w:w="1770"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0,0</w:t>
            </w:r>
          </w:p>
        </w:tc>
      </w:tr>
      <w:tr w:rsidR="00BE1B60" w:rsidRPr="002E5E1D" w:rsidTr="00EA5206">
        <w:trPr>
          <w:trHeight w:val="300"/>
        </w:trPr>
        <w:tc>
          <w:tcPr>
            <w:tcW w:w="2519" w:type="dxa"/>
            <w:shd w:val="clear" w:color="auto" w:fill="auto"/>
            <w:noWrap/>
            <w:vAlign w:val="bottom"/>
            <w:hideMark/>
          </w:tcPr>
          <w:p w:rsidR="00BE1B60" w:rsidRPr="00AD7D2D" w:rsidRDefault="00BE1B60" w:rsidP="00EA5206">
            <w:pPr>
              <w:spacing w:after="0" w:line="360" w:lineRule="auto"/>
              <w:jc w:val="both"/>
              <w:rPr>
                <w:rFonts w:ascii="Times New Roman" w:hAnsi="Times New Roman"/>
                <w:bCs/>
                <w:sz w:val="24"/>
                <w:szCs w:val="24"/>
              </w:rPr>
            </w:pPr>
            <w:r w:rsidRPr="00AD7D2D">
              <w:rPr>
                <w:rFonts w:ascii="Times New Roman" w:hAnsi="Times New Roman"/>
                <w:bCs/>
                <w:sz w:val="24"/>
                <w:szCs w:val="24"/>
              </w:rPr>
              <w:t>Корпоративные</w:t>
            </w:r>
          </w:p>
        </w:tc>
        <w:tc>
          <w:tcPr>
            <w:tcW w:w="1469"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17,5</w:t>
            </w:r>
          </w:p>
        </w:tc>
        <w:tc>
          <w:tcPr>
            <w:tcW w:w="1552"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7,1</w:t>
            </w:r>
          </w:p>
        </w:tc>
        <w:tc>
          <w:tcPr>
            <w:tcW w:w="1553"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4,7</w:t>
            </w:r>
          </w:p>
        </w:tc>
        <w:tc>
          <w:tcPr>
            <w:tcW w:w="1770" w:type="dxa"/>
            <w:shd w:val="clear" w:color="auto" w:fill="auto"/>
            <w:noWrap/>
            <w:vAlign w:val="bottom"/>
            <w:hideMark/>
          </w:tcPr>
          <w:p w:rsidR="00BE1B60" w:rsidRPr="00AD7D2D" w:rsidRDefault="00BE1B60" w:rsidP="00EA5206">
            <w:pPr>
              <w:spacing w:after="0" w:line="360" w:lineRule="auto"/>
              <w:ind w:firstLine="709"/>
              <w:jc w:val="both"/>
              <w:rPr>
                <w:rFonts w:ascii="Times New Roman" w:hAnsi="Times New Roman"/>
                <w:sz w:val="24"/>
                <w:szCs w:val="24"/>
              </w:rPr>
            </w:pPr>
            <w:r w:rsidRPr="00AD7D2D">
              <w:rPr>
                <w:rFonts w:ascii="Times New Roman" w:hAnsi="Times New Roman"/>
                <w:sz w:val="24"/>
                <w:szCs w:val="24"/>
              </w:rPr>
              <w:t>0,0</w:t>
            </w:r>
          </w:p>
        </w:tc>
      </w:tr>
    </w:tbl>
    <w:p w:rsidR="00BE1B60" w:rsidRPr="002E5E1D" w:rsidRDefault="00BE1B60" w:rsidP="00BE1B60">
      <w:pPr>
        <w:spacing w:after="0" w:line="360" w:lineRule="auto"/>
        <w:ind w:firstLine="709"/>
        <w:jc w:val="both"/>
        <w:rPr>
          <w:rFonts w:ascii="Times New Roman" w:hAnsi="Times New Roman"/>
          <w:sz w:val="28"/>
          <w:szCs w:val="28"/>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В результате этих расчетов видно, что муниципальные облигации вторые в рейтинге ликвидности, хотя по объему торгов существенно уступают и рынку государственных, и рынку корпоративных облигаций.</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 чем это связано? Какие причины снижения доли муниципальных облигаций в общем объеме внутреннего рынка российских внутренних облигаций? И каковы перспективы этого сегмента российского облигационного рынка? От чего они зависят?</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b/>
          <w:sz w:val="24"/>
          <w:szCs w:val="24"/>
        </w:rPr>
        <w:t>Причины замедления темпов роста рынка муниципальных облигаций</w:t>
      </w:r>
      <w:r w:rsidRPr="00AD7D2D">
        <w:rPr>
          <w:rFonts w:ascii="Times New Roman" w:hAnsi="Times New Roman"/>
          <w:sz w:val="24"/>
          <w:szCs w:val="24"/>
        </w:rPr>
        <w:t>.</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При этом нельзя утверждать, что российский рынок муниципальных облигаций достиг своего предела в силу ограничений емкости и замедления темпов роста государственного долга регионов и муниципальных образований.</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Наоборот, в период с 1 января 2011 по 1 сентября 2015 года произошел резкий рост государственного долга субъектов федерации и муниципалитетов – с 1095 млрд. (плюс 169 млрд. долг муниципальных образований) до 2 116 млрд. (плюс долг муниципальных образований 313 млрд.).</w:t>
      </w:r>
      <w:r w:rsidRPr="00AD7D2D">
        <w:rPr>
          <w:rStyle w:val="a5"/>
          <w:rFonts w:ascii="Times New Roman" w:hAnsi="Times New Roman"/>
          <w:sz w:val="24"/>
          <w:szCs w:val="24"/>
        </w:rPr>
        <w:footnoteReference w:id="3"/>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Этот рост был связан с резким ухудшением финансового положения регионов, которое было связано с двумя факторами.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С одной стороны, это было отражением усиления социальной нагрузки на регионы, связанные с реализацией майских указов 2012 года. По данным Центра анализа доходов и уровня жизни Института управления социальными процессами НИУ ВШЭ, доля социальных расходов в 2008-2014 в консолидированных бюджетах регионов Российской Федерации выросла с 49 до 62%, при этом рост носил дифференцированный характер. Пониженная доля социальных расходов осталась у наиболее богатых регионов (Москва, Сахалин, Ямало-Ненецкий автономный округ, Тюмень). А наиболее сильно она выросла в наименее развитых регионах. Некоторые регионы, столкнувшись с необходимостью </w:t>
      </w:r>
      <w:r w:rsidRPr="00AD7D2D">
        <w:rPr>
          <w:rFonts w:ascii="Times New Roman" w:hAnsi="Times New Roman"/>
          <w:sz w:val="24"/>
          <w:szCs w:val="24"/>
        </w:rPr>
        <w:lastRenderedPageBreak/>
        <w:t>увеличивать социальные расходы, сделали свои бюджеты социальными. В условиях начавшихся бюджетных ограничений, регионы стали сокращать расходы на ЖКХ, на национальную экономику, а в 2014 году пришла очередь и социальных расходов. Регионы встали перед дилеммой – сокращать социальные расходы или инвестиционные.</w:t>
      </w:r>
      <w:r w:rsidRPr="00AD7D2D">
        <w:rPr>
          <w:rFonts w:ascii="Times New Roman" w:hAnsi="Times New Roman"/>
          <w:sz w:val="24"/>
          <w:szCs w:val="24"/>
          <w:vertAlign w:val="superscript"/>
        </w:rPr>
        <w:footnoteReference w:id="4"/>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По оценке агентства </w:t>
      </w:r>
      <w:r w:rsidRPr="00AD7D2D">
        <w:rPr>
          <w:rFonts w:ascii="Times New Roman" w:hAnsi="Times New Roman"/>
          <w:sz w:val="24"/>
          <w:szCs w:val="24"/>
          <w:lang w:val="en-US"/>
        </w:rPr>
        <w:t>S</w:t>
      </w:r>
      <w:r w:rsidRPr="00AD7D2D">
        <w:rPr>
          <w:rFonts w:ascii="Times New Roman" w:hAnsi="Times New Roman"/>
          <w:sz w:val="24"/>
          <w:szCs w:val="24"/>
        </w:rPr>
        <w:t>&amp;</w:t>
      </w:r>
      <w:r w:rsidRPr="00AD7D2D">
        <w:rPr>
          <w:rFonts w:ascii="Times New Roman" w:hAnsi="Times New Roman"/>
          <w:sz w:val="24"/>
          <w:szCs w:val="24"/>
          <w:lang w:val="en-US"/>
        </w:rPr>
        <w:t>P</w:t>
      </w:r>
      <w:r w:rsidRPr="00AD7D2D">
        <w:rPr>
          <w:rFonts w:ascii="Times New Roman" w:hAnsi="Times New Roman"/>
          <w:sz w:val="24"/>
          <w:szCs w:val="24"/>
        </w:rPr>
        <w:t>, ухудшение финансового положения регионов связано с общим замедлением темпов экономического роста, снижением темпов роста прибыли в корпоративном секторе и номинальных доходов населения, что привело к снижению основных источников поступления доходов (налога на прибыль и НДФЛ). При этом в условиях возросших социальных расходов регионы вынуждены наращивать заимствования. Эксперты агентства прогнозируют совокупную потребность регионов в заимствованиях в 2015-2017 годах в 4 трлн. рублей (только в 2015 – 0,9 трлн.). Это подразумевает 35% рост заимствований каждый год.</w:t>
      </w:r>
      <w:r w:rsidRPr="00AD7D2D">
        <w:rPr>
          <w:rStyle w:val="a5"/>
          <w:rFonts w:ascii="Times New Roman" w:hAnsi="Times New Roman"/>
          <w:sz w:val="24"/>
          <w:szCs w:val="24"/>
        </w:rPr>
        <w:footnoteReference w:id="5"/>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 другой стороны, рост расходных статей не сопровождался ростом доходов, а, напротив, снижением доходных частей, в связи с замедлением темпов экономического роста и падением прибыли.</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Отсюда мы приходим к выводу, что регионы в современных условиях остро нуждаются в привлечении дополнительных заемных ресурсов. Почему же это не отразилось на росте рынка муниципальных облигаций?</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Первое объяснение – существенное изменение структуры государственного долга субъектов федерации и муниципальных образований. Государственный внутренний долг состоит из публичного долга (облигации субъектов федерации и муниципальные ценные бумаги), банковских кредитов, бюджетных кредитов и государственных гарантий. Как видно из приведенного ниже графика, доля государственных облигаций в общей структуре долга субъектов федерации составляет 20%. Основной объем долга приходится на бюджетные и коммерческие кредиты.</w:t>
      </w:r>
    </w:p>
    <w:p w:rsidR="00BE1B60" w:rsidRDefault="00BE1B60" w:rsidP="00BE1B60">
      <w:pPr>
        <w:spacing w:after="0" w:line="360" w:lineRule="auto"/>
        <w:ind w:firstLine="709"/>
        <w:jc w:val="both"/>
      </w:pPr>
      <w:r>
        <w:rPr>
          <w:noProof/>
          <w:sz w:val="28"/>
          <w:szCs w:val="28"/>
          <w:lang w:eastAsia="ru-RU"/>
        </w:rPr>
        <w:drawing>
          <wp:inline distT="0" distB="0" distL="0" distR="0">
            <wp:extent cx="4591050" cy="5172075"/>
            <wp:effectExtent l="0" t="0" r="0" b="0"/>
            <wp:docPr id="189"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E1B60" w:rsidRPr="002E5E1D" w:rsidRDefault="00BE1B60" w:rsidP="00BE1B60">
      <w:pPr>
        <w:spacing w:after="0" w:line="360" w:lineRule="auto"/>
        <w:ind w:firstLine="709"/>
        <w:jc w:val="both"/>
        <w:rPr>
          <w:rFonts w:ascii="Times New Roman" w:hAnsi="Times New Roman"/>
          <w:sz w:val="28"/>
          <w:szCs w:val="28"/>
        </w:rPr>
      </w:pPr>
      <w:r w:rsidRPr="00AD7D2D">
        <w:rPr>
          <w:rFonts w:ascii="Times New Roman" w:hAnsi="Times New Roman"/>
          <w:sz w:val="24"/>
          <w:szCs w:val="24"/>
        </w:rPr>
        <w:t>Рисунок 2. Структура государственного долга субъектов федерации (в %) на 1 сентября 2015 года. По данным Министерства финансов</w:t>
      </w:r>
      <w:r w:rsidRPr="002E5E1D">
        <w:rPr>
          <w:rFonts w:ascii="Times New Roman" w:hAnsi="Times New Roman"/>
          <w:sz w:val="28"/>
          <w:szCs w:val="28"/>
        </w:rPr>
        <w:t>.</w:t>
      </w:r>
      <w:r w:rsidRPr="002E5E1D">
        <w:rPr>
          <w:rStyle w:val="a5"/>
          <w:rFonts w:ascii="Times New Roman" w:hAnsi="Times New Roman"/>
          <w:sz w:val="28"/>
          <w:szCs w:val="28"/>
        </w:rPr>
        <w:footnoteReference w:id="6"/>
      </w:r>
    </w:p>
    <w:p w:rsidR="00BE1B60" w:rsidRPr="002E5E1D" w:rsidRDefault="00BE1B60" w:rsidP="00BE1B60">
      <w:pPr>
        <w:spacing w:after="0" w:line="360" w:lineRule="auto"/>
        <w:ind w:firstLine="709"/>
        <w:jc w:val="both"/>
        <w:rPr>
          <w:rFonts w:ascii="Times New Roman" w:hAnsi="Times New Roman"/>
          <w:sz w:val="28"/>
          <w:szCs w:val="28"/>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Интересно отметить, что такая структура долга складывалась в последние 5 лет. Так, в наименьшей степени рос публичный долг регионов. Доля государственных бумаг в общем объеме государственного долга с 37% на 1 января 2011 упала до 20% на 1сентября 2015 года, доля государственных гарантий с 10 до 5,1%. При этом доля банковских кредитов выросла с 21,1% до 38,1%, бюджетных кредитов с 31 до 36,4%. Если объем банковских кредитов на 1 января 2015 был почти в два раза меньше объемы государственных облигаций (232 млрд. против 407), то на 1 сентября 2015 года объем банковских кредитов (806 млрд.) почти в 2 раза превысил объем рынка государственных облигаций (429 млрд. рублей по версии Минфина).</w:t>
      </w:r>
      <w:r w:rsidRPr="00AD7D2D">
        <w:rPr>
          <w:rStyle w:val="a5"/>
          <w:rFonts w:ascii="Times New Roman" w:hAnsi="Times New Roman"/>
          <w:sz w:val="24"/>
          <w:szCs w:val="24"/>
        </w:rPr>
        <w:footnoteReference w:id="7"/>
      </w:r>
      <w:r w:rsidRPr="00AD7D2D">
        <w:rPr>
          <w:rFonts w:ascii="Times New Roman" w:hAnsi="Times New Roman"/>
          <w:sz w:val="24"/>
          <w:szCs w:val="24"/>
        </w:rPr>
        <w:t xml:space="preserve"> Это подтверждает следующий рисунок, отражающий изменение структуры государственного долга за последние 4 года.</w:t>
      </w:r>
    </w:p>
    <w:p w:rsidR="00BE1B60" w:rsidRPr="00AD7D2D" w:rsidRDefault="00BE1B60" w:rsidP="00BE1B60">
      <w:pPr>
        <w:spacing w:after="0" w:line="360" w:lineRule="auto"/>
        <w:ind w:firstLine="709"/>
        <w:jc w:val="both"/>
        <w:rPr>
          <w:rFonts w:ascii="Times New Roman" w:hAnsi="Times New Roman"/>
          <w:sz w:val="24"/>
          <w:szCs w:val="24"/>
        </w:rPr>
      </w:pPr>
      <w:r>
        <w:rPr>
          <w:noProof/>
          <w:sz w:val="24"/>
          <w:szCs w:val="24"/>
          <w:lang w:eastAsia="ru-RU"/>
        </w:rPr>
        <w:drawing>
          <wp:inline distT="0" distB="0" distL="0" distR="0">
            <wp:extent cx="4591050" cy="3248025"/>
            <wp:effectExtent l="0" t="0" r="0" b="0"/>
            <wp:docPr id="190"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Рисунок 3. Динамика структуры го</w:t>
      </w:r>
      <w:r>
        <w:rPr>
          <w:rFonts w:ascii="Times New Roman" w:hAnsi="Times New Roman"/>
          <w:sz w:val="24"/>
          <w:szCs w:val="24"/>
        </w:rPr>
        <w:t>сударственного долга субъектов Ф</w:t>
      </w:r>
      <w:r w:rsidRPr="00AD7D2D">
        <w:rPr>
          <w:rFonts w:ascii="Times New Roman" w:hAnsi="Times New Roman"/>
          <w:sz w:val="24"/>
          <w:szCs w:val="24"/>
        </w:rPr>
        <w:t>едерац</w:t>
      </w:r>
      <w:r>
        <w:rPr>
          <w:rFonts w:ascii="Times New Roman" w:hAnsi="Times New Roman"/>
          <w:sz w:val="24"/>
          <w:szCs w:val="24"/>
        </w:rPr>
        <w:t>ии (</w:t>
      </w:r>
      <w:r w:rsidRPr="00AD7D2D">
        <w:rPr>
          <w:rFonts w:ascii="Times New Roman" w:hAnsi="Times New Roman"/>
          <w:sz w:val="24"/>
          <w:szCs w:val="24"/>
        </w:rPr>
        <w:t>в млрд. рублей). По данным</w:t>
      </w:r>
      <w:r>
        <w:rPr>
          <w:rFonts w:ascii="Times New Roman" w:hAnsi="Times New Roman"/>
          <w:sz w:val="24"/>
          <w:szCs w:val="24"/>
        </w:rPr>
        <w:t xml:space="preserve"> Министерства финансов</w:t>
      </w:r>
    </w:p>
    <w:p w:rsidR="00BE1B60" w:rsidRDefault="00BE1B60" w:rsidP="00BE1B60">
      <w:pPr>
        <w:spacing w:after="0" w:line="360" w:lineRule="auto"/>
        <w:ind w:firstLine="709"/>
        <w:jc w:val="both"/>
        <w:rPr>
          <w:rFonts w:ascii="Times New Roman" w:hAnsi="Times New Roman"/>
          <w:sz w:val="28"/>
          <w:szCs w:val="28"/>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С чем же связано такое изменение структуры государственного долга субъектов федерации? Почему существенно снизилась доля государственных облигаций в общем размере государственного долга субъектов федерации?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Прежде всего, это объясняется перераспределением долей государственного долга. В условиях выросших расходов регионы активнее всего привлекали банковские кредиты (долг перед банками вырос с 413 млрд. до 740 млрд.). Сильный рост объема банковских кредитов вынудил Минфин прийти на помощь регионам, заменяя банковские кредиты бюджетные кредитами. Их рост с 2011 по 2014 год был почти трехкратный (с 379, 6 млрд. до 1071,5 млрд.). Это заставило Минфин придти на помощь регионам, предоставить им бюджетные кредиты на 310 млрд. Деньги пошли на замену дорогих коммерческих кредитов и государственных облигаций (ставка по бюджетным кредитам составляет 0,1%). Это позволило заменить до 50% подлежащей погашению в 2015 году коммерческой задолженности.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Проблемами для регионов стало то, что последние очень активно привлекали банковские кредиты. Как правило, банковские кредиты короткие, и ставка по них может сильно колебаться в зависимости от ситуации на кредитном рынке. При этом стоимость кредитов в последний год существенно выросла.</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Для примера приведем данные, которые приводит Московская область о минимальных ставках, по которым происходит привлечение средства от коммерческих банков. Характерен резкий рост стоимости кредитов.</w:t>
      </w:r>
    </w:p>
    <w:p w:rsidR="00BE1B60" w:rsidRPr="00AD7D2D" w:rsidRDefault="00BE1B60" w:rsidP="00BE1B60">
      <w:pPr>
        <w:spacing w:after="0" w:line="360" w:lineRule="auto"/>
        <w:ind w:firstLine="709"/>
        <w:jc w:val="center"/>
        <w:rPr>
          <w:rFonts w:ascii="Times New Roman" w:hAnsi="Times New Roman"/>
          <w:sz w:val="24"/>
          <w:szCs w:val="24"/>
        </w:rPr>
      </w:pPr>
      <w:r w:rsidRPr="00AD7D2D">
        <w:rPr>
          <w:rFonts w:ascii="Times New Roman" w:hAnsi="Times New Roman"/>
          <w:sz w:val="24"/>
          <w:szCs w:val="24"/>
        </w:rPr>
        <w:t>Таблица 2. Информация о процентных ставках в 2014 году. По данным Московской области.</w:t>
      </w:r>
      <w:r w:rsidRPr="00AD7D2D">
        <w:rPr>
          <w:sz w:val="24"/>
          <w:szCs w:val="24"/>
        </w:rPr>
        <w:footnoteReference w:id="8"/>
      </w:r>
    </w:p>
    <w:tbl>
      <w:tblPr>
        <w:tblW w:w="9546" w:type="dxa"/>
        <w:tblInd w:w="93" w:type="dxa"/>
        <w:tblLook w:val="04A0" w:firstRow="1" w:lastRow="0" w:firstColumn="1" w:lastColumn="0" w:noHBand="0" w:noVBand="1"/>
      </w:tblPr>
      <w:tblGrid>
        <w:gridCol w:w="1750"/>
        <w:gridCol w:w="810"/>
        <w:gridCol w:w="1033"/>
        <w:gridCol w:w="1047"/>
        <w:gridCol w:w="937"/>
        <w:gridCol w:w="903"/>
        <w:gridCol w:w="940"/>
        <w:gridCol w:w="959"/>
        <w:gridCol w:w="1167"/>
      </w:tblGrid>
      <w:tr w:rsidR="00BE1B60" w:rsidRPr="0042624F" w:rsidTr="00EA5206">
        <w:trPr>
          <w:trHeight w:val="450"/>
        </w:trPr>
        <w:tc>
          <w:tcPr>
            <w:tcW w:w="17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Месяц проведения аукционов</w:t>
            </w:r>
          </w:p>
        </w:tc>
        <w:tc>
          <w:tcPr>
            <w:tcW w:w="7796" w:type="dxa"/>
            <w:gridSpan w:val="8"/>
            <w:tcBorders>
              <w:top w:val="single" w:sz="4" w:space="0" w:color="auto"/>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Процентные ставки по кредитам*, привлекаемым на срок:</w:t>
            </w:r>
          </w:p>
        </w:tc>
      </w:tr>
      <w:tr w:rsidR="00BE1B60" w:rsidRPr="0042624F" w:rsidTr="00EA5206">
        <w:trPr>
          <w:trHeight w:val="645"/>
        </w:trPr>
        <w:tc>
          <w:tcPr>
            <w:tcW w:w="1750" w:type="dxa"/>
            <w:vMerge/>
            <w:tcBorders>
              <w:top w:val="single" w:sz="4" w:space="0" w:color="auto"/>
              <w:left w:val="single" w:sz="4" w:space="0" w:color="auto"/>
              <w:bottom w:val="single" w:sz="4" w:space="0" w:color="auto"/>
              <w:right w:val="single" w:sz="4" w:space="0" w:color="auto"/>
            </w:tcBorders>
            <w:vAlign w:val="center"/>
            <w:hideMark/>
          </w:tcPr>
          <w:p w:rsidR="00BE1B60" w:rsidRPr="00542735" w:rsidRDefault="00BE1B60" w:rsidP="00EA5206">
            <w:pPr>
              <w:spacing w:after="0" w:line="360" w:lineRule="auto"/>
              <w:ind w:firstLine="709"/>
              <w:jc w:val="both"/>
              <w:rPr>
                <w:rFonts w:ascii="Times New Roman" w:hAnsi="Times New Roman"/>
                <w:sz w:val="20"/>
                <w:szCs w:val="20"/>
              </w:rPr>
            </w:pP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до 1 года</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до 1,5 лет</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на 2 года</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на 3 года</w:t>
            </w:r>
          </w:p>
        </w:tc>
      </w:tr>
      <w:tr w:rsidR="00BE1B60" w:rsidRPr="0042624F" w:rsidTr="00EA5206">
        <w:trPr>
          <w:trHeight w:val="330"/>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1</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2</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3</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4</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5</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январь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7,98</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8,02</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8,22</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февраль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8,04</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8,97</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март</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8,8</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9,1</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9,7</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апрель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8,75</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9,54</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10,283</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май</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9,45</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10,56</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июнь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9,6</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10,1</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 xml:space="preserve"> -</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июль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9,84</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10,56</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12</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август</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10,56</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10,85</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сентябрь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10,64</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11,5</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10,82</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октябрь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11,21</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ноябрь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11,27</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11,4</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r>
      <w:tr w:rsidR="00BE1B60" w:rsidRPr="0042624F" w:rsidTr="00EA5206">
        <w:trPr>
          <w:trHeight w:val="405"/>
        </w:trPr>
        <w:tc>
          <w:tcPr>
            <w:tcW w:w="1750" w:type="dxa"/>
            <w:tcBorders>
              <w:top w:val="nil"/>
              <w:left w:val="single" w:sz="4"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декабрь</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12,87</w:t>
            </w:r>
          </w:p>
        </w:tc>
        <w:tc>
          <w:tcPr>
            <w:tcW w:w="1984"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43"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13</w:t>
            </w:r>
          </w:p>
        </w:tc>
        <w:tc>
          <w:tcPr>
            <w:tcW w:w="2126"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r>
      <w:tr w:rsidR="00BE1B60" w:rsidRPr="0042624F" w:rsidTr="00EA5206">
        <w:trPr>
          <w:trHeight w:val="990"/>
        </w:trPr>
        <w:tc>
          <w:tcPr>
            <w:tcW w:w="9546" w:type="dxa"/>
            <w:gridSpan w:val="9"/>
            <w:tcBorders>
              <w:top w:val="nil"/>
              <w:left w:val="nil"/>
              <w:bottom w:val="nil"/>
              <w:right w:val="nil"/>
            </w:tcBorders>
            <w:shd w:val="clear" w:color="auto" w:fill="auto"/>
            <w:vAlign w:val="center"/>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Информация о процентных ставках по кредитам в 2015 году</w:t>
            </w:r>
          </w:p>
        </w:tc>
      </w:tr>
      <w:tr w:rsidR="00BE1B60" w:rsidRPr="0042624F" w:rsidTr="00EA5206">
        <w:trPr>
          <w:trHeight w:val="450"/>
        </w:trPr>
        <w:tc>
          <w:tcPr>
            <w:tcW w:w="2560" w:type="dxa"/>
            <w:gridSpan w:val="2"/>
            <w:vMerge w:val="restart"/>
            <w:tcBorders>
              <w:top w:val="single" w:sz="8" w:space="0" w:color="auto"/>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Месяц проведения аукционов</w:t>
            </w:r>
          </w:p>
        </w:tc>
        <w:tc>
          <w:tcPr>
            <w:tcW w:w="6986" w:type="dxa"/>
            <w:gridSpan w:val="7"/>
            <w:tcBorders>
              <w:top w:val="single" w:sz="8" w:space="0" w:color="auto"/>
              <w:left w:val="nil"/>
              <w:bottom w:val="single" w:sz="4" w:space="0" w:color="auto"/>
              <w:right w:val="single" w:sz="8" w:space="0" w:color="000000"/>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Процентные ставки по кредитам*, привлекаемым на срок:</w:t>
            </w:r>
          </w:p>
        </w:tc>
      </w:tr>
      <w:tr w:rsidR="00BE1B60" w:rsidRPr="0042624F" w:rsidTr="00EA5206">
        <w:trPr>
          <w:trHeight w:val="645"/>
        </w:trPr>
        <w:tc>
          <w:tcPr>
            <w:tcW w:w="2560" w:type="dxa"/>
            <w:gridSpan w:val="2"/>
            <w:vMerge/>
            <w:tcBorders>
              <w:top w:val="single" w:sz="8" w:space="0" w:color="auto"/>
              <w:left w:val="single" w:sz="8" w:space="0" w:color="auto"/>
              <w:bottom w:val="single" w:sz="4" w:space="0" w:color="auto"/>
              <w:right w:val="single" w:sz="4" w:space="0" w:color="auto"/>
            </w:tcBorders>
            <w:vAlign w:val="center"/>
            <w:hideMark/>
          </w:tcPr>
          <w:p w:rsidR="00BE1B60" w:rsidRPr="00542735" w:rsidRDefault="00BE1B60" w:rsidP="00EA5206">
            <w:pPr>
              <w:spacing w:after="0" w:line="360" w:lineRule="auto"/>
              <w:ind w:firstLine="709"/>
              <w:jc w:val="both"/>
              <w:rPr>
                <w:rFonts w:ascii="Times New Roman" w:hAnsi="Times New Roman"/>
                <w:sz w:val="20"/>
                <w:szCs w:val="20"/>
              </w:rPr>
            </w:pP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до 1 года</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до 1,5 лет</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на 2 года</w:t>
            </w:r>
          </w:p>
        </w:tc>
        <w:tc>
          <w:tcPr>
            <w:tcW w:w="1167" w:type="dxa"/>
            <w:tcBorders>
              <w:top w:val="nil"/>
              <w:left w:val="nil"/>
              <w:bottom w:val="single" w:sz="4" w:space="0" w:color="auto"/>
              <w:right w:val="single" w:sz="8" w:space="0" w:color="auto"/>
            </w:tcBorders>
            <w:shd w:val="clear" w:color="auto" w:fill="auto"/>
            <w:hideMark/>
          </w:tcPr>
          <w:p w:rsidR="00BE1B60" w:rsidRPr="00542735" w:rsidRDefault="00BE1B60" w:rsidP="00EA5206">
            <w:pPr>
              <w:spacing w:after="0" w:line="360" w:lineRule="auto"/>
              <w:jc w:val="both"/>
              <w:rPr>
                <w:rFonts w:ascii="Times New Roman" w:hAnsi="Times New Roman"/>
                <w:sz w:val="20"/>
                <w:szCs w:val="20"/>
              </w:rPr>
            </w:pPr>
            <w:r w:rsidRPr="00542735">
              <w:rPr>
                <w:rFonts w:ascii="Times New Roman" w:hAnsi="Times New Roman"/>
                <w:sz w:val="20"/>
                <w:szCs w:val="20"/>
              </w:rPr>
              <w:t>на 3 года</w:t>
            </w:r>
          </w:p>
        </w:tc>
      </w:tr>
      <w:tr w:rsidR="00BE1B60" w:rsidRPr="0042624F" w:rsidTr="00EA5206">
        <w:trPr>
          <w:trHeight w:val="330"/>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1</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2</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3</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i/>
                <w:iCs/>
                <w:sz w:val="20"/>
                <w:szCs w:val="20"/>
              </w:rPr>
            </w:pPr>
            <w:r w:rsidRPr="00542735">
              <w:rPr>
                <w:rFonts w:ascii="Times New Roman" w:hAnsi="Times New Roman"/>
                <w:i/>
                <w:iCs/>
                <w:sz w:val="20"/>
                <w:szCs w:val="20"/>
              </w:rPr>
              <w:t>4</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i/>
                <w:iCs/>
                <w:sz w:val="28"/>
                <w:szCs w:val="28"/>
              </w:rPr>
            </w:pPr>
            <w:r w:rsidRPr="0042624F">
              <w:rPr>
                <w:rFonts w:ascii="Times New Roman" w:hAnsi="Times New Roman"/>
                <w:i/>
                <w:iCs/>
                <w:sz w:val="28"/>
                <w:szCs w:val="28"/>
              </w:rPr>
              <w:t>5</w:t>
            </w:r>
          </w:p>
        </w:tc>
      </w:tr>
      <w:tr w:rsidR="00BE1B60" w:rsidRPr="0042624F" w:rsidTr="00EA5206">
        <w:trPr>
          <w:trHeight w:val="330"/>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январь</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21,4</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sz w:val="28"/>
                <w:szCs w:val="28"/>
              </w:rPr>
            </w:pPr>
            <w:r w:rsidRPr="0042624F">
              <w:rPr>
                <w:rFonts w:ascii="Times New Roman" w:hAnsi="Times New Roman"/>
                <w:sz w:val="28"/>
                <w:szCs w:val="28"/>
              </w:rPr>
              <w:t xml:space="preserve"> -</w:t>
            </w:r>
          </w:p>
        </w:tc>
      </w:tr>
      <w:tr w:rsidR="00BE1B60" w:rsidRPr="0042624F" w:rsidTr="00EA5206">
        <w:trPr>
          <w:trHeight w:val="330"/>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февраль</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22,2</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sz w:val="28"/>
                <w:szCs w:val="28"/>
              </w:rPr>
            </w:pPr>
            <w:r w:rsidRPr="0042624F">
              <w:rPr>
                <w:rFonts w:ascii="Times New Roman" w:hAnsi="Times New Roman"/>
                <w:sz w:val="28"/>
                <w:szCs w:val="28"/>
              </w:rPr>
              <w:t xml:space="preserve"> -</w:t>
            </w:r>
          </w:p>
        </w:tc>
      </w:tr>
      <w:tr w:rsidR="00BE1B60" w:rsidRPr="0042624F" w:rsidTr="00EA5206">
        <w:trPr>
          <w:trHeight w:val="330"/>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март</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21</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20</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sz w:val="28"/>
                <w:szCs w:val="28"/>
              </w:rPr>
            </w:pPr>
            <w:r w:rsidRPr="0042624F">
              <w:rPr>
                <w:rFonts w:ascii="Times New Roman" w:hAnsi="Times New Roman"/>
                <w:sz w:val="28"/>
                <w:szCs w:val="28"/>
              </w:rPr>
              <w:t xml:space="preserve"> -</w:t>
            </w:r>
          </w:p>
        </w:tc>
      </w:tr>
      <w:tr w:rsidR="00BE1B60" w:rsidRPr="0042624F" w:rsidTr="00EA5206">
        <w:trPr>
          <w:trHeight w:val="405"/>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апрель</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16,9</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20,38</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19,404</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sz w:val="28"/>
                <w:szCs w:val="28"/>
              </w:rPr>
            </w:pPr>
            <w:r w:rsidRPr="0042624F">
              <w:rPr>
                <w:rFonts w:ascii="Times New Roman" w:hAnsi="Times New Roman"/>
                <w:sz w:val="28"/>
                <w:szCs w:val="28"/>
              </w:rPr>
              <w:t xml:space="preserve"> -</w:t>
            </w:r>
          </w:p>
        </w:tc>
      </w:tr>
      <w:tr w:rsidR="00BE1B60" w:rsidRPr="0042624F" w:rsidTr="00EA5206">
        <w:trPr>
          <w:trHeight w:val="405"/>
        </w:trPr>
        <w:tc>
          <w:tcPr>
            <w:tcW w:w="2560" w:type="dxa"/>
            <w:gridSpan w:val="2"/>
            <w:tcBorders>
              <w:top w:val="nil"/>
              <w:left w:val="single" w:sz="8" w:space="0" w:color="auto"/>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май</w:t>
            </w:r>
          </w:p>
        </w:tc>
        <w:tc>
          <w:tcPr>
            <w:tcW w:w="208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15,79</w:t>
            </w:r>
          </w:p>
        </w:tc>
        <w:tc>
          <w:tcPr>
            <w:tcW w:w="1840"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w:t>
            </w:r>
          </w:p>
        </w:tc>
        <w:tc>
          <w:tcPr>
            <w:tcW w:w="1899" w:type="dxa"/>
            <w:gridSpan w:val="2"/>
            <w:tcBorders>
              <w:top w:val="nil"/>
              <w:left w:val="nil"/>
              <w:bottom w:val="single" w:sz="4" w:space="0" w:color="auto"/>
              <w:right w:val="single" w:sz="4" w:space="0" w:color="auto"/>
            </w:tcBorders>
            <w:shd w:val="clear" w:color="auto" w:fill="auto"/>
            <w:hideMark/>
          </w:tcPr>
          <w:p w:rsidR="00BE1B60" w:rsidRPr="00542735" w:rsidRDefault="00BE1B60" w:rsidP="00EA5206">
            <w:pPr>
              <w:spacing w:after="0" w:line="360" w:lineRule="auto"/>
              <w:ind w:firstLine="709"/>
              <w:jc w:val="both"/>
              <w:rPr>
                <w:rFonts w:ascii="Times New Roman" w:hAnsi="Times New Roman"/>
                <w:sz w:val="20"/>
                <w:szCs w:val="20"/>
              </w:rPr>
            </w:pPr>
            <w:r w:rsidRPr="00542735">
              <w:rPr>
                <w:rFonts w:ascii="Times New Roman" w:hAnsi="Times New Roman"/>
                <w:sz w:val="20"/>
                <w:szCs w:val="20"/>
              </w:rPr>
              <w:t>16,2</w:t>
            </w:r>
          </w:p>
        </w:tc>
        <w:tc>
          <w:tcPr>
            <w:tcW w:w="1167" w:type="dxa"/>
            <w:tcBorders>
              <w:top w:val="nil"/>
              <w:left w:val="nil"/>
              <w:bottom w:val="single" w:sz="4" w:space="0" w:color="auto"/>
              <w:right w:val="single" w:sz="8" w:space="0" w:color="auto"/>
            </w:tcBorders>
            <w:shd w:val="clear" w:color="auto" w:fill="auto"/>
            <w:hideMark/>
          </w:tcPr>
          <w:p w:rsidR="00BE1B60" w:rsidRPr="0042624F" w:rsidRDefault="00BE1B60" w:rsidP="00EA5206">
            <w:pPr>
              <w:spacing w:after="0" w:line="360" w:lineRule="auto"/>
              <w:ind w:firstLine="709"/>
              <w:jc w:val="both"/>
              <w:rPr>
                <w:rFonts w:ascii="Times New Roman" w:hAnsi="Times New Roman"/>
                <w:sz w:val="28"/>
                <w:szCs w:val="28"/>
              </w:rPr>
            </w:pPr>
            <w:r w:rsidRPr="0042624F">
              <w:rPr>
                <w:rFonts w:ascii="Times New Roman" w:hAnsi="Times New Roman"/>
                <w:sz w:val="28"/>
                <w:szCs w:val="28"/>
              </w:rPr>
              <w:t>-</w:t>
            </w:r>
          </w:p>
        </w:tc>
      </w:tr>
    </w:tbl>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Самыми крупными заемщиками кредитных ресурсов стали Московская область 64,1 млрд. рублей, Краснодарский край – 52,6, Ямало-Ненецкий автономный округ, Кемеровская область – 29,8, Свердловская область – 24,7. В феврале 2015 года Новгородская область не смогла провести платеж по кредиту банка ВТБ.</w:t>
      </w:r>
      <w:r w:rsidRPr="00AD7D2D">
        <w:rPr>
          <w:rFonts w:ascii="Times New Roman" w:hAnsi="Times New Roman"/>
          <w:sz w:val="24"/>
          <w:szCs w:val="24"/>
        </w:rPr>
        <w:footnoteReference w:id="9"/>
      </w:r>
      <w:r w:rsidRPr="00AD7D2D">
        <w:rPr>
          <w:rFonts w:ascii="Times New Roman" w:hAnsi="Times New Roman"/>
          <w:sz w:val="24"/>
          <w:szCs w:val="24"/>
        </w:rPr>
        <w:t xml:space="preserve"> При этом 90% всех кредитов, привлеченных регионами, приходится на ВТБ и Сбербанк.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В качестве примера можно привести Новосибирскую область. Новосибирская область имеет объем государственного долга в 13, 5 тысяч рублей на одного жителя области. Общий объем государственного долга на 1 июля 2016 года составлял 40, 448 млрд. рублей. Уровень долговой нагрузки составлял 40, 41 %, что ниже критического уровня. Долг по отношению к ВРП составляет 4,67%.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Пример Новосибирской области – яркий показатель того, что творилось со многими субъектами федерации в последние годы. Область резко наращивала долг, причем в основном за счет кредитов от банковских организаций. Столкнувшись с резким ростом государственного долга, вынуждена была замещать банковские кредиты бюджетными кредитами.</w:t>
      </w:r>
    </w:p>
    <w:p w:rsidR="00BE1B60" w:rsidRPr="00AD7D2D" w:rsidRDefault="00BE1B60" w:rsidP="00BE1B60">
      <w:pPr>
        <w:spacing w:after="0" w:line="360" w:lineRule="auto"/>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5953125" cy="3257550"/>
            <wp:effectExtent l="0" t="0" r="0" b="0"/>
            <wp:docPr id="19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D7D2D">
        <w:rPr>
          <w:rFonts w:ascii="Times New Roman" w:hAnsi="Times New Roman"/>
          <w:sz w:val="24"/>
          <w:szCs w:val="24"/>
        </w:rPr>
        <w:t xml:space="preserve"> Рисунок 4. Динамика структуры государственного долга Новосибирской области. </w:t>
      </w:r>
      <w:hyperlink r:id="rId11" w:history="1">
        <w:r w:rsidRPr="00AD7D2D">
          <w:rPr>
            <w:rFonts w:ascii="Times New Roman" w:hAnsi="Times New Roman"/>
            <w:sz w:val="24"/>
            <w:szCs w:val="24"/>
          </w:rPr>
          <w:t>http://www.nso.ru/page/2267</w:t>
        </w:r>
      </w:hyperlink>
    </w:p>
    <w:p w:rsidR="00BE1B60" w:rsidRPr="00AD7D2D" w:rsidRDefault="00393EE4" w:rsidP="00BE1B60">
      <w:pPr>
        <w:spacing w:after="0" w:line="360" w:lineRule="auto"/>
        <w:ind w:firstLine="709"/>
        <w:jc w:val="both"/>
        <w:rPr>
          <w:rFonts w:ascii="Times New Roman" w:hAnsi="Times New Roman"/>
          <w:sz w:val="24"/>
          <w:szCs w:val="24"/>
        </w:rPr>
      </w:pPr>
      <w:hyperlink r:id="rId12" w:history="1">
        <w:r w:rsidR="00BE1B60" w:rsidRPr="00AD7D2D">
          <w:rPr>
            <w:rFonts w:ascii="Times New Roman" w:hAnsi="Times New Roman"/>
            <w:sz w:val="24"/>
            <w:szCs w:val="24"/>
          </w:rPr>
          <w:t>http://zsnso.ru/667/</w:t>
        </w:r>
      </w:hyperlink>
      <w:r w:rsidR="00BE1B60" w:rsidRPr="00AD7D2D">
        <w:rPr>
          <w:rFonts w:ascii="Times New Roman" w:hAnsi="Times New Roman"/>
          <w:sz w:val="24"/>
          <w:szCs w:val="24"/>
        </w:rPr>
        <w:t xml:space="preserve"> </w:t>
      </w:r>
    </w:p>
    <w:p w:rsidR="00BE1B60" w:rsidRPr="00AD7D2D" w:rsidRDefault="00BE1B60" w:rsidP="00BE1B60">
      <w:pPr>
        <w:spacing w:after="0" w:line="360" w:lineRule="auto"/>
        <w:ind w:firstLine="709"/>
        <w:jc w:val="both"/>
        <w:rPr>
          <w:rFonts w:ascii="Times New Roman" w:hAnsi="Times New Roman"/>
          <w:sz w:val="24"/>
          <w:szCs w:val="24"/>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То есть первой причиной, которая привела к снижению доли государственных облигаций, стало их вытеснение коммерческими кредитами, доступ к которым регионам проще в силу меньшей прозрачности процедуры получения кредита по сравнению с выпуском публичного долга.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Вторая причина снижения доли государственных облигаций связана с тяжелым финансовым положением части регионов.</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Согласно тем ограничениям, которые есть в Бюджетном кодексе, долг региона не должен превышать 100% доходов региона, а расходы на обслуживание долга не должны превышать 15% расходов региона.</w:t>
      </w:r>
      <w:r w:rsidRPr="00AD7D2D">
        <w:rPr>
          <w:rFonts w:ascii="Times New Roman" w:hAnsi="Times New Roman"/>
          <w:sz w:val="24"/>
          <w:szCs w:val="24"/>
        </w:rPr>
        <w:footnoteReference w:id="10"/>
      </w:r>
      <w:r w:rsidRPr="00AD7D2D">
        <w:rPr>
          <w:rFonts w:ascii="Times New Roman" w:hAnsi="Times New Roman"/>
          <w:sz w:val="24"/>
          <w:szCs w:val="24"/>
        </w:rPr>
        <w:t xml:space="preserve"> Отношение долга регионов на 1 января 2015 года к общему объему налоговых и неналоговых доходов составило 35,4%. Цифра сама по себе небольшая, но при этом надо учесть большую дифференциацию по регионам. Так, у 46 субъектов объем долга превысил более 50% доходов, у 26 субъектов более 79%. Очень большой уровень долга у республики Мордовия (121,1%, хотя эта доля упала с 172% за год), Костромской области. В аутсайдеры по уровню долга попали Республика Карелия, Смоленская область, Республика Северная Осетия- Алания, Ингушетия, Белгородская область, Республика Карачаево-Черкессия, Астраханская область.</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Самый низкий долг (менее 10%) у таких субъектов федерации как Сахалинская область, Ненецкий автономный округ, Тюменская область, Санкт-Петербург, Алтайский край, Ханты-Мансийский округ Югра. При этом часть регионов (к примеру, Сахалинская область вообще не имеют долга).</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По абсолютным размерам долга выделяются Москва - 161, 7 млрд., Московская область – 103,2 млрд., Краснодарский край – 136, 3 млрд. Ниже приведен абсолютный размер государственного долга у 10 наиболее развитых (по отношению ВРП на душу населения) регионов.</w:t>
      </w:r>
    </w:p>
    <w:p w:rsidR="00BE1B60" w:rsidRPr="00AC2F0A" w:rsidRDefault="00BE1B60" w:rsidP="00BE1B60">
      <w:pPr>
        <w:spacing w:after="0" w:line="360" w:lineRule="auto"/>
        <w:ind w:firstLine="709"/>
        <w:jc w:val="both"/>
        <w:rPr>
          <w:rFonts w:ascii="Times New Roman" w:hAnsi="Times New Roman"/>
          <w:sz w:val="28"/>
          <w:szCs w:val="28"/>
        </w:rPr>
      </w:pPr>
    </w:p>
    <w:p w:rsidR="00BE1B60" w:rsidRPr="00AC2F0A"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1050" cy="3324225"/>
            <wp:effectExtent l="0" t="0" r="0" b="0"/>
            <wp:docPr id="19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Рисунок 5. Государственный долг в млрд. рублей на конец 2014 года. </w:t>
      </w:r>
      <w:r>
        <w:rPr>
          <w:rFonts w:ascii="Times New Roman" w:hAnsi="Times New Roman"/>
          <w:sz w:val="24"/>
          <w:szCs w:val="24"/>
        </w:rPr>
        <w:t>Посчитано по данным Минфина</w:t>
      </w:r>
    </w:p>
    <w:p w:rsidR="00BE1B60" w:rsidRPr="00AD7D2D" w:rsidRDefault="00BE1B60" w:rsidP="00BE1B60">
      <w:pPr>
        <w:spacing w:after="0" w:line="360" w:lineRule="auto"/>
        <w:ind w:firstLine="709"/>
        <w:jc w:val="both"/>
        <w:rPr>
          <w:rFonts w:ascii="Times New Roman" w:hAnsi="Times New Roman"/>
          <w:sz w:val="24"/>
          <w:szCs w:val="24"/>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Кроме абсолютного размера долга, важно</w:t>
      </w:r>
      <w:r>
        <w:rPr>
          <w:rFonts w:ascii="Times New Roman" w:hAnsi="Times New Roman"/>
          <w:sz w:val="24"/>
          <w:szCs w:val="24"/>
        </w:rPr>
        <w:t xml:space="preserve"> оценить относительный, который</w:t>
      </w:r>
      <w:r w:rsidRPr="00AD7D2D">
        <w:rPr>
          <w:rFonts w:ascii="Times New Roman" w:hAnsi="Times New Roman"/>
          <w:sz w:val="24"/>
          <w:szCs w:val="24"/>
        </w:rPr>
        <w:t xml:space="preserve"> предполагает оценку уровня долговой нагрузки (отношение долга к доходам). Согласно нормативным требованиям, критический уровень составляет 50% от уровня доходов.</w:t>
      </w:r>
    </w:p>
    <w:p w:rsidR="00BE1B60" w:rsidRPr="00AD7D2D" w:rsidRDefault="00BE1B60" w:rsidP="00BE1B60">
      <w:pPr>
        <w:spacing w:after="0" w:line="360" w:lineRule="auto"/>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5676900" cy="3695700"/>
            <wp:effectExtent l="0" t="0" r="0" b="0"/>
            <wp:docPr id="19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D7D2D">
        <w:rPr>
          <w:rFonts w:ascii="Times New Roman" w:hAnsi="Times New Roman"/>
          <w:sz w:val="24"/>
          <w:szCs w:val="24"/>
        </w:rPr>
        <w:t xml:space="preserve"> Рисунок 6. Уровень долговой нагрузки и критический уровень долговой нагрузки. Рассчитывается как отношение размера государственного долга региона по отношению к доходам без учета безвозмездных поступлений. На конец 2014 года. Критический уровень -50%. По данным Минфина Российской Федерации.</w:t>
      </w:r>
    </w:p>
    <w:p w:rsidR="00BE1B60" w:rsidRPr="00AC2F0A" w:rsidRDefault="00BE1B60" w:rsidP="00BE1B60">
      <w:pPr>
        <w:spacing w:after="0" w:line="360" w:lineRule="auto"/>
        <w:ind w:firstLine="709"/>
        <w:jc w:val="both"/>
        <w:rPr>
          <w:rFonts w:ascii="Times New Roman" w:hAnsi="Times New Roman"/>
          <w:sz w:val="28"/>
          <w:szCs w:val="28"/>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В рассмотренных регионах различная структура долга. Причем можно отметить, что структура долга сильно зависит от экономического и финансового положения региона.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В итоге возникает проблема. Регионы, имеющие устойчивое финансовое положение, профицит бюджета, не заинтересованы в привлечении публичного долга.</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 К примеру, очень своеобразная структура государственного долга в Тюменской области. Общий размер долга составляет всего 719, 4 млн. рублей, при этом 400 млн. рублей приходится на бюджетные кредиты, 319, 46 млн. приходится на государственные гарантии. В Тюменской области один из самых низких уровней государственного долга. Он составляет всего 0,029% (ниже только у Сахалинской области, у которой вообще отсутствует долг). По отношению к ВРП (без учета Ханты-Мансийского округа) долг составляет 0,3%. На 1 жителя области приходится 200 рублей государственного долга. Более того, в 2014 году произошло снижение уровня задолженности (на 46,8%), в то время как для остальных регионов характерен рост. Аналогичная картина в Ханты-Мансийском автономном округе, где произошло снижение долга на 96%, а на одного жителя приходится 9 тысяч рублей долга.</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На 1 июля 2015 года, по данным Минфина, область имеет долг размером в 433,921 млн, из которых на государственные гарантии приходится 321, 3 приходится на бюджетные кредиты, 112, 6 – на государственные гарантии. Других форм задолженности нет.</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Правительство области планирует увеличить объем государственного долга. В 2015 году – до 8 млрд. рублей, в 2016 – до 15,26 млрд., в 2017 – до 23,77 млрд. Такой рост показателей долговой нагрузки можно было бы назвать агрессивным, если бы не размер доходов бюджета Тюменской области.</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Как видно из следующей диаграммы, рост государственного долга вполне соотносится с ростом доходов бюджета области ( даже если учесть их низкий размер роста). Несмотря на значительное потенциальное повышение размеров государственного долга, соотношение долга к доходам к 2017 году планируется на уровне 19,67%, что не представляет потенциальной угрозы.</w:t>
      </w:r>
    </w:p>
    <w:p w:rsidR="00BE1B60" w:rsidRPr="0071099E"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1050" cy="2752725"/>
            <wp:effectExtent l="0" t="0" r="0" b="0"/>
            <wp:docPr id="19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Рисунок 6. Размер государственного долга и объем доходов Тюменско</w:t>
      </w:r>
      <w:r>
        <w:rPr>
          <w:rFonts w:ascii="Times New Roman" w:hAnsi="Times New Roman"/>
          <w:sz w:val="24"/>
          <w:szCs w:val="24"/>
        </w:rPr>
        <w:t>й области</w:t>
      </w:r>
      <w:r w:rsidRPr="00AD7D2D">
        <w:rPr>
          <w:rFonts w:ascii="Times New Roman" w:hAnsi="Times New Roman"/>
          <w:sz w:val="24"/>
          <w:szCs w:val="24"/>
        </w:rPr>
        <w:t xml:space="preserve"> (</w:t>
      </w:r>
      <w:hyperlink r:id="rId16" w:history="1">
        <w:r w:rsidRPr="00AD7D2D">
          <w:rPr>
            <w:rFonts w:ascii="Times New Roman" w:hAnsi="Times New Roman"/>
            <w:sz w:val="24"/>
            <w:szCs w:val="24"/>
          </w:rPr>
          <w:t>http://admtyumen.ru/ogv_ru/finance/finance/bugjet.htm</w:t>
        </w:r>
      </w:hyperlink>
      <w:r w:rsidRPr="00AD7D2D">
        <w:rPr>
          <w:rFonts w:ascii="Times New Roman" w:hAnsi="Times New Roman"/>
          <w:sz w:val="24"/>
          <w:szCs w:val="24"/>
        </w:rPr>
        <w:t>)</w:t>
      </w:r>
    </w:p>
    <w:p w:rsidR="00BE1B60" w:rsidRPr="0071099E" w:rsidRDefault="00BE1B60" w:rsidP="00BE1B60">
      <w:pPr>
        <w:spacing w:after="0" w:line="360" w:lineRule="auto"/>
        <w:ind w:firstLine="709"/>
        <w:jc w:val="both"/>
        <w:rPr>
          <w:rFonts w:ascii="Times New Roman" w:hAnsi="Times New Roman"/>
          <w:sz w:val="28"/>
          <w:szCs w:val="28"/>
        </w:rPr>
      </w:pP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Своеобразная структура государственного долга Тюменской области (большая доля государственных гарантий) связана с политикой руководства области, направленной на диверсификацию экономики, создание новых производств и рабочих мест в отраслях, не связанных с нефте и газодобычей. В 2015 область погасила все бюджетные кредиты и из видов государственного долга остались только государственные гарантии.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С другой стороны, есть регионы, у которых тяжелая экономическая ситуация прост не позволяет занимать на рынке публичных заимствований. Одна из самых тревожных ситуаций в области государственного долга у Краснодарского края. За последние 3 года публичный долг края вырос в 3 раза. На 1 июля 2015 года государственный долг достиг величины в 134, 894 млрд. Уровень долговой нагрузки составляет 75, 18% на начало 2015 года, что выше критических значений. Уровень долговой нагрузки на жителя области составил 25 тысяч рублей. По отношению к ВРП долг составляет 8,2%. Более того, в 2014 году регион нарастил долг на 9,79%. При этом размер долга, выраженного в государственных ценных бумагах, составляет 4,8 млрд. ( 4 выпуска погашением в 2015- 2017 годах), бюджетные кредиты составляют 65, 23 млрд., кредиты от банков – 52, 55 млрд., госгарантии – 12 млрд. Как и для всех регионов с критическим финансовым положением, самая большая доля заимствований приходится на коммерческие кредиты и бюджетные кредиты, наименьшая доля связана с государственными ценными бумагами.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Во многом тяжелое финансовое положение края облегчено бюджетными кредитами, сроки погашения которых растянуты с 2023 по 2032 год. В отличие от них погашение банковских кредитов предполагается с 2015 по 2019 год.</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 xml:space="preserve">Ухудшает ситуацию с финансовым положением и крайне тяжелое положение с дефицитом бюджета. В 2014 году он составил 10,79%, абсолютное значение 11, 394 млрд. рублей. </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С другой стороны, регионы, которые потенциально могли бы выходить на рынок публичных заимствований, используют бюджетные кредиты как наиболее дешевый способ привлечения заемных ресурсов.</w:t>
      </w:r>
    </w:p>
    <w:p w:rsidR="00BE1B60" w:rsidRPr="00AD7D2D" w:rsidRDefault="00BE1B60" w:rsidP="00BE1B60">
      <w:pPr>
        <w:spacing w:after="0" w:line="360" w:lineRule="auto"/>
        <w:ind w:firstLine="709"/>
        <w:jc w:val="both"/>
        <w:rPr>
          <w:rFonts w:ascii="Times New Roman" w:hAnsi="Times New Roman"/>
          <w:sz w:val="24"/>
          <w:szCs w:val="24"/>
        </w:rPr>
      </w:pPr>
      <w:r w:rsidRPr="00AD7D2D">
        <w:rPr>
          <w:rFonts w:ascii="Times New Roman" w:hAnsi="Times New Roman"/>
          <w:sz w:val="24"/>
          <w:szCs w:val="24"/>
        </w:rPr>
        <w:t>К таковым относится, к примеру, республика Татарстан. По итогам 2014 года дефицит регионального бюджета составил 9, 6 млрд. рублей, что составляет 6% по отношению к собственным доходам, в 2015 дефицит планируется на уровне 8,5 млрд. (5,1%), а в 2016 году ожидается рост дефицита до 12,5 млрд. (7%).</w:t>
      </w:r>
    </w:p>
    <w:p w:rsidR="00BE1B60" w:rsidRPr="00F913A9" w:rsidRDefault="00BE1B60" w:rsidP="00BE1B60">
      <w:pPr>
        <w:spacing w:after="0" w:line="360" w:lineRule="auto"/>
        <w:ind w:firstLine="709"/>
        <w:jc w:val="both"/>
        <w:rPr>
          <w:rFonts w:ascii="Times New Roman" w:hAnsi="Times New Roman"/>
          <w:sz w:val="24"/>
          <w:szCs w:val="24"/>
        </w:rPr>
      </w:pPr>
      <w:r w:rsidRPr="00F913A9">
        <w:rPr>
          <w:rFonts w:ascii="Times New Roman" w:hAnsi="Times New Roman"/>
          <w:sz w:val="24"/>
          <w:szCs w:val="24"/>
        </w:rPr>
        <w:t>Снижение доли государственных облигаций в общем объеме государственного долга субъектов федерации объясняется, наконец, снижением активности на рынке публичного долга регионов, которые долгое время были лидером по объемам размещений на российском рынке муниципальных облигаций. Это снижение произошло по целому ряду причин.</w:t>
      </w:r>
    </w:p>
    <w:p w:rsidR="00BE1B60" w:rsidRPr="00F913A9" w:rsidRDefault="00BE1B60" w:rsidP="00BE1B60">
      <w:pPr>
        <w:spacing w:after="0" w:line="360" w:lineRule="auto"/>
        <w:ind w:firstLine="709"/>
        <w:jc w:val="both"/>
        <w:rPr>
          <w:rFonts w:ascii="Times New Roman" w:hAnsi="Times New Roman"/>
          <w:sz w:val="24"/>
          <w:szCs w:val="24"/>
        </w:rPr>
      </w:pPr>
      <w:r w:rsidRPr="00F913A9">
        <w:rPr>
          <w:rFonts w:ascii="Times New Roman" w:hAnsi="Times New Roman"/>
          <w:sz w:val="24"/>
          <w:szCs w:val="24"/>
        </w:rPr>
        <w:t>Очень высокий долг у Московской области – 103,11 млрд. Но учитывая доходы бюджета и ВРП области, долговая нагрузка не очень большая – 26,71%, что позволяет области наращивать объем государственного долга. На одного жителя области приходится размер долга в 14,5 тысяч рублей. В 2014 году долг увеличился на 30,25%. По отношению к ВРП долг составил 4,04%.</w:t>
      </w:r>
    </w:p>
    <w:p w:rsidR="00BE1B60" w:rsidRPr="0042624F"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1050" cy="2752725"/>
            <wp:effectExtent l="0" t="0" r="0" b="0"/>
            <wp:docPr id="195"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1B60" w:rsidRPr="00F913A9" w:rsidRDefault="00BE1B60" w:rsidP="00BE1B60">
      <w:pPr>
        <w:spacing w:after="0" w:line="360" w:lineRule="auto"/>
        <w:ind w:firstLine="709"/>
        <w:jc w:val="both"/>
        <w:rPr>
          <w:rFonts w:ascii="Times New Roman" w:hAnsi="Times New Roman"/>
          <w:sz w:val="24"/>
          <w:szCs w:val="24"/>
        </w:rPr>
      </w:pPr>
      <w:r>
        <w:rPr>
          <w:rFonts w:ascii="Times New Roman" w:hAnsi="Times New Roman"/>
          <w:sz w:val="24"/>
          <w:szCs w:val="24"/>
        </w:rPr>
        <w:t>Рисунок 8</w:t>
      </w:r>
      <w:r w:rsidRPr="00F913A9">
        <w:rPr>
          <w:rFonts w:ascii="Times New Roman" w:hAnsi="Times New Roman"/>
          <w:sz w:val="24"/>
          <w:szCs w:val="24"/>
        </w:rPr>
        <w:t>. Абсолютная и относительная величина государственного долга Московской области (</w:t>
      </w:r>
      <w:hyperlink r:id="rId18" w:history="1">
        <w:r w:rsidRPr="00F913A9">
          <w:rPr>
            <w:rFonts w:ascii="Times New Roman" w:hAnsi="Times New Roman"/>
            <w:sz w:val="24"/>
            <w:szCs w:val="24"/>
          </w:rPr>
          <w:t>http://ob.mosreg.ru/index.php/analiz-ispolneniya-byudzhetov-moskovskoj-oblasti/6-sravnenie-otdelnykh-pokazatelej-ispolneniya-byudzhetov-sub-ektov/fk-0001-0011-moskva</w:t>
        </w:r>
      </w:hyperlink>
      <w:r w:rsidRPr="00F913A9">
        <w:rPr>
          <w:rFonts w:ascii="Times New Roman" w:hAnsi="Times New Roman"/>
          <w:sz w:val="24"/>
          <w:szCs w:val="24"/>
          <w:u w:val="single"/>
        </w:rPr>
        <w:t>)</w:t>
      </w:r>
    </w:p>
    <w:p w:rsidR="00BE1B60" w:rsidRPr="00F913A9" w:rsidRDefault="00BE1B60" w:rsidP="00BE1B60">
      <w:pPr>
        <w:spacing w:after="0" w:line="360" w:lineRule="auto"/>
        <w:ind w:firstLine="709"/>
        <w:jc w:val="both"/>
        <w:rPr>
          <w:rFonts w:ascii="Times New Roman" w:hAnsi="Times New Roman"/>
          <w:sz w:val="24"/>
          <w:szCs w:val="24"/>
        </w:rPr>
      </w:pPr>
    </w:p>
    <w:p w:rsidR="00BE1B60" w:rsidRPr="00F913A9" w:rsidRDefault="00BE1B60" w:rsidP="00BE1B60">
      <w:pPr>
        <w:spacing w:after="0" w:line="360" w:lineRule="auto"/>
        <w:ind w:firstLine="709"/>
        <w:jc w:val="both"/>
        <w:rPr>
          <w:rFonts w:ascii="Times New Roman" w:hAnsi="Times New Roman"/>
          <w:sz w:val="24"/>
          <w:szCs w:val="24"/>
        </w:rPr>
      </w:pPr>
      <w:r w:rsidRPr="00F913A9">
        <w:rPr>
          <w:rFonts w:ascii="Times New Roman" w:hAnsi="Times New Roman"/>
          <w:sz w:val="24"/>
          <w:szCs w:val="24"/>
        </w:rPr>
        <w:t xml:space="preserve">При этом у области нет государственных ценных бумаг, основной объем приходится на банковские кредиты – 64,1 млрд., на бюджетные кредиты – 38, 72, госгарантии – 0,29. Отсутствие государственных ценных бумаг связано с предыдущей историей. В свое время область благодаря агрессивному наращиванию государственного долга область оказалась на грани дефолта, и только государственная помощь спасла регион от банкротства. </w:t>
      </w:r>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3600" cy="3343275"/>
            <wp:effectExtent l="0" t="0" r="0" b="0"/>
            <wp:docPr id="196" name="Объект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1B60" w:rsidRPr="002C1EFB" w:rsidRDefault="00BE1B60" w:rsidP="00BE1B60">
      <w:pPr>
        <w:spacing w:after="0" w:line="360" w:lineRule="auto"/>
        <w:ind w:firstLine="709"/>
        <w:jc w:val="center"/>
        <w:rPr>
          <w:rFonts w:ascii="Times New Roman" w:hAnsi="Times New Roman"/>
          <w:sz w:val="28"/>
          <w:szCs w:val="28"/>
          <w:u w:val="single"/>
        </w:rPr>
      </w:pPr>
      <w:r w:rsidRPr="002C1EFB">
        <w:rPr>
          <w:rFonts w:ascii="Times New Roman" w:hAnsi="Times New Roman"/>
          <w:sz w:val="24"/>
          <w:szCs w:val="24"/>
        </w:rPr>
        <w:t>Рисунок 9. Динамика структуры государственного долга Московской области (</w:t>
      </w:r>
      <w:hyperlink r:id="rId20" w:history="1">
        <w:r w:rsidRPr="002C1EFB">
          <w:rPr>
            <w:rStyle w:val="a6"/>
            <w:rFonts w:ascii="Times New Roman" w:hAnsi="Times New Roman"/>
            <w:sz w:val="24"/>
            <w:szCs w:val="24"/>
          </w:rPr>
          <w:t>http://ob.mosreg.ru/index.php/analiz-ispolneniya-byudzhetov-moskovskoj-oblasti/6-sravnenie-otdelnykh-pokazatelej-ispolneniya-byudzhetov-sub-ektov/fk-0001-0011-moskva</w:t>
        </w:r>
      </w:hyperlink>
      <w:r w:rsidRPr="002C1EFB">
        <w:rPr>
          <w:rFonts w:ascii="Times New Roman" w:hAnsi="Times New Roman"/>
          <w:sz w:val="28"/>
          <w:szCs w:val="28"/>
          <w:u w:val="single"/>
        </w:rPr>
        <w:t>)</w:t>
      </w:r>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Интересна динамика государственного долга до 2013 года. Как известно, область после кризиса 2008 года находилась на грани дефолта. Как видно, в определенный момент размер государственного долга составлял 93% от доходов и если бы не государственная поддержка был бы объявлен дефолт.</w:t>
      </w:r>
    </w:p>
    <w:p w:rsidR="00BE1B60" w:rsidRPr="0042624F"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1050" cy="3371850"/>
            <wp:effectExtent l="0" t="0" r="0" b="0"/>
            <wp:docPr id="197"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E1B60"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Рисунок 10. Государственный долг Московской области в 2008-2013 годах. </w:t>
      </w:r>
      <w:hyperlink r:id="rId22" w:history="1">
        <w:r w:rsidRPr="002C1EFB">
          <w:rPr>
            <w:rFonts w:ascii="Times New Roman" w:hAnsi="Times New Roman"/>
            <w:sz w:val="24"/>
            <w:szCs w:val="24"/>
          </w:rPr>
          <w:t>http://ob.mosreg.ru/index.php/analiz-ispolneniya-byudzhetov-moskovskoj-oblasti/6-sravnenie-otdelnykh-pokazatelej-ispolneniya-byudzhetov-sub-ektov/fk-0001-0011-moskva</w:t>
        </w:r>
      </w:hyperlink>
      <w:r w:rsidRPr="002C1EFB">
        <w:rPr>
          <w:rFonts w:ascii="Times New Roman" w:hAnsi="Times New Roman"/>
          <w:sz w:val="24"/>
          <w:szCs w:val="24"/>
        </w:rPr>
        <w:t>)</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В 2014 году Московская область имела дефицит бюджета, превышающий критическое значение в 15%. На ноябрь 2014 года дефицит к доходам без учета безвозмездных поступлений составлял 20,77%. Больше уровень был только у Костромской области (29, 41%), Республики Хакасия (46,52%), Республики Тува (46,52%), Тамбовская области (27,93%), Бурятии (27,3%), Ставропольского и Забайкальского края (23,91 и 28,6%), Чечни(51,04%) и ряда других субъектов федерации.</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Один из самых низких уровней долга в Санкт-Петербурге. На 01 июля 2015 года государственный долг составил 14,632 млрд. На одного жителя области приходится государственного долга на 2, 8 тысяч рублей. При этом верхний предел госдолга утвержден на уровне 54, 290 млрд. рублей. </w:t>
      </w:r>
    </w:p>
    <w:p w:rsidR="00BE1B60" w:rsidRPr="0042624F"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91050" cy="2752725"/>
            <wp:effectExtent l="0" t="0" r="0" b="0"/>
            <wp:docPr id="198"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Рисунок 11. Структура государств</w:t>
      </w:r>
      <w:r>
        <w:rPr>
          <w:rFonts w:ascii="Times New Roman" w:hAnsi="Times New Roman"/>
          <w:sz w:val="24"/>
          <w:szCs w:val="24"/>
        </w:rPr>
        <w:t>енного долга Санкт-Петербурга (</w:t>
      </w:r>
      <w:hyperlink r:id="rId24" w:history="1">
        <w:r w:rsidRPr="002C1EFB">
          <w:rPr>
            <w:rFonts w:ascii="Times New Roman" w:hAnsi="Times New Roman"/>
            <w:sz w:val="24"/>
            <w:szCs w:val="24"/>
          </w:rPr>
          <w:t>http://fincom.spb.ru/comfin/acts/budjet.htm</w:t>
        </w:r>
      </w:hyperlink>
      <w:r w:rsidRPr="002C1EFB">
        <w:rPr>
          <w:rFonts w:ascii="Times New Roman" w:hAnsi="Times New Roman"/>
          <w:sz w:val="24"/>
          <w:szCs w:val="24"/>
        </w:rPr>
        <w:t>)</w:t>
      </w:r>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При этом на гособлигации приходится 8, 86 млрд., 5, 77 млрд. приходится на бюджетные кредиты, нет задолженности по коммерческим кредитам и государственным гарантиям. В последние годы Правительство Петербурга проводило целенаправленную политику по снижению (относительному и абсолютному) госдолга. Так, в 2014 году объем долга снизился на 24,19%. И это при том, что Санкт-Петербург имеет один из самых низких показателей уровней государственного долга – 3,49%. Из приведенной таблицы видно, что размер государственного долга Санкт-Петербурга остается в последнее десятилетие на низком уровне. По отношению к ВРП города долг составляет 0,57%.</w:t>
      </w:r>
    </w:p>
    <w:p w:rsidR="00BE1B60" w:rsidRDefault="00BE1B60" w:rsidP="00BE1B60">
      <w:pPr>
        <w:spacing w:after="0" w:line="360" w:lineRule="auto"/>
        <w:ind w:firstLine="709"/>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572762" cy="2746629"/>
            <wp:effectExtent l="12192" t="6096" r="6096" b="0"/>
            <wp:docPr id="19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Рисунок 12. Государственный долг Санкт-Петербурга в процентах к доходам. </w:t>
      </w:r>
      <w:hyperlink r:id="rId26" w:history="1">
        <w:r w:rsidRPr="002C1EFB">
          <w:rPr>
            <w:sz w:val="24"/>
            <w:szCs w:val="24"/>
          </w:rPr>
          <w:t>http://fincom.spb.ru/comfin/acts/budjet.htm</w:t>
        </w:r>
      </w:hyperlink>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В 2011-2013 произошел рост его абсолютного размера, но при этом относительный размер долга вырос не значительно.</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Интересно, что при этом Правительство Санкт-Петербурга объявляет о планах существенно нарастить объем государственного долга в ближайшие годы. Если в последние годы происходило сокращение абсолютного размера государственного долга и его относительной величины, то согласно Бюджету, предполагается рост объемов государственного долга в 2015 до 78,57 млрд. руб.(19,9% от доходов), 120,573 млрд. (28,3%) в 2016 году, 156,56 млрд.руб. (34,1%) в 2017 году.</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При этом предполагается, что в ближайшие годы дефицит бюджета будет уменьшаться. Тем не менее, в ближайшие три года предполагается сохранение дефицита бюджета.</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Из приведенной таблицы видно, что основной упор Правительство Санкт-Петербурга делает на расширение выпуска государственных облигаций.</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Аналогичная ситуация и с долгом Москвы. По Москве на 1 февраля 2015 года объем государственного долга составлял 165,73 млрд. рублей. Из них 111,25 приходилось на государственные облигации, 31,79 млрд. – на коммерческие кредиты, 21,53 – на бюджетные кредиты, 1,150 – на государственные гарантии. </w:t>
      </w:r>
    </w:p>
    <w:p w:rsidR="00BE1B60" w:rsidRDefault="00BE1B60" w:rsidP="00BE1B60">
      <w:pPr>
        <w:spacing w:after="0" w:line="360" w:lineRule="auto"/>
        <w:ind w:firstLine="709"/>
        <w:jc w:val="both"/>
      </w:pPr>
      <w:r>
        <w:rPr>
          <w:rFonts w:ascii="Times New Roman" w:hAnsi="Times New Roman"/>
          <w:noProof/>
          <w:sz w:val="28"/>
          <w:szCs w:val="28"/>
          <w:lang w:eastAsia="ru-RU"/>
        </w:rPr>
        <w:drawing>
          <wp:inline distT="0" distB="0" distL="0" distR="0">
            <wp:extent cx="4591050" cy="3571875"/>
            <wp:effectExtent l="0" t="0" r="0" b="0"/>
            <wp:docPr id="200"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Рисунок 13. Структура госдолга Москвы </w:t>
      </w:r>
      <w:hyperlink r:id="rId28" w:history="1">
        <w:r w:rsidRPr="002C1EFB">
          <w:rPr>
            <w:rFonts w:ascii="Times New Roman" w:hAnsi="Times New Roman"/>
            <w:sz w:val="24"/>
            <w:szCs w:val="24"/>
          </w:rPr>
          <w:t>http://budget.mos.ru/debt_index</w:t>
        </w:r>
      </w:hyperlink>
    </w:p>
    <w:p w:rsidR="00BE1B60" w:rsidRPr="0042624F" w:rsidRDefault="00BE1B60" w:rsidP="00BE1B60">
      <w:pPr>
        <w:spacing w:after="0" w:line="360" w:lineRule="auto"/>
        <w:ind w:firstLine="709"/>
        <w:jc w:val="both"/>
        <w:rPr>
          <w:rFonts w:ascii="Times New Roman" w:hAnsi="Times New Roman"/>
          <w:sz w:val="28"/>
          <w:szCs w:val="28"/>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Отношение госдолга к расходам бюджета остается на достаточно низком уровне 14,9%. График погашения долга предполагает, что в 2015 году Москва должна выплатить 27,4 млрд, рублей, 2016 – 78, 2017 – 4,4 млрд., 2022 – 30 млрд. В последние пять лет происходит сокращение абсолютного и относительного размера государственного долга. </w:t>
      </w:r>
    </w:p>
    <w:p w:rsidR="00BE1B60" w:rsidRPr="0042624F"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686300" cy="4467225"/>
            <wp:effectExtent l="0" t="0" r="0" b="0"/>
            <wp:docPr id="201"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Рисунок 14. Госдолг Москвы в абсолютном и относительном выражении. </w:t>
      </w:r>
      <w:hyperlink r:id="rId30" w:history="1">
        <w:r w:rsidRPr="002C1EFB">
          <w:rPr>
            <w:rFonts w:ascii="Times New Roman" w:hAnsi="Times New Roman"/>
            <w:sz w:val="24"/>
            <w:szCs w:val="24"/>
          </w:rPr>
          <w:t>http://budget.mos.ru/debt_index</w:t>
        </w:r>
      </w:hyperlink>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На 1 мая 2015 года размер государственного долга составил 157 млрд. рублей ( при том что предельный уровень государственного долга установлен на уровне 250,5 млрд. рублей, на 2016 этот лимит составляет 293,3 млрд, на 2017 – 351,3 млрд., что позволит в случае ухудшения финансовой ситуации увеличивать заимствования). По отношению к ВРП долг составляет 1,35%.</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Основная масса долга приходится на государственные облигации , при том, что их объем упал с 2010 года, когда он составлял 233, 89 млрд. (когда был достигнут максимальный объем обращающихся государственных облигаций Москвы) в 2 раза. Уменьшилась и величина коммерческих кредитов с 31,5 до 23,12 млрд. рублей, бюджетных кредитов с 31,787 до 21,511 (максимальный объем их составил в 2011 году 40.7 млрд. рублей).</w:t>
      </w:r>
    </w:p>
    <w:p w:rsidR="00BE1B60" w:rsidRPr="0042624F" w:rsidRDefault="00BE1B60" w:rsidP="00BE1B6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53125" cy="3105150"/>
            <wp:effectExtent l="0" t="0" r="0" b="0"/>
            <wp:docPr id="202"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C1EFB">
        <w:rPr>
          <w:rFonts w:ascii="Times New Roman" w:hAnsi="Times New Roman"/>
          <w:sz w:val="24"/>
          <w:szCs w:val="24"/>
        </w:rPr>
        <w:t xml:space="preserve"> Рисунок 14. Динамика госдолга Москвы и его структуры. </w:t>
      </w:r>
      <w:hyperlink r:id="rId32" w:history="1">
        <w:r w:rsidRPr="002C1EFB">
          <w:rPr>
            <w:rStyle w:val="a6"/>
            <w:rFonts w:ascii="Times New Roman" w:hAnsi="Times New Roman"/>
            <w:sz w:val="24"/>
            <w:szCs w:val="24"/>
          </w:rPr>
          <w:t>http://budget.mos.ru/debt_index</w:t>
        </w:r>
      </w:hyperlink>
    </w:p>
    <w:p w:rsidR="00BE1B60"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Что касается плана заимствований, то согласно закону о бюджете предполагается наращивание объемов государственного долга. Установлен предельный государственного долга в размере 250, 47 млрд. рублей (верхний предел на 1 января 2016 года в размере 229,252 млрд.) на 2015 год, в размере 293, 252 млрд. на 2016 год, 351,297 млрд. на 2017 год. При этом после погашения валютного долга в 2016 году не предполагается заимствование в иностранной валюте. </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При этом предполагается выпуск государственных ценных в 2015 году на сумму 112,747 млрд. (с учетом погашения государственных ценных бумаг на 22 млрд. и возврат бюджетных кредитов на сумму 1,494 млрд.). В 2016 года Москва планирует привлечь путем выпуска государственных облигаций 102,1 млрд. рублей, в 2017 -127,1 млрд. При этом в 2016 году город должен погасить государственных ценных бумаг на 36, 2 млрд. рублей, в 2017 – на 38,699 млрд. рублей и возвратить бюджетные кредиты на 30 млрд. рублей.</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Из вышеприведенного анализа видно, что проведение консервативной долговой политики со стороны Москвы и Санкт-Петербурга привело к абсолютному сокращению объема государственных облигаций двух наиболее устойчивых в финансовом отношении регионов. А это в свою очередь снизило долю государственных облигаций в общем объеме государственного долга субъектов федерации.</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При этом анализ показывает, что новых эмитентов, способных заменить прежних лидеров, на рынке не появляется в силу указанных выше причин (устойчивым регионам публичные заимствования ни к чему), а регионам со сложным финансовым положением выход на рынок публичного долга не представляется возможным.</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b/>
          <w:sz w:val="24"/>
          <w:szCs w:val="24"/>
        </w:rPr>
        <w:t>Число эмитентов. Новые размещения</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Проблемой рынка стало сокращение числа эмитентов муниципальных облигаций. Так, если на конец сентября 2006 года на рынке обращались облигации 53 эмитентов, то на 30 сентября 205 года только 44 эмитента. Как в вышеприведенных графиках, мы видим резкое снижение числа эмитентов в 2011-2012 году. Для сравнения, в США в 2010 г. было зарегистрированы 33850 выпусков муниципальных облигаций.</w:t>
      </w:r>
    </w:p>
    <w:p w:rsidR="00BE1B60" w:rsidRDefault="00BE1B60" w:rsidP="00BE1B60">
      <w:pPr>
        <w:spacing w:after="0" w:line="360" w:lineRule="auto"/>
        <w:ind w:firstLine="709"/>
        <w:jc w:val="both"/>
      </w:pPr>
      <w:r>
        <w:rPr>
          <w:noProof/>
          <w:sz w:val="28"/>
          <w:szCs w:val="28"/>
          <w:lang w:eastAsia="ru-RU"/>
        </w:rPr>
        <w:drawing>
          <wp:inline distT="0" distB="0" distL="0" distR="0">
            <wp:extent cx="5362575" cy="3571875"/>
            <wp:effectExtent l="0" t="0" r="0" b="0"/>
            <wp:docPr id="203"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Рисунок 15. Число эмитентов муниципальных облигаций. ( по данным cbonds)</w:t>
      </w:r>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Выше уже описывались причины уменьшения числа новых эмитентов на рынке муниципальных облигаций.</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Небольшой объем приходится и на рынок облигаций муниципальных образований. Как видно из ниже приведенного графика, объем этого рынка вообще не растет и колеблется около 12 млрд. рублей. В то время как общий объем государственного долга муниципальных образований составил на 30 сентября 2015 года 313 млрд. Это означает, что доля государственных облигаций в общем объеме долга муниципальных образований составила всего 4,06%. С чем связана такая низкая доля облигаций муниципальных образований? Этому несколько причин.</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Первая связана с недостаточно четко отрегулированной системой финансовых взаимоотношений между муниципальным образованием и субъектом федерации, куда это муниципальное образование входит. Постоянно меняющийся порядок отчислений от муниципальных образований и трансфертов в обратную сторону делают очень сложной планирование финансов муниципального образования и рискованным покупку облигаций муниципального образования. С другой стороны, выпуски облигаций муниципальных образований как правило не предполагают выпуска бумаг на большую сумму. На 30 сентября 2015 года находятся выпуски бумаг администрации города Краснодара на 1, 100 млрд, три выпуска бумаг Волгограда на 3 млрд. рублей, Волжского на 1 млрд. бумаг Казани на 1 млрд., 3 выпуска облигаций Новосибирска на 9 млрд., Омска на 1 млрд., 2 выпуска Томска на 2 млрд. 7 эмитентов 11 выпусков. Средний объем выпуска составляет 1 млрд. рублей. На рынок бы потенциально могли выйти другие эмитенты, но небольшой объем эмиссии делает их выпуск непривлекательным. Чтобы решить эту проблему, достаточно создать агентство, которые могло бы выполнять функции по структурированию выпусков муниципальных ценных бумаг путем их объединения.</w:t>
      </w:r>
    </w:p>
    <w:p w:rsidR="00BE1B60" w:rsidRDefault="00BE1B60" w:rsidP="00BE1B60">
      <w:pPr>
        <w:spacing w:after="0" w:line="360" w:lineRule="auto"/>
        <w:ind w:firstLine="709"/>
        <w:jc w:val="both"/>
      </w:pPr>
      <w:r>
        <w:rPr>
          <w:noProof/>
          <w:lang w:eastAsia="ru-RU"/>
        </w:rPr>
        <w:drawing>
          <wp:inline distT="0" distB="0" distL="0" distR="0">
            <wp:extent cx="4591050" cy="3781425"/>
            <wp:effectExtent l="0" t="0" r="0" b="0"/>
            <wp:docPr id="204"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Рисунок 16. Объем рынка облигаций муниципальных образований ( в млрд. рублей) (по данным cbonds)</w:t>
      </w:r>
    </w:p>
    <w:p w:rsidR="00BE1B60" w:rsidRPr="002C1EFB" w:rsidRDefault="00BE1B60" w:rsidP="00BE1B60">
      <w:pPr>
        <w:spacing w:after="0" w:line="360" w:lineRule="auto"/>
        <w:ind w:firstLine="709"/>
        <w:jc w:val="both"/>
        <w:rPr>
          <w:rFonts w:ascii="Times New Roman" w:hAnsi="Times New Roman"/>
          <w:sz w:val="24"/>
          <w:szCs w:val="24"/>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 xml:space="preserve">Годовые объемы новых размещений рублевых муниципальных облигаций в период 2007-2014 г. составляли в среднем 0,1%-0,2% ВВП, максимум фиксировался в 2009 г. – 0,5%. </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Новые размещения муниципальных облигаций демонстрируют сезонность: полностью отсутствуют новые размещения в первом квартале года, что возможно объясняется сложной процедурой согласования размещения и администрирования процесса выпуска, максимум выпусков регистрируется в III и IV кварталах.</w:t>
      </w:r>
    </w:p>
    <w:p w:rsidR="00BE1B60" w:rsidRDefault="00BE1B60" w:rsidP="00BE1B60">
      <w:pPr>
        <w:spacing w:after="0" w:line="36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572762" cy="3096577"/>
            <wp:effectExtent l="12192" t="6096" r="6096" b="2477"/>
            <wp:docPr id="205"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Рисунок 17. Объемы новых размещений муниципальных облигаций по месяцам ( в млрд.</w:t>
      </w:r>
      <w:r>
        <w:rPr>
          <w:rFonts w:ascii="Times New Roman" w:hAnsi="Times New Roman"/>
          <w:sz w:val="24"/>
          <w:szCs w:val="24"/>
        </w:rPr>
        <w:t xml:space="preserve"> </w:t>
      </w:r>
      <w:r w:rsidRPr="002C1EFB">
        <w:rPr>
          <w:rFonts w:ascii="Times New Roman" w:hAnsi="Times New Roman"/>
          <w:sz w:val="24"/>
          <w:szCs w:val="24"/>
        </w:rPr>
        <w:t>рублей).</w:t>
      </w:r>
    </w:p>
    <w:p w:rsidR="00BE1B60" w:rsidRPr="00230B15" w:rsidRDefault="00BE1B60" w:rsidP="00BE1B60">
      <w:pPr>
        <w:spacing w:after="0" w:line="360" w:lineRule="auto"/>
        <w:ind w:firstLine="709"/>
        <w:jc w:val="both"/>
        <w:rPr>
          <w:rFonts w:ascii="Times New Roman" w:hAnsi="Times New Roman"/>
          <w:sz w:val="28"/>
          <w:szCs w:val="28"/>
        </w:rPr>
      </w:pP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Такая ситуация прослеживается и в 2015 году. Если в 1 квартал 2015 году новых эмиссий на рынке муниципальных облигаций не было, то, начиная с апреля по сентябрь, на рынке прошло 14 новых размещений на 65,35 млрд. рублей. При этом объем погашений составил 31,08 млрд. рублей. В 2014 г. самый большой объем эмиссии пришелся на Красноярский край (2 выпуска на 18,25 млрд. руб.), которому удалось занять 1 место в рейтинге внутренних эмитентов (муниципальный рынок) Cbonds, обеспечив 16,44% всей эмиссии муниципальных бумаг. Всего в 2014 г. было размещено 23 выпуска муниципальных облигаций на сумму 110,988 млрд. руб.</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К концу сентября 2015 года на рынке обращалось 116 выпусков 44 эмитентов (включая субъектов федерации и муниципальных образований). При этом у 9 эмитентов, чьи бумаги обращаются на рынке, тройка крупнейших рейтинговых агентств отозвала рейтинг, а у одного эмитента приостановлен рейтинг. Для сравнения, в конце 2007 г. в обращении было 122 выпусков муниципальных облигаций 54 эмитентов.</w:t>
      </w:r>
    </w:p>
    <w:p w:rsidR="00BE1B60" w:rsidRPr="002C1EFB" w:rsidRDefault="00BE1B60" w:rsidP="00BE1B60">
      <w:pPr>
        <w:spacing w:after="0" w:line="360" w:lineRule="auto"/>
        <w:ind w:firstLine="709"/>
        <w:jc w:val="both"/>
        <w:rPr>
          <w:rFonts w:ascii="Times New Roman" w:hAnsi="Times New Roman"/>
          <w:sz w:val="24"/>
          <w:szCs w:val="24"/>
        </w:rPr>
      </w:pPr>
      <w:r w:rsidRPr="002C1EFB">
        <w:rPr>
          <w:rFonts w:ascii="Times New Roman" w:hAnsi="Times New Roman"/>
          <w:sz w:val="24"/>
          <w:szCs w:val="24"/>
        </w:rPr>
        <w:t>При этом рынок остается высококонцентрированным. При этом самый большой объем эмиссии принадлежит Москве. По данным Cbonds, доля Москвы с 6 выпусками на общую cумму 185 млрд. составляет 26, 68% от общего объема государственных облигаций субъектов федерации и муниципальных образований. На долю трех крупнейших эмитентов (кроме Москвы включая Самарскую область и Красноярский край) приходится 44,29% общего объема всего объема размещенных государственных облигаций.</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Дюрация рынка муниципальных облигаций, достигнув максимума осенью 2014 года, достаточно резко снизилась на фоне роста доходности и снижения цен. Так, произошло резкое снижение дюрации портфеля муниципальных облигаций (число дней до погашения с учетом выплат, которые совершает эмитент). Дюрация отражает длину тех денег, на которые может рассчитывать эмитент муниципальных облигаций. Как видно из приведенного ниже графика, дюрация муниципальных облигаций резко снизилась в конце 2014-начале 2015 года и не восстановилась до докризисного уровня.</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Подобное снижение было логично, поскольку в условиях роста стоимости заемных ресурсов инвесторы предпочитали инвестиции в бумаги с более коротким сроком погашения.</w:t>
      </w:r>
    </w:p>
    <w:p w:rsidR="00BE1B60" w:rsidRPr="00232474" w:rsidRDefault="00BE1B60" w:rsidP="00BE1B60">
      <w:pPr>
        <w:spacing w:after="0" w:line="360" w:lineRule="auto"/>
        <w:ind w:firstLine="709"/>
        <w:jc w:val="both"/>
        <w:rPr>
          <w:rFonts w:ascii="Times New Roman" w:hAnsi="Times New Roman"/>
          <w:sz w:val="24"/>
          <w:szCs w:val="24"/>
        </w:rPr>
      </w:pPr>
    </w:p>
    <w:p w:rsidR="00BE1B60" w:rsidRPr="00232474" w:rsidRDefault="00BE1B60" w:rsidP="00BE1B60">
      <w:pPr>
        <w:spacing w:after="0" w:line="360" w:lineRule="auto"/>
        <w:ind w:firstLine="709"/>
        <w:jc w:val="both"/>
        <w:rPr>
          <w:rFonts w:ascii="Times New Roman" w:hAnsi="Times New Roman"/>
          <w:b/>
          <w:sz w:val="24"/>
          <w:szCs w:val="24"/>
        </w:rPr>
      </w:pPr>
      <w:r>
        <w:rPr>
          <w:rFonts w:ascii="Times New Roman" w:hAnsi="Times New Roman"/>
          <w:b/>
          <w:sz w:val="24"/>
          <w:szCs w:val="24"/>
        </w:rPr>
        <w:t>Структура инвесторов</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 xml:space="preserve">Во многом проблемы российского рынка муниципальных облигаций связаны со сложившейся структурой инвесторов на рынке. </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По сравнению с рынком государственных облигаций доля нерезидентов в объеме торгов муниципальными облигациями составляла в 4 квартале 2014 года была меньше и составлял 12% ( на рынке государственных облигаций 30%). Возможно, столь невысокая доля нерезидентов на рынках корпоративных и муниципальных облигаций связана с нежеланием нерезидентов брать на себя кредитные риски регионов и российских компаний. Тем более, на рынке корпоративных облигаций у нерезидентов есть альтернатива в виде рынка еврооблигаций российских эмитентов, где для них еще отсутствует валютный риск. Более того, к примеру, на рынке муниципальных облигаций доля нерезидентов с 1 квартала 2012 снизилась с 20% до 12% к концу 2014 года. Очевидно, это реакция на снижение доли на рынке таких надежных эмитентов как Москва и Санкт-Петербург (которые существенно сократили объемы выпуска муниципальных облигаций). Интересно отметить более высокую долю на этом сегменте рынка управляющих компаний (доверительные управляющие) и более высокую доля физических лиц. валютный риск. Более того, к примеру, на рынке муниципальных облигаций доля нерезидентов с 1 квартала 2012 снизилась с 20% до 12% к концу 2014 года. Для сравнения интересно сравнить структуру инвесторов на рынке муниципальных облигаций со структурой инвесторов на рынке муниципальных облигаций США.</w:t>
      </w:r>
    </w:p>
    <w:p w:rsidR="00BE1B60" w:rsidRDefault="00BE1B60" w:rsidP="00BE1B60">
      <w:pPr>
        <w:spacing w:after="0" w:line="360" w:lineRule="auto"/>
        <w:ind w:firstLine="709"/>
        <w:jc w:val="both"/>
        <w:rPr>
          <w:rFonts w:ascii="Times New Roman" w:hAnsi="Times New Roman"/>
          <w:noProof/>
          <w:sz w:val="32"/>
          <w:szCs w:val="32"/>
          <w:lang w:eastAsia="ru-RU"/>
        </w:rPr>
      </w:pPr>
      <w:r>
        <w:rPr>
          <w:rFonts w:ascii="Times New Roman" w:hAnsi="Times New Roman"/>
          <w:noProof/>
          <w:sz w:val="32"/>
          <w:szCs w:val="32"/>
          <w:lang w:eastAsia="ru-RU"/>
        </w:rPr>
        <w:drawing>
          <wp:inline distT="0" distB="0" distL="0" distR="0">
            <wp:extent cx="4572762" cy="3812096"/>
            <wp:effectExtent l="12192" t="6096" r="6096" b="1333"/>
            <wp:docPr id="20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Рисунок 23. Структура инвесторов на вторичных торгах муниципальными облигациями ( 4 квартал 2014 года) (по данным Московской биржи)</w:t>
      </w:r>
    </w:p>
    <w:p w:rsidR="00BE1B60" w:rsidRPr="00232474" w:rsidRDefault="00BE1B60" w:rsidP="00BE1B60">
      <w:pPr>
        <w:spacing w:after="0" w:line="360" w:lineRule="auto"/>
        <w:ind w:firstLine="709"/>
        <w:jc w:val="both"/>
        <w:rPr>
          <w:rFonts w:ascii="Times New Roman" w:hAnsi="Times New Roman"/>
          <w:sz w:val="24"/>
          <w:szCs w:val="24"/>
        </w:rPr>
      </w:pPr>
    </w:p>
    <w:p w:rsidR="00BE1B60" w:rsidRPr="00AC5683" w:rsidRDefault="00BE1B60" w:rsidP="00BE1B60">
      <w:pPr>
        <w:spacing w:after="0" w:line="360" w:lineRule="auto"/>
        <w:ind w:firstLine="709"/>
        <w:jc w:val="both"/>
        <w:rPr>
          <w:rFonts w:ascii="Times New Roman" w:hAnsi="Times New Roman"/>
          <w:sz w:val="28"/>
          <w:szCs w:val="28"/>
        </w:rPr>
      </w:pPr>
      <w:r w:rsidRPr="00232474">
        <w:rPr>
          <w:rFonts w:ascii="Times New Roman" w:hAnsi="Times New Roman"/>
          <w:sz w:val="24"/>
          <w:szCs w:val="24"/>
        </w:rPr>
        <w:t>Структура инвесторов на рынке муниципальных облигаций наиболее сильно отличается от российской в США.</w:t>
      </w:r>
    </w:p>
    <w:p w:rsidR="00BE1B60" w:rsidRPr="00AC5683" w:rsidRDefault="00BE1B60" w:rsidP="00BE1B60">
      <w:pPr>
        <w:spacing w:after="0" w:line="360" w:lineRule="auto"/>
        <w:ind w:firstLine="709"/>
        <w:jc w:val="both"/>
        <w:rPr>
          <w:rFonts w:ascii="Times New Roman" w:hAnsi="Times New Roman"/>
          <w:sz w:val="32"/>
          <w:szCs w:val="32"/>
        </w:rPr>
      </w:pPr>
      <w:r>
        <w:rPr>
          <w:rFonts w:ascii="Times New Roman" w:hAnsi="Times New Roman"/>
          <w:noProof/>
          <w:sz w:val="32"/>
          <w:szCs w:val="32"/>
          <w:lang w:eastAsia="ru-RU"/>
        </w:rPr>
        <w:drawing>
          <wp:inline distT="0" distB="0" distL="0" distR="0">
            <wp:extent cx="4572762" cy="3679507"/>
            <wp:effectExtent l="12192" t="6096" r="6096" b="572"/>
            <wp:docPr id="20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1B60" w:rsidRPr="00AC5683" w:rsidRDefault="00BE1B60" w:rsidP="00BE1B60">
      <w:pPr>
        <w:spacing w:after="0" w:line="360" w:lineRule="auto"/>
        <w:ind w:firstLine="709"/>
        <w:jc w:val="both"/>
        <w:rPr>
          <w:rFonts w:ascii="Times New Roman" w:hAnsi="Times New Roman"/>
          <w:sz w:val="32"/>
          <w:szCs w:val="32"/>
        </w:rPr>
      </w:pPr>
      <w:r w:rsidRPr="00232474">
        <w:rPr>
          <w:rFonts w:ascii="Times New Roman" w:hAnsi="Times New Roman"/>
          <w:sz w:val="24"/>
          <w:szCs w:val="24"/>
        </w:rPr>
        <w:t>Рисунок 24. Структура инвесторов на рынке муниципальных облигаций США в 1 квартале 2015 года</w:t>
      </w:r>
      <w:r>
        <w:rPr>
          <w:rFonts w:ascii="Times New Roman" w:hAnsi="Times New Roman"/>
          <w:sz w:val="24"/>
          <w:szCs w:val="24"/>
        </w:rPr>
        <w:t xml:space="preserve"> </w:t>
      </w:r>
      <w:r>
        <w:rPr>
          <w:rStyle w:val="a5"/>
          <w:rFonts w:ascii="Times New Roman" w:hAnsi="Times New Roman"/>
          <w:sz w:val="28"/>
          <w:szCs w:val="28"/>
        </w:rPr>
        <w:footnoteReference w:id="11"/>
      </w:r>
    </w:p>
    <w:p w:rsidR="00BE1B60" w:rsidRPr="00232474" w:rsidRDefault="00BE1B60" w:rsidP="00BE1B60">
      <w:pPr>
        <w:spacing w:after="0" w:line="360" w:lineRule="auto"/>
        <w:ind w:firstLine="709"/>
        <w:jc w:val="both"/>
        <w:rPr>
          <w:rFonts w:ascii="Times New Roman" w:hAnsi="Times New Roman"/>
          <w:sz w:val="24"/>
          <w:szCs w:val="24"/>
        </w:rPr>
      </w:pPr>
    </w:p>
    <w:p w:rsidR="00BE1B60"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Согласно данным статистике SIFMA, самую большую долю в структуре владения американскими муниципальными облигациями занимают две группы инвесторов – домохозяйства и взаимные фонды, инвестирующие именно в муниципальные ценные бумаги. Наоборот, к примеру, доля коммерческих банков во владении американскими муниципальными облигациями в последнее десятилетие резко снижается. Связано это с двумя факторами, первый из них – фискальный. Муниципальные облигации, как правило, имеют налоговые льготы. Но эти льготы распространяются на резидентов штата, округа, муниципального образования (под них не попадают многофилиальные банки). Второй фактор объясняет популярность муниципальных облигаций среди частных инвесторов. Кроме налогового фактора, это связано с тем, облигации выпускаются под конкретные проекты, в реализации и необходимости которых заинтересовано прежде всего население данного штата и муниципального образования.</w:t>
      </w:r>
    </w:p>
    <w:p w:rsidR="00BE1B60" w:rsidRPr="00232474" w:rsidRDefault="00BE1B60" w:rsidP="00BE1B60">
      <w:pPr>
        <w:spacing w:after="0" w:line="360" w:lineRule="auto"/>
        <w:ind w:firstLine="709"/>
        <w:jc w:val="both"/>
        <w:rPr>
          <w:rFonts w:ascii="Times New Roman" w:hAnsi="Times New Roman"/>
          <w:sz w:val="24"/>
          <w:szCs w:val="24"/>
        </w:rPr>
      </w:pPr>
    </w:p>
    <w:p w:rsidR="00BE1B60" w:rsidRPr="00232474" w:rsidRDefault="00BE1B60" w:rsidP="00BE1B60">
      <w:pPr>
        <w:keepNext/>
        <w:spacing w:after="0" w:line="360" w:lineRule="auto"/>
        <w:ind w:firstLine="709"/>
        <w:jc w:val="both"/>
        <w:outlineLvl w:val="1"/>
        <w:rPr>
          <w:rFonts w:ascii="Times New Roman" w:hAnsi="Times New Roman"/>
          <w:b/>
          <w:sz w:val="24"/>
          <w:szCs w:val="24"/>
        </w:rPr>
      </w:pPr>
      <w:r w:rsidRPr="00232474">
        <w:rPr>
          <w:rFonts w:ascii="Times New Roman" w:hAnsi="Times New Roman"/>
          <w:b/>
          <w:sz w:val="24"/>
          <w:szCs w:val="24"/>
        </w:rPr>
        <w:t>Недостаток инструментов на рынке муниципальных облигаций</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На российском рынке муниципальных облигаций не хватает широкого набора инструментов. Так, в частности, Ленинградская область пыталась выпустить инфраструктурные облигации. Однако выпуск таких облигаций не удался. Проблема эмиссии этих бумаг связана с тем, что Бюджетный кодекс запрещает привлекать займы под конкретные цели. Расходы бюджета не могут быть увязаны с определенными доходами и источниками финансирования. Пока бюджетный кодекс запрещает выпуск инфраструктурных облигаций, размещение региональных инфраструктурных облигаций</w:t>
      </w:r>
      <w:r w:rsidRPr="00232474">
        <w:rPr>
          <w:rFonts w:ascii="Times New Roman" w:hAnsi="Times New Roman"/>
          <w:sz w:val="24"/>
          <w:szCs w:val="24"/>
        </w:rPr>
        <w:tab/>
        <w:t xml:space="preserve"> возможно при государственных гарантиях субъекта федерации. Но у инвесторов возникнет вопрос о том, насколько эти гарантии будут выполнены в случае возникновения дефолта. </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Кроме того, на российском рынке муниципальных облигаций отсутствует выпуск облигаций целевого назначения (в силу тех ограничений, которые есть в Бюджетном Кодексе). К примеру, на американском рынке муниципальных облигаций по объему выпуска в порядке убывания идут бумаги, предназначенные для реализации проектов в области образования, здравоохранения, жилищного строительства, свободные от налогов (</w:t>
      </w:r>
      <w:r w:rsidRPr="00232474">
        <w:rPr>
          <w:rFonts w:ascii="Times New Roman" w:hAnsi="Times New Roman"/>
          <w:sz w:val="24"/>
          <w:szCs w:val="24"/>
          <w:lang w:val="en-US"/>
        </w:rPr>
        <w:t>Tax</w:t>
      </w:r>
      <w:r w:rsidRPr="00232474">
        <w:rPr>
          <w:rFonts w:ascii="Times New Roman" w:hAnsi="Times New Roman"/>
          <w:sz w:val="24"/>
          <w:szCs w:val="24"/>
        </w:rPr>
        <w:t>-</w:t>
      </w:r>
      <w:r w:rsidRPr="00232474">
        <w:rPr>
          <w:rFonts w:ascii="Times New Roman" w:hAnsi="Times New Roman"/>
          <w:sz w:val="24"/>
          <w:szCs w:val="24"/>
          <w:lang w:val="en-US"/>
        </w:rPr>
        <w:t>Revenue</w:t>
      </w:r>
      <w:r w:rsidRPr="00232474">
        <w:rPr>
          <w:rFonts w:ascii="Times New Roman" w:hAnsi="Times New Roman"/>
          <w:sz w:val="24"/>
          <w:szCs w:val="24"/>
        </w:rPr>
        <w:t>), транспортного обеспечения, коммунального хозяйства.</w:t>
      </w:r>
    </w:p>
    <w:p w:rsidR="00BE1B60" w:rsidRPr="00232474" w:rsidRDefault="00BE1B60" w:rsidP="00BE1B60">
      <w:pPr>
        <w:spacing w:after="0" w:line="360" w:lineRule="auto"/>
        <w:ind w:firstLine="709"/>
        <w:jc w:val="both"/>
        <w:rPr>
          <w:rFonts w:ascii="Times New Roman" w:hAnsi="Times New Roman"/>
          <w:b/>
          <w:sz w:val="24"/>
          <w:szCs w:val="24"/>
        </w:rPr>
      </w:pPr>
      <w:r w:rsidRPr="00232474">
        <w:rPr>
          <w:rFonts w:ascii="Times New Roman" w:hAnsi="Times New Roman"/>
          <w:b/>
          <w:sz w:val="24"/>
          <w:szCs w:val="24"/>
        </w:rPr>
        <w:t>Проблемы и перспективы российского рынка муниципальных облигаций</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 xml:space="preserve">Учитывая стоимость заимствований, можно говорить о предпочтительности бюджетных кредитов для регионов(более длинные сроки и низкие процентные ставки). Но, оценивая крайне тяжелую ситуацию во многих российских регионов и дефицит федерального бюджета, нет оснований рассчитывать на получение бюджетных кредитов для сильных экономических регионов (таких как Москва и Санкт-Петербург). </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 xml:space="preserve">Сравнивая с другими анализируемыми субъектами федерации, можно отметить, что меньшая или сопоставимая долговая нагрузка есть у Ленинградской области, Санкт-Петербурга и Тюменской области. Однако при этом, учитывая рейтинги, стоимость обслуживания долга, возможность выхода на рынки, Москва и Санкт-Петербург имеет наибольший потенциал для расширения заимствований на открытом рынке. У Москвы есть потенциал для увеличения долговой нагрузки без угрозы ухудшения ситуации. Проведенный анализ регионов показывает, что кроме критического уровня (50% государственного долга региона по отношению к доходам), проблемы могут возникать у регионов после пересечения отметки в 40% при текущем уровне расходов на обслуживание государственного долга и 35-40% при вероятности роста расходов на обслуживание государственного долга. Отсюда можно сделать вывод, что учитывая крайне нестабильную обстановку на финансовом рынке России, предполагая возможность очередного повышения стоимости заимствований на рынке, критической чертой, за которой могут начаться проблемы, связанные с обслуживание государственного долга, является уровень в 30-35% по отношению к доходам региона. </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Кроме того, надо учитывать и то, что, как показал анализ планов других регионов и общий настрой относительно ухудшения экономического положения и возможного уменьшения доходной базы в связи с замедлением темпов экономического роста, падением доходов населения, возможно увеличение заимствований со стороны других регионов. Почти у всех у них есть планы по выходу на рынок государственных облигаций (даже у тех, кто никогда на этот рынок не выходил, к примеру, Тюменская область). Это может создать излишнее предложение ценных бумаг на рынке и привести к росту доходности и увеличению стоимости заимствований для эмитента.</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Другой стороной принятия решения об увеличении объемов заимствований должен быть вопрос об уровне расходов на обслуживание государственного долга. На сегодняшний день для большинства регионов уровень не представляет угрозы для ухудшения финансового положения города. Однако надо учесть, что расходы на обслуживание государственного долга будут существенно зависеть от ситуации на долговом и денежном рынках России. В случае продолжения тенденции к замедлению инфляции, снижения ключевой ставки Центрального банка и падения рыночных процентных ставок предполагается и дальнейшее снижение доходности на рынке муниципальных облигаций, и понижение ставок по коммерческим кредитам. В этом случае рост расходов на обслуживание государственного долга будет ограниченным.</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Совсем по-другому будет выглядеть ситуация в случае ухудшения ситуации, падения нефтяных цен и цен черных и цветных металлов, роста курса доллара и возможного повышения процентных ставок. В этом случае возможен рост уровня расходов на обслуживание государственного долга даже при незначительном увеличении объемов заимствований.</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Что касается структуры государственного долга, можно обратить внимание, что эта структура носит более рыночный характер (больше доля государственных облигаций) для регионов с сильной экономикой и хорошим финансовым положением (Исключением является Тюменская область, где нет государственных облигаций). Москва, как и Санкт-Петербург, имеют существенное преимущество перед другими регионами (более высокий рейтинг и опыт управления долгом на рынке).</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 xml:space="preserve">Выбор в пользу размещения государственных облигаций или привлечения банковских кредитов зависит от процентных ставок (которые на облигационном рынке, как правило, ниже) и сроков (дюрации), которые характерны для банковских кредитов и муниципальных облигаций. </w:t>
      </w:r>
    </w:p>
    <w:p w:rsidR="00BE1B60" w:rsidRPr="00232474" w:rsidRDefault="00BE1B60" w:rsidP="00BE1B60">
      <w:pPr>
        <w:spacing w:after="0" w:line="360" w:lineRule="auto"/>
        <w:ind w:firstLine="709"/>
        <w:jc w:val="both"/>
        <w:rPr>
          <w:rFonts w:ascii="Times New Roman" w:hAnsi="Times New Roman"/>
          <w:sz w:val="24"/>
          <w:szCs w:val="24"/>
        </w:rPr>
      </w:pPr>
      <w:r w:rsidRPr="00232474">
        <w:rPr>
          <w:rFonts w:ascii="Times New Roman" w:hAnsi="Times New Roman"/>
          <w:sz w:val="24"/>
          <w:szCs w:val="24"/>
        </w:rPr>
        <w:t>Проблемами российского рынка муниципальных облигаций является малое число эмитентов, небольшой объем рынка, неопределенность во взаимоотношениях между Центром и регионами, регионами и муниципальными образованиями. Более четко определенные «правила игры» позволят увеличить объем этого рынка, его глубину, привлекут на рынок новых инвесторов. Развитие этого рынка (как и других сегментов облигационного рынка) сильно зависит от формирования в России института институциональных инвесторов (сохранения накопительной системы, изменение портфелей пенсионных фондов в сторону облигаций и акций, развитие паевых облигационных фондов). Для подключения к рынку средних и небольших эмитентов целесообразным видится создание агентства развития. Глубину российского рынка муниципальных бумаг можно было бы расширить за счет появления новых долговых инструментов (инфраструктурных облигаций регионов и других).</w:t>
      </w:r>
    </w:p>
    <w:p w:rsidR="00BE1B60" w:rsidRDefault="00BE1B60" w:rsidP="00BE1B60">
      <w:pPr>
        <w:spacing w:after="0" w:line="360" w:lineRule="auto"/>
        <w:ind w:firstLine="709"/>
        <w:jc w:val="both"/>
        <w:rPr>
          <w:rFonts w:ascii="Times New Roman" w:hAnsi="Times New Roman"/>
          <w:sz w:val="32"/>
          <w:szCs w:val="32"/>
        </w:rPr>
      </w:pPr>
    </w:p>
    <w:p w:rsidR="00BE1B60" w:rsidRPr="00232474" w:rsidRDefault="00BE1B60" w:rsidP="00BE1B60">
      <w:pPr>
        <w:spacing w:after="0" w:line="360" w:lineRule="auto"/>
        <w:ind w:firstLine="709"/>
        <w:jc w:val="both"/>
        <w:outlineLvl w:val="1"/>
        <w:rPr>
          <w:rFonts w:ascii="Times New Roman" w:hAnsi="Times New Roman"/>
          <w:sz w:val="24"/>
          <w:szCs w:val="24"/>
        </w:rPr>
      </w:pPr>
      <w:r w:rsidRPr="00232474">
        <w:rPr>
          <w:rFonts w:ascii="Times New Roman" w:hAnsi="Times New Roman"/>
          <w:sz w:val="24"/>
          <w:szCs w:val="24"/>
        </w:rPr>
        <w:t>Список литературы и источники информации</w:t>
      </w:r>
    </w:p>
    <w:p w:rsidR="00BE1B60" w:rsidRPr="00DD74E6" w:rsidRDefault="00BE1B60" w:rsidP="00BE1B60">
      <w:pPr>
        <w:pStyle w:val="a7"/>
        <w:numPr>
          <w:ilvl w:val="0"/>
          <w:numId w:val="1"/>
        </w:numPr>
        <w:ind w:left="360"/>
        <w:contextualSpacing/>
        <w:rPr>
          <w:szCs w:val="24"/>
          <w:lang w:val="en-US"/>
        </w:rPr>
      </w:pPr>
      <w:r w:rsidRPr="00DD74E6">
        <w:rPr>
          <w:szCs w:val="24"/>
        </w:rPr>
        <w:t>Агентство</w:t>
      </w:r>
      <w:r w:rsidRPr="00DD74E6">
        <w:rPr>
          <w:szCs w:val="24"/>
          <w:lang w:val="en-US"/>
        </w:rPr>
        <w:t xml:space="preserve"> S&amp;P. Is The Russian State Supportive Enough to Prevent Regional Goverments Defaults in 2015? 4 </w:t>
      </w:r>
      <w:r w:rsidRPr="00DD74E6">
        <w:rPr>
          <w:szCs w:val="24"/>
        </w:rPr>
        <w:t>июня</w:t>
      </w:r>
      <w:r w:rsidRPr="00DD74E6">
        <w:rPr>
          <w:szCs w:val="24"/>
          <w:lang w:val="en-US"/>
        </w:rPr>
        <w:t xml:space="preserve"> 2015</w:t>
      </w:r>
      <w:r w:rsidRPr="00DD74E6">
        <w:rPr>
          <w:i/>
          <w:iCs/>
          <w:szCs w:val="24"/>
          <w:lang w:val="en-US"/>
        </w:rPr>
        <w:t xml:space="preserve"> Credit FAQ: Is the Russian State Supportive Enough to Prevent Regional Government Defaults in 2015? </w:t>
      </w:r>
      <w:r w:rsidRPr="00DD74E6">
        <w:rPr>
          <w:szCs w:val="24"/>
          <w:lang w:val="en-US"/>
        </w:rPr>
        <w:t>— http://www.alacrastore.com/s-and-pcredit-</w:t>
      </w:r>
    </w:p>
    <w:p w:rsidR="00BE1B60" w:rsidRPr="00D3769B" w:rsidRDefault="00BE1B60" w:rsidP="00BE1B60">
      <w:pPr>
        <w:pStyle w:val="a7"/>
        <w:numPr>
          <w:ilvl w:val="0"/>
          <w:numId w:val="1"/>
        </w:numPr>
        <w:ind w:left="360"/>
        <w:contextualSpacing/>
        <w:rPr>
          <w:szCs w:val="24"/>
          <w:lang w:val="en-US"/>
        </w:rPr>
      </w:pPr>
      <w:r w:rsidRPr="00DD74E6">
        <w:rPr>
          <w:szCs w:val="24"/>
          <w:lang w:val="en-US"/>
        </w:rPr>
        <w:t>research/Credit-FAQ-Is-The-Russian-State-Supportive-Enough-To-Prevent-Regional-Government-Defaults-In-2015-1402246.</w:t>
      </w:r>
    </w:p>
    <w:p w:rsidR="00BE1B60" w:rsidRPr="00DD74E6" w:rsidRDefault="00BE1B60" w:rsidP="00BE1B60">
      <w:pPr>
        <w:pStyle w:val="a7"/>
        <w:numPr>
          <w:ilvl w:val="0"/>
          <w:numId w:val="1"/>
        </w:numPr>
        <w:ind w:left="360"/>
        <w:contextualSpacing/>
        <w:rPr>
          <w:szCs w:val="24"/>
        </w:rPr>
      </w:pPr>
      <w:r w:rsidRPr="00DD74E6">
        <w:rPr>
          <w:szCs w:val="24"/>
        </w:rPr>
        <w:t>Fitch: замедление роста налоговых доходов негативно скажется на бюджетах российских регионов. — http://www.fitchratings.ru/ru/</w:t>
      </w:r>
      <w:r w:rsidRPr="00DD74E6">
        <w:rPr>
          <w:szCs w:val="24"/>
          <w:lang w:val="en-US"/>
        </w:rPr>
        <w:t>rws</w:t>
      </w:r>
      <w:r w:rsidRPr="00DD74E6">
        <w:rPr>
          <w:szCs w:val="24"/>
        </w:rPr>
        <w:t>/</w:t>
      </w:r>
      <w:r w:rsidRPr="00DD74E6">
        <w:rPr>
          <w:szCs w:val="24"/>
          <w:lang w:val="en-US"/>
        </w:rPr>
        <w:t>press</w:t>
      </w:r>
      <w:r w:rsidRPr="00DD74E6">
        <w:rPr>
          <w:szCs w:val="24"/>
        </w:rPr>
        <w:t>-</w:t>
      </w:r>
      <w:r w:rsidRPr="00DD74E6">
        <w:rPr>
          <w:szCs w:val="24"/>
          <w:lang w:val="en-US"/>
        </w:rPr>
        <w:t>release</w:t>
      </w:r>
      <w:r w:rsidRPr="00DD74E6">
        <w:rPr>
          <w:szCs w:val="24"/>
        </w:rPr>
        <w:t>.</w:t>
      </w:r>
      <w:r w:rsidRPr="00DD74E6">
        <w:rPr>
          <w:szCs w:val="24"/>
          <w:lang w:val="en-US"/>
        </w:rPr>
        <w:t>html</w:t>
      </w:r>
      <w:r w:rsidRPr="00DD74E6">
        <w:rPr>
          <w:szCs w:val="24"/>
        </w:rPr>
        <w:t>?</w:t>
      </w:r>
      <w:r w:rsidRPr="00DD74E6">
        <w:rPr>
          <w:szCs w:val="24"/>
          <w:lang w:val="en-US"/>
        </w:rPr>
        <w:t>report</w:t>
      </w:r>
      <w:r w:rsidRPr="00DD74E6">
        <w:rPr>
          <w:szCs w:val="24"/>
        </w:rPr>
        <w:t>_</w:t>
      </w:r>
      <w:r w:rsidRPr="00DD74E6">
        <w:rPr>
          <w:szCs w:val="24"/>
          <w:lang w:val="en-US"/>
        </w:rPr>
        <w:t>id</w:t>
      </w:r>
      <w:r w:rsidRPr="00DD74E6">
        <w:rPr>
          <w:szCs w:val="24"/>
        </w:rPr>
        <w:t>=989584.</w:t>
      </w:r>
    </w:p>
    <w:p w:rsidR="00BE1B60" w:rsidRPr="00DD74E6" w:rsidRDefault="00BE1B60" w:rsidP="00BE1B60">
      <w:pPr>
        <w:pStyle w:val="a7"/>
        <w:numPr>
          <w:ilvl w:val="0"/>
          <w:numId w:val="1"/>
        </w:numPr>
        <w:ind w:left="360"/>
        <w:contextualSpacing/>
        <w:rPr>
          <w:szCs w:val="24"/>
          <w:lang w:val="en-US"/>
        </w:rPr>
      </w:pPr>
      <w:r w:rsidRPr="00DD74E6">
        <w:rPr>
          <w:szCs w:val="24"/>
          <w:lang w:val="en-US"/>
        </w:rPr>
        <w:t>SIFMA. SIFMA US Quarterly Highlights 3Q’15</w:t>
      </w:r>
    </w:p>
    <w:p w:rsidR="00BE1B60" w:rsidRPr="00DD74E6" w:rsidRDefault="00BE1B60" w:rsidP="00BE1B60">
      <w:pPr>
        <w:pStyle w:val="a7"/>
        <w:numPr>
          <w:ilvl w:val="0"/>
          <w:numId w:val="1"/>
        </w:numPr>
        <w:ind w:left="360"/>
        <w:contextualSpacing/>
        <w:rPr>
          <w:szCs w:val="24"/>
        </w:rPr>
      </w:pPr>
      <w:r w:rsidRPr="00DD74E6">
        <w:rPr>
          <w:szCs w:val="24"/>
          <w:lang w:val="en-US"/>
        </w:rPr>
        <w:t>SIFMA Research, October 08, 2015</w:t>
      </w:r>
    </w:p>
    <w:p w:rsidR="00BE1B60" w:rsidRPr="00DD74E6" w:rsidRDefault="00BE1B60" w:rsidP="00BE1B60">
      <w:pPr>
        <w:pStyle w:val="a7"/>
        <w:numPr>
          <w:ilvl w:val="0"/>
          <w:numId w:val="1"/>
        </w:numPr>
        <w:ind w:left="360"/>
        <w:contextualSpacing/>
        <w:rPr>
          <w:szCs w:val="24"/>
        </w:rPr>
      </w:pPr>
      <w:r w:rsidRPr="00DD74E6">
        <w:rPr>
          <w:szCs w:val="24"/>
        </w:rPr>
        <w:t>Социальные расходы в России: федеральный и региональные бюджеты. Зубаревич Н.А, Горина Е.А. Центр анализа доходов и уровня жизни Института управления социальными процессами НИУ ВШЭ. 03 2015 Зубаревич Н.А., Горина Е.А. Социальные расходы в России: федеральный и региональные бюджеты. — https://www.hse.ru/data/2015/05/20/1097292445/Выпуск%203.pdf.</w:t>
      </w:r>
    </w:p>
    <w:p w:rsidR="00BE1B60" w:rsidRDefault="00BE1B60" w:rsidP="00BE1B60">
      <w:pPr>
        <w:pStyle w:val="a7"/>
        <w:numPr>
          <w:ilvl w:val="0"/>
          <w:numId w:val="1"/>
        </w:numPr>
        <w:ind w:left="360"/>
        <w:contextualSpacing/>
        <w:rPr>
          <w:szCs w:val="24"/>
        </w:rPr>
      </w:pPr>
      <w:r w:rsidRPr="00DD74E6">
        <w:rPr>
          <w:szCs w:val="24"/>
        </w:rPr>
        <w:t>Ведомости. Возможны ли в России дефолты регионов?</w:t>
      </w:r>
      <w:r>
        <w:rPr>
          <w:szCs w:val="24"/>
        </w:rPr>
        <w:t xml:space="preserve"> </w:t>
      </w:r>
      <w:r w:rsidRPr="00DD74E6">
        <w:rPr>
          <w:szCs w:val="24"/>
        </w:rPr>
        <w:t xml:space="preserve">15 июня 2016 года </w:t>
      </w:r>
      <w:hyperlink r:id="rId38" w:history="1">
        <w:r w:rsidRPr="00744D03">
          <w:rPr>
            <w:rStyle w:val="a6"/>
            <w:szCs w:val="24"/>
          </w:rPr>
          <w:t>http://www.vedomosti.ru/opinion/articles/2015/06/09/595738-vozmozhni-li-v-rossii-defoltiregionov</w:t>
        </w:r>
      </w:hyperlink>
      <w:r w:rsidRPr="00DD74E6">
        <w:rPr>
          <w:szCs w:val="24"/>
        </w:rPr>
        <w:t>.</w:t>
      </w:r>
    </w:p>
    <w:p w:rsidR="00BE1B60" w:rsidRPr="00DD74E6" w:rsidRDefault="00BE1B60" w:rsidP="00BE1B60">
      <w:pPr>
        <w:pStyle w:val="a7"/>
        <w:numPr>
          <w:ilvl w:val="0"/>
          <w:numId w:val="1"/>
        </w:numPr>
        <w:spacing w:after="200"/>
        <w:ind w:left="360"/>
        <w:contextualSpacing/>
        <w:rPr>
          <w:b/>
          <w:bCs/>
          <w:szCs w:val="24"/>
        </w:rPr>
      </w:pPr>
      <w:r>
        <w:rPr>
          <w:szCs w:val="24"/>
        </w:rPr>
        <w:t>Столяров А.И. Тенденции в развитии государственного долга субъектов федерации и муниципальных образований\\Управление корпоративными финансами, № 5-6. с. 308-327.</w:t>
      </w:r>
    </w:p>
    <w:p w:rsidR="00BE1B60" w:rsidRDefault="00BE1B60" w:rsidP="00BE1B60">
      <w:pPr>
        <w:spacing w:after="0" w:line="360" w:lineRule="auto"/>
        <w:ind w:firstLine="357"/>
        <w:jc w:val="both"/>
        <w:outlineLvl w:val="1"/>
        <w:rPr>
          <w:rFonts w:ascii="Times New Roman" w:hAnsi="Times New Roman"/>
          <w:sz w:val="24"/>
          <w:szCs w:val="24"/>
        </w:rPr>
      </w:pPr>
      <w:r>
        <w:rPr>
          <w:rFonts w:ascii="Times New Roman" w:hAnsi="Times New Roman"/>
          <w:sz w:val="24"/>
          <w:szCs w:val="24"/>
        </w:rPr>
        <w:t>Данные по источникам информации</w:t>
      </w:r>
    </w:p>
    <w:p w:rsidR="00BE1B60" w:rsidRPr="009E5E8E" w:rsidRDefault="00BE1B60" w:rsidP="00BE1B60">
      <w:pPr>
        <w:pStyle w:val="a7"/>
        <w:numPr>
          <w:ilvl w:val="0"/>
          <w:numId w:val="2"/>
        </w:numPr>
        <w:ind w:left="360"/>
        <w:contextualSpacing/>
        <w:rPr>
          <w:szCs w:val="24"/>
          <w:lang w:val="en-US"/>
        </w:rPr>
      </w:pPr>
      <w:r w:rsidRPr="007557EF">
        <w:rPr>
          <w:i/>
          <w:iCs/>
          <w:szCs w:val="24"/>
          <w:lang w:val="en-US"/>
        </w:rPr>
        <w:t>Cbonds</w:t>
      </w:r>
      <w:r w:rsidRPr="009E5E8E">
        <w:rPr>
          <w:szCs w:val="24"/>
          <w:lang w:val="en-US"/>
        </w:rPr>
        <w:t xml:space="preserve">. — </w:t>
      </w:r>
      <w:hyperlink r:id="rId39" w:history="1">
        <w:r w:rsidRPr="007557EF">
          <w:rPr>
            <w:rStyle w:val="a6"/>
            <w:szCs w:val="24"/>
            <w:lang w:val="en-US"/>
          </w:rPr>
          <w:t>http</w:t>
        </w:r>
        <w:r w:rsidRPr="009E5E8E">
          <w:rPr>
            <w:rStyle w:val="a6"/>
            <w:szCs w:val="24"/>
            <w:lang w:val="en-US"/>
          </w:rPr>
          <w:t>://</w:t>
        </w:r>
        <w:r w:rsidRPr="007557EF">
          <w:rPr>
            <w:rStyle w:val="a6"/>
            <w:szCs w:val="24"/>
            <w:lang w:val="en-US"/>
          </w:rPr>
          <w:t>ru</w:t>
        </w:r>
        <w:r w:rsidRPr="009E5E8E">
          <w:rPr>
            <w:rStyle w:val="a6"/>
            <w:szCs w:val="24"/>
            <w:lang w:val="en-US"/>
          </w:rPr>
          <w:t>.</w:t>
        </w:r>
        <w:r w:rsidRPr="007557EF">
          <w:rPr>
            <w:rStyle w:val="a6"/>
            <w:szCs w:val="24"/>
            <w:lang w:val="en-US"/>
          </w:rPr>
          <w:t>cbonds</w:t>
        </w:r>
        <w:r w:rsidRPr="009E5E8E">
          <w:rPr>
            <w:rStyle w:val="a6"/>
            <w:szCs w:val="24"/>
            <w:lang w:val="en-US"/>
          </w:rPr>
          <w:t>.</w:t>
        </w:r>
        <w:r w:rsidRPr="007557EF">
          <w:rPr>
            <w:rStyle w:val="a6"/>
            <w:szCs w:val="24"/>
            <w:lang w:val="en-US"/>
          </w:rPr>
          <w:t>info</w:t>
        </w:r>
      </w:hyperlink>
      <w:r w:rsidRPr="009E5E8E">
        <w:rPr>
          <w:szCs w:val="24"/>
          <w:lang w:val="en-US"/>
        </w:rPr>
        <w:t>.</w:t>
      </w:r>
    </w:p>
    <w:p w:rsidR="00BE1B60" w:rsidRDefault="00BE1B60" w:rsidP="00BE1B60">
      <w:pPr>
        <w:pStyle w:val="a7"/>
        <w:numPr>
          <w:ilvl w:val="0"/>
          <w:numId w:val="2"/>
        </w:numPr>
        <w:ind w:left="360"/>
        <w:contextualSpacing/>
        <w:rPr>
          <w:szCs w:val="24"/>
        </w:rPr>
      </w:pPr>
      <w:r w:rsidRPr="007557EF">
        <w:rPr>
          <w:szCs w:val="24"/>
        </w:rPr>
        <w:t xml:space="preserve">Консолидированные бюджеты субъектов Российской Федерации и бюджетов территориальных государственных внебюджетныхфондов. — </w:t>
      </w:r>
      <w:hyperlink r:id="rId40" w:history="1">
        <w:r w:rsidRPr="007557EF">
          <w:rPr>
            <w:rStyle w:val="a6"/>
            <w:szCs w:val="24"/>
          </w:rPr>
          <w:t>http://www.roskazna.ru/ispolnenie-byudzhetov/konsolidirovannye-byudzhety-subektov/</w:t>
        </w:r>
      </w:hyperlink>
      <w:r w:rsidRPr="007557EF">
        <w:rPr>
          <w:szCs w:val="24"/>
        </w:rPr>
        <w:t>.</w:t>
      </w:r>
    </w:p>
    <w:p w:rsidR="00BE1B60" w:rsidRPr="007557EF" w:rsidRDefault="00BE1B60" w:rsidP="00BE1B60">
      <w:pPr>
        <w:pStyle w:val="a7"/>
        <w:numPr>
          <w:ilvl w:val="0"/>
          <w:numId w:val="2"/>
        </w:numPr>
        <w:spacing w:after="200" w:line="276" w:lineRule="auto"/>
        <w:ind w:left="360"/>
        <w:contextualSpacing/>
        <w:rPr>
          <w:szCs w:val="24"/>
        </w:rPr>
      </w:pPr>
      <w:r w:rsidRPr="007557EF">
        <w:rPr>
          <w:szCs w:val="24"/>
        </w:rPr>
        <w:t>Министерство финансов РФ http://www.minfin.ru/ru/perfomance/public_debt/subdbt/</w:t>
      </w:r>
    </w:p>
    <w:p w:rsidR="00BE1B60" w:rsidRPr="007557EF" w:rsidRDefault="00BE1B60" w:rsidP="00BE1B60">
      <w:pPr>
        <w:pStyle w:val="a7"/>
        <w:numPr>
          <w:ilvl w:val="0"/>
          <w:numId w:val="2"/>
        </w:numPr>
        <w:ind w:left="360"/>
        <w:contextualSpacing/>
        <w:rPr>
          <w:szCs w:val="24"/>
        </w:rPr>
      </w:pPr>
      <w:r w:rsidRPr="007557EF">
        <w:rPr>
          <w:szCs w:val="24"/>
        </w:rPr>
        <w:t>Аналитическая информация по государственному долгу НСО. — http://www.mfnso.nso.ru/page/468.</w:t>
      </w:r>
    </w:p>
    <w:p w:rsidR="00BE1B60" w:rsidRPr="007557EF" w:rsidRDefault="00BE1B60" w:rsidP="00BE1B60">
      <w:pPr>
        <w:pStyle w:val="a7"/>
        <w:numPr>
          <w:ilvl w:val="0"/>
          <w:numId w:val="2"/>
        </w:numPr>
        <w:ind w:left="360"/>
        <w:contextualSpacing/>
        <w:rPr>
          <w:szCs w:val="24"/>
        </w:rPr>
      </w:pPr>
      <w:r w:rsidRPr="007557EF">
        <w:rPr>
          <w:szCs w:val="24"/>
        </w:rPr>
        <w:t>Информация по бюджету Санкт-Петербурга. Бюджет для граждан 2015 (первоначально утвержденный бюджет). — http://www.fincom.spb.ru/cf/activity/opendata/budget_for_people/details.htm?id=10272316@cmsArticle.</w:t>
      </w:r>
    </w:p>
    <w:p w:rsidR="00BE1B60" w:rsidRPr="007557EF" w:rsidRDefault="00BE1B60" w:rsidP="00BE1B60">
      <w:pPr>
        <w:pStyle w:val="a7"/>
        <w:numPr>
          <w:ilvl w:val="0"/>
          <w:numId w:val="2"/>
        </w:numPr>
        <w:ind w:left="360"/>
        <w:contextualSpacing/>
        <w:rPr>
          <w:szCs w:val="24"/>
        </w:rPr>
      </w:pPr>
      <w:r w:rsidRPr="007557EF">
        <w:rPr>
          <w:szCs w:val="24"/>
        </w:rPr>
        <w:t>Бюджетные показатели и государственный долг Москвы. — http://budget.mos.ru/debt_index.</w:t>
      </w:r>
    </w:p>
    <w:p w:rsidR="00BE1B60" w:rsidRPr="007557EF" w:rsidRDefault="00BE1B60" w:rsidP="00BE1B60">
      <w:pPr>
        <w:pStyle w:val="a7"/>
        <w:numPr>
          <w:ilvl w:val="0"/>
          <w:numId w:val="2"/>
        </w:numPr>
        <w:ind w:left="360"/>
        <w:contextualSpacing/>
        <w:rPr>
          <w:szCs w:val="24"/>
        </w:rPr>
      </w:pPr>
      <w:r w:rsidRPr="007557EF">
        <w:rPr>
          <w:szCs w:val="24"/>
        </w:rPr>
        <w:t>Государственный долг Республики Татарстан. — http://minfin.tatarstan.ru/rus/gosudarstvenniy-dolg-respubliki-tatarstan.htm.</w:t>
      </w:r>
    </w:p>
    <w:p w:rsidR="00BE1B60" w:rsidRPr="007557EF" w:rsidRDefault="00BE1B60" w:rsidP="00BE1B60">
      <w:pPr>
        <w:pStyle w:val="a7"/>
        <w:numPr>
          <w:ilvl w:val="0"/>
          <w:numId w:val="2"/>
        </w:numPr>
        <w:ind w:left="357" w:hanging="357"/>
        <w:contextualSpacing/>
        <w:rPr>
          <w:szCs w:val="24"/>
        </w:rPr>
      </w:pPr>
      <w:r w:rsidRPr="007557EF">
        <w:rPr>
          <w:szCs w:val="24"/>
        </w:rPr>
        <w:t>Динамика государственного долга Московской области. —http://ob.mosreg.ru/index.php/analiz-ispolneniya-byudzhetov-moskovskoj-oblasti/6-sravnenie-otdelnykh-pokazatelej-ispolneniya-byudzhetov-sub-ektov/fk-0001-0011-moskva</w:t>
      </w:r>
    </w:p>
    <w:p w:rsidR="00BE1B60" w:rsidRPr="007557EF" w:rsidRDefault="00BE1B60" w:rsidP="00BE1B60">
      <w:pPr>
        <w:pStyle w:val="a7"/>
        <w:numPr>
          <w:ilvl w:val="0"/>
          <w:numId w:val="2"/>
        </w:numPr>
        <w:ind w:left="357" w:hanging="357"/>
        <w:contextualSpacing/>
        <w:rPr>
          <w:szCs w:val="24"/>
        </w:rPr>
      </w:pPr>
      <w:r w:rsidRPr="007557EF">
        <w:rPr>
          <w:szCs w:val="24"/>
        </w:rPr>
        <w:t>Государственный долг Тюменской области http://admtyumen.ru/ogv_ru/finance/finance/bugjet.htm</w:t>
      </w:r>
    </w:p>
    <w:p w:rsidR="00BE1B60" w:rsidRPr="007557EF" w:rsidRDefault="00BE1B60" w:rsidP="00BE1B60">
      <w:pPr>
        <w:pStyle w:val="a7"/>
        <w:numPr>
          <w:ilvl w:val="0"/>
          <w:numId w:val="2"/>
        </w:numPr>
        <w:ind w:left="357" w:hanging="357"/>
        <w:contextualSpacing/>
        <w:rPr>
          <w:szCs w:val="24"/>
        </w:rPr>
      </w:pPr>
      <w:r w:rsidRPr="007557EF">
        <w:rPr>
          <w:szCs w:val="24"/>
        </w:rPr>
        <w:t xml:space="preserve">Динамика государственного долга Санкт-Петербурга. — </w:t>
      </w:r>
      <w:hyperlink r:id="rId41" w:history="1">
        <w:r w:rsidRPr="007557EF">
          <w:rPr>
            <w:rStyle w:val="a6"/>
            <w:szCs w:val="24"/>
          </w:rPr>
          <w:t>http://www.fincom.spb.ru/cf/activity/gos_dolg/analitics/grafs/dynamics.htm</w:t>
        </w:r>
      </w:hyperlink>
      <w:r w:rsidRPr="007557EF">
        <w:rPr>
          <w:szCs w:val="24"/>
        </w:rPr>
        <w:t>.</w:t>
      </w:r>
      <w:r w:rsidRPr="007557EF">
        <w:t xml:space="preserve"> </w:t>
      </w:r>
      <w:r w:rsidRPr="007557EF">
        <w:rPr>
          <w:szCs w:val="24"/>
        </w:rPr>
        <w:t>http://fincom.spb.ru/comfin/acts/budjet.htm</w:t>
      </w:r>
    </w:p>
    <w:p w:rsidR="00BE1B60" w:rsidRPr="007557EF" w:rsidRDefault="00BE1B60" w:rsidP="00BE1B60">
      <w:pPr>
        <w:pStyle w:val="a7"/>
        <w:numPr>
          <w:ilvl w:val="0"/>
          <w:numId w:val="2"/>
        </w:numPr>
        <w:ind w:left="357" w:hanging="357"/>
        <w:contextualSpacing/>
        <w:rPr>
          <w:szCs w:val="24"/>
        </w:rPr>
      </w:pPr>
      <w:r w:rsidRPr="007557EF">
        <w:rPr>
          <w:szCs w:val="24"/>
        </w:rPr>
        <w:t xml:space="preserve">Новосибирская область http://www.nso.ru/page/2267 http://zsnso.ru/667/ </w:t>
      </w:r>
    </w:p>
    <w:p w:rsidR="00BE1B60" w:rsidRPr="007557EF" w:rsidRDefault="00BE1B60" w:rsidP="00BE1B60">
      <w:pPr>
        <w:pStyle w:val="a7"/>
        <w:rPr>
          <w:szCs w:val="24"/>
        </w:rPr>
      </w:pPr>
    </w:p>
    <w:p w:rsidR="00083E2C" w:rsidRDefault="00083E2C"/>
    <w:sectPr w:rsidR="00083E2C" w:rsidSect="00083E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EE4" w:rsidRDefault="00393EE4" w:rsidP="00BE1B60">
      <w:pPr>
        <w:spacing w:after="0" w:line="240" w:lineRule="auto"/>
      </w:pPr>
      <w:r>
        <w:separator/>
      </w:r>
    </w:p>
  </w:endnote>
  <w:endnote w:type="continuationSeparator" w:id="0">
    <w:p w:rsidR="00393EE4" w:rsidRDefault="00393EE4" w:rsidP="00BE1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EE4" w:rsidRDefault="00393EE4" w:rsidP="00BE1B60">
      <w:pPr>
        <w:spacing w:after="0" w:line="240" w:lineRule="auto"/>
      </w:pPr>
      <w:r>
        <w:separator/>
      </w:r>
    </w:p>
  </w:footnote>
  <w:footnote w:type="continuationSeparator" w:id="0">
    <w:p w:rsidR="00393EE4" w:rsidRDefault="00393EE4" w:rsidP="00BE1B60">
      <w:pPr>
        <w:spacing w:after="0" w:line="240" w:lineRule="auto"/>
      </w:pPr>
      <w:r>
        <w:continuationSeparator/>
      </w:r>
    </w:p>
  </w:footnote>
  <w:footnote w:id="1">
    <w:p w:rsidR="00BE1B60" w:rsidRPr="00AD7D2D" w:rsidRDefault="00BE1B60" w:rsidP="00BE1B60">
      <w:pPr>
        <w:pStyle w:val="a3"/>
        <w:spacing w:after="120" w:line="240" w:lineRule="auto"/>
        <w:rPr>
          <w:rFonts w:ascii="Times New Roman" w:hAnsi="Times New Roman"/>
        </w:rPr>
      </w:pPr>
      <w:r w:rsidRPr="00AD7D2D">
        <w:rPr>
          <w:rStyle w:val="a5"/>
          <w:rFonts w:ascii="Times New Roman" w:hAnsi="Times New Roman"/>
        </w:rPr>
        <w:footnoteRef/>
      </w:r>
      <w:r w:rsidRPr="00AD7D2D">
        <w:rPr>
          <w:rFonts w:ascii="Times New Roman" w:hAnsi="Times New Roman"/>
        </w:rPr>
        <w:t xml:space="preserve"> Расчеты автора, Лаборатории анализа финансовых рынков по данным </w:t>
      </w:r>
      <w:r w:rsidRPr="00AD7D2D">
        <w:rPr>
          <w:rFonts w:ascii="Times New Roman" w:hAnsi="Times New Roman"/>
          <w:lang w:val="en-US"/>
        </w:rPr>
        <w:t>cbonds</w:t>
      </w:r>
      <w:r w:rsidRPr="00AD7D2D">
        <w:rPr>
          <w:rFonts w:ascii="Times New Roman" w:hAnsi="Times New Roman"/>
        </w:rPr>
        <w:t>.</w:t>
      </w:r>
    </w:p>
  </w:footnote>
  <w:footnote w:id="2">
    <w:p w:rsidR="00BE1B60" w:rsidRPr="00AD7D2D" w:rsidRDefault="00BE1B60" w:rsidP="00BE1B60">
      <w:pPr>
        <w:pStyle w:val="a3"/>
        <w:spacing w:after="120" w:line="240" w:lineRule="auto"/>
        <w:rPr>
          <w:rFonts w:ascii="Times New Roman" w:hAnsi="Times New Roman"/>
          <w:lang w:val="en-US"/>
        </w:rPr>
      </w:pPr>
      <w:r w:rsidRPr="00AD7D2D">
        <w:rPr>
          <w:rStyle w:val="a5"/>
          <w:rFonts w:ascii="Times New Roman" w:hAnsi="Times New Roman"/>
        </w:rPr>
        <w:footnoteRef/>
      </w:r>
      <w:r w:rsidRPr="00AD7D2D">
        <w:rPr>
          <w:rFonts w:ascii="Times New Roman" w:hAnsi="Times New Roman"/>
          <w:lang w:val="en-US"/>
        </w:rPr>
        <w:t xml:space="preserve"> SIFMA. SIFMA US Quarterly Highlights 3Q’15</w:t>
      </w:r>
    </w:p>
    <w:p w:rsidR="00BE1B60" w:rsidRPr="00C4036A" w:rsidRDefault="00BE1B60" w:rsidP="00BE1B60">
      <w:pPr>
        <w:pStyle w:val="a3"/>
        <w:spacing w:after="120" w:line="240" w:lineRule="auto"/>
        <w:rPr>
          <w:lang w:val="en-US"/>
        </w:rPr>
      </w:pPr>
      <w:r w:rsidRPr="00AD7D2D">
        <w:rPr>
          <w:rFonts w:ascii="Times New Roman" w:hAnsi="Times New Roman"/>
          <w:lang w:val="en-US"/>
        </w:rPr>
        <w:t>SIFMA Research, October 08, 2015</w:t>
      </w:r>
    </w:p>
  </w:footnote>
  <w:footnote w:id="3">
    <w:p w:rsidR="00BE1B60" w:rsidRPr="00183A50" w:rsidRDefault="00BE1B60" w:rsidP="00BE1B60">
      <w:pPr>
        <w:pStyle w:val="a3"/>
        <w:rPr>
          <w:lang w:val="en-US"/>
        </w:rPr>
      </w:pPr>
      <w:r>
        <w:rPr>
          <w:rStyle w:val="a5"/>
        </w:rPr>
        <w:footnoteRef/>
      </w:r>
      <w:r w:rsidRPr="00183A50">
        <w:rPr>
          <w:lang w:val="en-US"/>
        </w:rPr>
        <w:t xml:space="preserve"> </w:t>
      </w:r>
      <w:hyperlink r:id="rId1" w:anchor="ixzz3oqkgcQq8" w:history="1">
        <w:r w:rsidRPr="00183A50">
          <w:rPr>
            <w:rStyle w:val="a6"/>
            <w:lang w:val="en-US"/>
          </w:rPr>
          <w:t>http://www.minfin.ru/ru/perfomance/public_debt/subdbt/#ixzz3oqkgcQq8</w:t>
        </w:r>
      </w:hyperlink>
    </w:p>
  </w:footnote>
  <w:footnote w:id="4">
    <w:p w:rsidR="00BE1B60" w:rsidRPr="00AD7D2D" w:rsidRDefault="00BE1B60" w:rsidP="00BE1B60">
      <w:pPr>
        <w:pStyle w:val="a3"/>
        <w:spacing w:after="120" w:line="240" w:lineRule="auto"/>
        <w:rPr>
          <w:rFonts w:ascii="Times New Roman" w:hAnsi="Times New Roman"/>
        </w:rPr>
      </w:pPr>
      <w:r w:rsidRPr="00AD7D2D">
        <w:rPr>
          <w:rStyle w:val="a5"/>
          <w:rFonts w:ascii="Times New Roman" w:hAnsi="Times New Roman"/>
        </w:rPr>
        <w:footnoteRef/>
      </w:r>
      <w:r w:rsidRPr="00AD7D2D">
        <w:rPr>
          <w:rFonts w:ascii="Times New Roman" w:hAnsi="Times New Roman"/>
        </w:rPr>
        <w:t xml:space="preserve"> Социальные расходы в России: федеральный и региональные бюджеты. Зубаревич Н.А, Горина Е.А. Центр анализа доходов и уровня жизни Института управления социальными процессами НИУ ВШЭ. 03 2015</w:t>
      </w:r>
    </w:p>
  </w:footnote>
  <w:footnote w:id="5">
    <w:p w:rsidR="00BE1B60" w:rsidRPr="00AD7D2D" w:rsidRDefault="00BE1B60" w:rsidP="00BE1B60">
      <w:pPr>
        <w:pStyle w:val="a3"/>
        <w:spacing w:after="120" w:line="240" w:lineRule="auto"/>
        <w:rPr>
          <w:rFonts w:ascii="Times New Roman" w:hAnsi="Times New Roman"/>
        </w:rPr>
      </w:pPr>
      <w:r w:rsidRPr="00AD7D2D">
        <w:rPr>
          <w:rStyle w:val="a5"/>
          <w:rFonts w:ascii="Times New Roman" w:hAnsi="Times New Roman"/>
        </w:rPr>
        <w:footnoteRef/>
      </w:r>
      <w:r w:rsidRPr="00AD7D2D">
        <w:rPr>
          <w:rFonts w:ascii="Times New Roman" w:hAnsi="Times New Roman"/>
        </w:rPr>
        <w:t xml:space="preserve"> Возможны ли в России дефолты регионов. — http://www.vedomosti.ru/opinion/articles/2015/06/09/595738-vozmozhni-li-v-rossii-defoltiregionov.</w:t>
      </w:r>
    </w:p>
  </w:footnote>
  <w:footnote w:id="6">
    <w:p w:rsidR="00BE1B60" w:rsidRDefault="00BE1B60" w:rsidP="00BE1B60">
      <w:pPr>
        <w:pStyle w:val="a3"/>
        <w:spacing w:after="120" w:line="240" w:lineRule="auto"/>
      </w:pPr>
      <w:r w:rsidRPr="00AD7D2D">
        <w:rPr>
          <w:rStyle w:val="a5"/>
          <w:rFonts w:ascii="Times New Roman" w:hAnsi="Times New Roman"/>
        </w:rPr>
        <w:footnoteRef/>
      </w:r>
      <w:r w:rsidRPr="00AD7D2D">
        <w:rPr>
          <w:rFonts w:ascii="Times New Roman" w:hAnsi="Times New Roman"/>
        </w:rPr>
        <w:t xml:space="preserve"> http://www.minfin.ru/ru/perfomance/public_debt/subdbt/#ixzz3oqkgcQq8</w:t>
      </w:r>
    </w:p>
  </w:footnote>
  <w:footnote w:id="7">
    <w:p w:rsidR="00BE1B60" w:rsidRPr="00AD7D2D" w:rsidRDefault="00BE1B60" w:rsidP="00BE1B60">
      <w:pPr>
        <w:pStyle w:val="a3"/>
        <w:rPr>
          <w:rFonts w:ascii="Times New Roman" w:hAnsi="Times New Roman"/>
        </w:rPr>
      </w:pPr>
      <w:r w:rsidRPr="00AD7D2D">
        <w:rPr>
          <w:rStyle w:val="a5"/>
          <w:rFonts w:ascii="Times New Roman" w:hAnsi="Times New Roman"/>
        </w:rPr>
        <w:footnoteRef/>
      </w:r>
      <w:r w:rsidRPr="00AD7D2D">
        <w:rPr>
          <w:rFonts w:ascii="Times New Roman" w:hAnsi="Times New Roman"/>
        </w:rPr>
        <w:t xml:space="preserve"> </w:t>
      </w:r>
      <w:hyperlink r:id="rId2" w:anchor="ixzz3oqkgcQq8" w:history="1">
        <w:r w:rsidRPr="00AD7D2D">
          <w:rPr>
            <w:rStyle w:val="a6"/>
            <w:rFonts w:ascii="Times New Roman" w:hAnsi="Times New Roman"/>
          </w:rPr>
          <w:t>http://www.minfin.ru/ru/perfomance/public_debt/subdbt/#ixzz3oqkgcQq8</w:t>
        </w:r>
      </w:hyperlink>
    </w:p>
  </w:footnote>
  <w:footnote w:id="8">
    <w:p w:rsidR="00BE1B60" w:rsidRDefault="00BE1B60" w:rsidP="00BE1B60">
      <w:pPr>
        <w:pStyle w:val="a3"/>
      </w:pPr>
      <w:r>
        <w:rPr>
          <w:rStyle w:val="a5"/>
        </w:rPr>
        <w:footnoteRef/>
      </w:r>
      <w:r>
        <w:t xml:space="preserve"> </w:t>
      </w:r>
      <w:hyperlink r:id="rId3" w:history="1">
        <w:r w:rsidRPr="002E5E1D">
          <w:rPr>
            <w:rStyle w:val="a6"/>
          </w:rPr>
          <w:t>http://ob.mosreg.ru/index.php/analiz-ispolneniya-byudzhetov-moskovskoj-oblasti/6-sravnenie-otdelnykh-pokazatelej-ispolneniya-byudzhetov-sub-ektov/fk-0001-0011-moskva</w:t>
        </w:r>
      </w:hyperlink>
    </w:p>
  </w:footnote>
  <w:footnote w:id="9">
    <w:p w:rsidR="00BE1B60" w:rsidRDefault="00BE1B60" w:rsidP="00BE1B60">
      <w:pPr>
        <w:pStyle w:val="a3"/>
      </w:pPr>
      <w:r>
        <w:rPr>
          <w:rStyle w:val="a5"/>
        </w:rPr>
        <w:footnoteRef/>
      </w:r>
      <w:r>
        <w:t xml:space="preserve"> РБК. 10 июня 2015 года</w:t>
      </w:r>
    </w:p>
  </w:footnote>
  <w:footnote w:id="10">
    <w:p w:rsidR="00BE1B60" w:rsidRDefault="00BE1B60" w:rsidP="00BE1B60">
      <w:pPr>
        <w:pStyle w:val="a3"/>
      </w:pPr>
      <w:r>
        <w:rPr>
          <w:rStyle w:val="a5"/>
        </w:rPr>
        <w:footnoteRef/>
      </w:r>
      <w:r>
        <w:t xml:space="preserve"> Обсуждается вопрос ужесточения этих норм.</w:t>
      </w:r>
    </w:p>
  </w:footnote>
  <w:footnote w:id="11">
    <w:p w:rsidR="00BE1B60" w:rsidRPr="009E5E8E" w:rsidRDefault="00BE1B60" w:rsidP="00BE1B60">
      <w:pPr>
        <w:pStyle w:val="a3"/>
        <w:rPr>
          <w:lang w:val="en-US"/>
        </w:rPr>
      </w:pPr>
      <w:r>
        <w:rPr>
          <w:rStyle w:val="a5"/>
        </w:rPr>
        <w:footnoteRef/>
      </w:r>
      <w:r>
        <w:rPr>
          <w:lang w:val="en-US"/>
        </w:rPr>
        <w:t xml:space="preserve"> </w:t>
      </w:r>
      <w:r w:rsidRPr="00AC5683">
        <w:rPr>
          <w:lang w:val="en-US"/>
        </w:rPr>
        <w:t>SIFMA. US Municipal Securities Holders. Q</w:t>
      </w:r>
      <w:r w:rsidRPr="009E5E8E">
        <w:rPr>
          <w:lang w:val="en-US"/>
        </w:rPr>
        <w:t>1 2015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BE788F"/>
    <w:multiLevelType w:val="hybridMultilevel"/>
    <w:tmpl w:val="26C82F72"/>
    <w:lvl w:ilvl="0" w:tplc="7BB2C7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2447E24"/>
    <w:multiLevelType w:val="hybridMultilevel"/>
    <w:tmpl w:val="DE1EC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60"/>
    <w:rsid w:val="000001B0"/>
    <w:rsid w:val="0000040C"/>
    <w:rsid w:val="00000442"/>
    <w:rsid w:val="00000605"/>
    <w:rsid w:val="000008A8"/>
    <w:rsid w:val="000009A7"/>
    <w:rsid w:val="00000B3D"/>
    <w:rsid w:val="00000B47"/>
    <w:rsid w:val="00000E25"/>
    <w:rsid w:val="00000FD2"/>
    <w:rsid w:val="00000FFC"/>
    <w:rsid w:val="00001075"/>
    <w:rsid w:val="000015DD"/>
    <w:rsid w:val="000015E8"/>
    <w:rsid w:val="000015F3"/>
    <w:rsid w:val="0000169A"/>
    <w:rsid w:val="00001718"/>
    <w:rsid w:val="000017DF"/>
    <w:rsid w:val="00001A25"/>
    <w:rsid w:val="00001A5B"/>
    <w:rsid w:val="00001BDF"/>
    <w:rsid w:val="00001C51"/>
    <w:rsid w:val="0000213A"/>
    <w:rsid w:val="00002223"/>
    <w:rsid w:val="0000223F"/>
    <w:rsid w:val="000022D4"/>
    <w:rsid w:val="0000243C"/>
    <w:rsid w:val="00002477"/>
    <w:rsid w:val="00002515"/>
    <w:rsid w:val="00002568"/>
    <w:rsid w:val="000026BD"/>
    <w:rsid w:val="000027F9"/>
    <w:rsid w:val="00002D2D"/>
    <w:rsid w:val="00002D79"/>
    <w:rsid w:val="00003197"/>
    <w:rsid w:val="000031F9"/>
    <w:rsid w:val="0000325C"/>
    <w:rsid w:val="00003395"/>
    <w:rsid w:val="00003438"/>
    <w:rsid w:val="0000387B"/>
    <w:rsid w:val="00003BD5"/>
    <w:rsid w:val="00003D90"/>
    <w:rsid w:val="00003FEA"/>
    <w:rsid w:val="0000445B"/>
    <w:rsid w:val="00004604"/>
    <w:rsid w:val="0000469B"/>
    <w:rsid w:val="000049DB"/>
    <w:rsid w:val="00004BD1"/>
    <w:rsid w:val="00004D91"/>
    <w:rsid w:val="0000545B"/>
    <w:rsid w:val="000054A2"/>
    <w:rsid w:val="000054EE"/>
    <w:rsid w:val="000055D9"/>
    <w:rsid w:val="000056DB"/>
    <w:rsid w:val="000056ED"/>
    <w:rsid w:val="000058E7"/>
    <w:rsid w:val="00005910"/>
    <w:rsid w:val="000059CC"/>
    <w:rsid w:val="00005B49"/>
    <w:rsid w:val="00005C69"/>
    <w:rsid w:val="00005EDE"/>
    <w:rsid w:val="0000601C"/>
    <w:rsid w:val="00006032"/>
    <w:rsid w:val="00006115"/>
    <w:rsid w:val="000061E1"/>
    <w:rsid w:val="00006347"/>
    <w:rsid w:val="000063D7"/>
    <w:rsid w:val="00006435"/>
    <w:rsid w:val="000064B4"/>
    <w:rsid w:val="000066AF"/>
    <w:rsid w:val="0000676F"/>
    <w:rsid w:val="000067CB"/>
    <w:rsid w:val="000067E5"/>
    <w:rsid w:val="000068CB"/>
    <w:rsid w:val="000068D4"/>
    <w:rsid w:val="0000693B"/>
    <w:rsid w:val="000069B3"/>
    <w:rsid w:val="000069B8"/>
    <w:rsid w:val="00006A99"/>
    <w:rsid w:val="00006B2D"/>
    <w:rsid w:val="00006BE9"/>
    <w:rsid w:val="00006C92"/>
    <w:rsid w:val="00006E85"/>
    <w:rsid w:val="00006EE3"/>
    <w:rsid w:val="00006EFB"/>
    <w:rsid w:val="00006FBE"/>
    <w:rsid w:val="0000705F"/>
    <w:rsid w:val="000070CA"/>
    <w:rsid w:val="0000727B"/>
    <w:rsid w:val="000072BC"/>
    <w:rsid w:val="00007416"/>
    <w:rsid w:val="0000760B"/>
    <w:rsid w:val="000076D9"/>
    <w:rsid w:val="00007753"/>
    <w:rsid w:val="0000776A"/>
    <w:rsid w:val="00007775"/>
    <w:rsid w:val="000077BB"/>
    <w:rsid w:val="000077E3"/>
    <w:rsid w:val="00007950"/>
    <w:rsid w:val="00007A2F"/>
    <w:rsid w:val="00007ABB"/>
    <w:rsid w:val="00007ED4"/>
    <w:rsid w:val="00007F61"/>
    <w:rsid w:val="00007FCF"/>
    <w:rsid w:val="0001002E"/>
    <w:rsid w:val="0001066C"/>
    <w:rsid w:val="000108B4"/>
    <w:rsid w:val="000108C3"/>
    <w:rsid w:val="000108D8"/>
    <w:rsid w:val="00010A57"/>
    <w:rsid w:val="00010D98"/>
    <w:rsid w:val="00010EB1"/>
    <w:rsid w:val="00011115"/>
    <w:rsid w:val="000112DA"/>
    <w:rsid w:val="0001130C"/>
    <w:rsid w:val="00011404"/>
    <w:rsid w:val="000115D8"/>
    <w:rsid w:val="00011614"/>
    <w:rsid w:val="000118A7"/>
    <w:rsid w:val="0001195D"/>
    <w:rsid w:val="000119C9"/>
    <w:rsid w:val="00011A6A"/>
    <w:rsid w:val="00011C47"/>
    <w:rsid w:val="00011DE1"/>
    <w:rsid w:val="00011F29"/>
    <w:rsid w:val="00012128"/>
    <w:rsid w:val="00012205"/>
    <w:rsid w:val="0001221E"/>
    <w:rsid w:val="0001226B"/>
    <w:rsid w:val="00012487"/>
    <w:rsid w:val="00012A97"/>
    <w:rsid w:val="00012BCC"/>
    <w:rsid w:val="00012E8E"/>
    <w:rsid w:val="00012EAD"/>
    <w:rsid w:val="00012F3E"/>
    <w:rsid w:val="00012F71"/>
    <w:rsid w:val="00013268"/>
    <w:rsid w:val="0001361B"/>
    <w:rsid w:val="00013835"/>
    <w:rsid w:val="000138B8"/>
    <w:rsid w:val="0001390E"/>
    <w:rsid w:val="0001390F"/>
    <w:rsid w:val="00013C00"/>
    <w:rsid w:val="00013EB3"/>
    <w:rsid w:val="00014086"/>
    <w:rsid w:val="000142B1"/>
    <w:rsid w:val="000143DE"/>
    <w:rsid w:val="000146FF"/>
    <w:rsid w:val="0001482D"/>
    <w:rsid w:val="000148C0"/>
    <w:rsid w:val="00014921"/>
    <w:rsid w:val="00014991"/>
    <w:rsid w:val="00014FC3"/>
    <w:rsid w:val="00015161"/>
    <w:rsid w:val="00015324"/>
    <w:rsid w:val="00015354"/>
    <w:rsid w:val="0001541C"/>
    <w:rsid w:val="00015550"/>
    <w:rsid w:val="000156D4"/>
    <w:rsid w:val="00015C19"/>
    <w:rsid w:val="00015CF7"/>
    <w:rsid w:val="00015DEA"/>
    <w:rsid w:val="0001618E"/>
    <w:rsid w:val="00016197"/>
    <w:rsid w:val="000162F1"/>
    <w:rsid w:val="0001635B"/>
    <w:rsid w:val="00016413"/>
    <w:rsid w:val="0001655D"/>
    <w:rsid w:val="0001657C"/>
    <w:rsid w:val="000167D9"/>
    <w:rsid w:val="000167DF"/>
    <w:rsid w:val="000169FB"/>
    <w:rsid w:val="00016A44"/>
    <w:rsid w:val="00016A4D"/>
    <w:rsid w:val="00016C55"/>
    <w:rsid w:val="00016DBF"/>
    <w:rsid w:val="00016E43"/>
    <w:rsid w:val="00016F00"/>
    <w:rsid w:val="00016F90"/>
    <w:rsid w:val="00017084"/>
    <w:rsid w:val="0001736B"/>
    <w:rsid w:val="000173BE"/>
    <w:rsid w:val="00017518"/>
    <w:rsid w:val="00017540"/>
    <w:rsid w:val="0001757D"/>
    <w:rsid w:val="000179C5"/>
    <w:rsid w:val="00017AFE"/>
    <w:rsid w:val="00017E6E"/>
    <w:rsid w:val="00017E9A"/>
    <w:rsid w:val="00020144"/>
    <w:rsid w:val="0002082E"/>
    <w:rsid w:val="00020B43"/>
    <w:rsid w:val="00020C45"/>
    <w:rsid w:val="00020E7B"/>
    <w:rsid w:val="00020EE4"/>
    <w:rsid w:val="000211D3"/>
    <w:rsid w:val="00021270"/>
    <w:rsid w:val="00021357"/>
    <w:rsid w:val="00021361"/>
    <w:rsid w:val="000213A8"/>
    <w:rsid w:val="000213F0"/>
    <w:rsid w:val="00021730"/>
    <w:rsid w:val="00021798"/>
    <w:rsid w:val="000217BD"/>
    <w:rsid w:val="0002191B"/>
    <w:rsid w:val="00021949"/>
    <w:rsid w:val="00021B5D"/>
    <w:rsid w:val="00021DB2"/>
    <w:rsid w:val="00021E69"/>
    <w:rsid w:val="0002236E"/>
    <w:rsid w:val="0002261E"/>
    <w:rsid w:val="00022E49"/>
    <w:rsid w:val="00022FCF"/>
    <w:rsid w:val="00022FDD"/>
    <w:rsid w:val="000230C1"/>
    <w:rsid w:val="000232B4"/>
    <w:rsid w:val="00023554"/>
    <w:rsid w:val="00023821"/>
    <w:rsid w:val="000239B9"/>
    <w:rsid w:val="00023A11"/>
    <w:rsid w:val="00023AC4"/>
    <w:rsid w:val="00023ADB"/>
    <w:rsid w:val="000240A3"/>
    <w:rsid w:val="000241B3"/>
    <w:rsid w:val="000242EE"/>
    <w:rsid w:val="000246A0"/>
    <w:rsid w:val="00024788"/>
    <w:rsid w:val="0002483D"/>
    <w:rsid w:val="00024CCD"/>
    <w:rsid w:val="00024D2F"/>
    <w:rsid w:val="00024D71"/>
    <w:rsid w:val="00024DED"/>
    <w:rsid w:val="000251A9"/>
    <w:rsid w:val="000251DC"/>
    <w:rsid w:val="000251EA"/>
    <w:rsid w:val="000254E9"/>
    <w:rsid w:val="00025596"/>
    <w:rsid w:val="000255F7"/>
    <w:rsid w:val="000256BC"/>
    <w:rsid w:val="000256BF"/>
    <w:rsid w:val="00025743"/>
    <w:rsid w:val="00025782"/>
    <w:rsid w:val="00025863"/>
    <w:rsid w:val="000258B7"/>
    <w:rsid w:val="00025932"/>
    <w:rsid w:val="0002596A"/>
    <w:rsid w:val="000259DB"/>
    <w:rsid w:val="00025AB1"/>
    <w:rsid w:val="00025E3D"/>
    <w:rsid w:val="00026076"/>
    <w:rsid w:val="000261FA"/>
    <w:rsid w:val="000267CB"/>
    <w:rsid w:val="000267CC"/>
    <w:rsid w:val="00026837"/>
    <w:rsid w:val="00026970"/>
    <w:rsid w:val="00026D55"/>
    <w:rsid w:val="00026D78"/>
    <w:rsid w:val="00026EC2"/>
    <w:rsid w:val="00026EE7"/>
    <w:rsid w:val="000270C9"/>
    <w:rsid w:val="000271FB"/>
    <w:rsid w:val="00027329"/>
    <w:rsid w:val="000273EE"/>
    <w:rsid w:val="0002750A"/>
    <w:rsid w:val="0002752E"/>
    <w:rsid w:val="0002753F"/>
    <w:rsid w:val="000278A0"/>
    <w:rsid w:val="000278DF"/>
    <w:rsid w:val="00027BCA"/>
    <w:rsid w:val="00027C24"/>
    <w:rsid w:val="00027C3E"/>
    <w:rsid w:val="00027CC2"/>
    <w:rsid w:val="00030047"/>
    <w:rsid w:val="00030515"/>
    <w:rsid w:val="000305EF"/>
    <w:rsid w:val="000306EF"/>
    <w:rsid w:val="0003071C"/>
    <w:rsid w:val="00030749"/>
    <w:rsid w:val="00030804"/>
    <w:rsid w:val="00030930"/>
    <w:rsid w:val="00030C7D"/>
    <w:rsid w:val="00030FD1"/>
    <w:rsid w:val="0003119E"/>
    <w:rsid w:val="00031214"/>
    <w:rsid w:val="00031239"/>
    <w:rsid w:val="0003147D"/>
    <w:rsid w:val="00031A0C"/>
    <w:rsid w:val="00031CB2"/>
    <w:rsid w:val="0003226E"/>
    <w:rsid w:val="000324E0"/>
    <w:rsid w:val="0003278E"/>
    <w:rsid w:val="00032AB9"/>
    <w:rsid w:val="00032BEE"/>
    <w:rsid w:val="00032C45"/>
    <w:rsid w:val="00032E8B"/>
    <w:rsid w:val="00033141"/>
    <w:rsid w:val="0003336D"/>
    <w:rsid w:val="0003340E"/>
    <w:rsid w:val="000334B3"/>
    <w:rsid w:val="0003376A"/>
    <w:rsid w:val="000339A2"/>
    <w:rsid w:val="00033A55"/>
    <w:rsid w:val="00033ABA"/>
    <w:rsid w:val="00033B62"/>
    <w:rsid w:val="00033CC6"/>
    <w:rsid w:val="00033EFF"/>
    <w:rsid w:val="000340D5"/>
    <w:rsid w:val="00034247"/>
    <w:rsid w:val="000342E8"/>
    <w:rsid w:val="0003442F"/>
    <w:rsid w:val="000344FC"/>
    <w:rsid w:val="00034603"/>
    <w:rsid w:val="000346A3"/>
    <w:rsid w:val="00034909"/>
    <w:rsid w:val="00034D59"/>
    <w:rsid w:val="000350FF"/>
    <w:rsid w:val="00035101"/>
    <w:rsid w:val="0003522A"/>
    <w:rsid w:val="0003526A"/>
    <w:rsid w:val="00035355"/>
    <w:rsid w:val="000354F2"/>
    <w:rsid w:val="00035500"/>
    <w:rsid w:val="00035AAB"/>
    <w:rsid w:val="00035C47"/>
    <w:rsid w:val="00035CD7"/>
    <w:rsid w:val="0003628C"/>
    <w:rsid w:val="000362E2"/>
    <w:rsid w:val="000364FA"/>
    <w:rsid w:val="0003668D"/>
    <w:rsid w:val="00036745"/>
    <w:rsid w:val="00036805"/>
    <w:rsid w:val="0003680B"/>
    <w:rsid w:val="00036833"/>
    <w:rsid w:val="00036856"/>
    <w:rsid w:val="00036994"/>
    <w:rsid w:val="00036D07"/>
    <w:rsid w:val="00036D6E"/>
    <w:rsid w:val="00036DCC"/>
    <w:rsid w:val="00036F21"/>
    <w:rsid w:val="00036F94"/>
    <w:rsid w:val="00036FBE"/>
    <w:rsid w:val="000370FE"/>
    <w:rsid w:val="0003724F"/>
    <w:rsid w:val="0003737E"/>
    <w:rsid w:val="000373F9"/>
    <w:rsid w:val="00037593"/>
    <w:rsid w:val="0003763D"/>
    <w:rsid w:val="00037709"/>
    <w:rsid w:val="000377F7"/>
    <w:rsid w:val="0003789C"/>
    <w:rsid w:val="00037911"/>
    <w:rsid w:val="00037B4C"/>
    <w:rsid w:val="0004003D"/>
    <w:rsid w:val="0004046F"/>
    <w:rsid w:val="00040740"/>
    <w:rsid w:val="00040ABD"/>
    <w:rsid w:val="00040B24"/>
    <w:rsid w:val="00040B4C"/>
    <w:rsid w:val="00040CCE"/>
    <w:rsid w:val="00040D42"/>
    <w:rsid w:val="00040EC7"/>
    <w:rsid w:val="00040FB0"/>
    <w:rsid w:val="000410B4"/>
    <w:rsid w:val="00041120"/>
    <w:rsid w:val="00041175"/>
    <w:rsid w:val="000412B1"/>
    <w:rsid w:val="000412DF"/>
    <w:rsid w:val="00041487"/>
    <w:rsid w:val="00041498"/>
    <w:rsid w:val="000414A5"/>
    <w:rsid w:val="0004164A"/>
    <w:rsid w:val="00041A1A"/>
    <w:rsid w:val="00041B67"/>
    <w:rsid w:val="00041C2C"/>
    <w:rsid w:val="00041DC3"/>
    <w:rsid w:val="00041DF9"/>
    <w:rsid w:val="00041F80"/>
    <w:rsid w:val="00041FEF"/>
    <w:rsid w:val="0004223E"/>
    <w:rsid w:val="00042347"/>
    <w:rsid w:val="0004239A"/>
    <w:rsid w:val="000425A6"/>
    <w:rsid w:val="000429ED"/>
    <w:rsid w:val="00042BA1"/>
    <w:rsid w:val="00042BC5"/>
    <w:rsid w:val="00042D5A"/>
    <w:rsid w:val="00042E63"/>
    <w:rsid w:val="00042EE5"/>
    <w:rsid w:val="00042F3A"/>
    <w:rsid w:val="00043011"/>
    <w:rsid w:val="0004301E"/>
    <w:rsid w:val="00043897"/>
    <w:rsid w:val="000439DF"/>
    <w:rsid w:val="00043EF1"/>
    <w:rsid w:val="000440D9"/>
    <w:rsid w:val="00044235"/>
    <w:rsid w:val="00044324"/>
    <w:rsid w:val="00044364"/>
    <w:rsid w:val="00044369"/>
    <w:rsid w:val="000448D1"/>
    <w:rsid w:val="00044C5B"/>
    <w:rsid w:val="00044D45"/>
    <w:rsid w:val="00044DE8"/>
    <w:rsid w:val="0004502E"/>
    <w:rsid w:val="00045397"/>
    <w:rsid w:val="00045448"/>
    <w:rsid w:val="00045453"/>
    <w:rsid w:val="000454D4"/>
    <w:rsid w:val="00045761"/>
    <w:rsid w:val="000457C3"/>
    <w:rsid w:val="000457F0"/>
    <w:rsid w:val="00045828"/>
    <w:rsid w:val="000458DE"/>
    <w:rsid w:val="00045AC4"/>
    <w:rsid w:val="00045CF4"/>
    <w:rsid w:val="00045DE1"/>
    <w:rsid w:val="00045EC9"/>
    <w:rsid w:val="00045F73"/>
    <w:rsid w:val="00045FC0"/>
    <w:rsid w:val="000461BA"/>
    <w:rsid w:val="0004628D"/>
    <w:rsid w:val="000462C8"/>
    <w:rsid w:val="00046489"/>
    <w:rsid w:val="000464AA"/>
    <w:rsid w:val="00046683"/>
    <w:rsid w:val="000467FA"/>
    <w:rsid w:val="00046AC4"/>
    <w:rsid w:val="00046D1B"/>
    <w:rsid w:val="00046DAE"/>
    <w:rsid w:val="00046EA2"/>
    <w:rsid w:val="00046EC6"/>
    <w:rsid w:val="00046EF3"/>
    <w:rsid w:val="00046FE6"/>
    <w:rsid w:val="000475CB"/>
    <w:rsid w:val="00047956"/>
    <w:rsid w:val="00047A63"/>
    <w:rsid w:val="00047AC9"/>
    <w:rsid w:val="00047AE9"/>
    <w:rsid w:val="00047B07"/>
    <w:rsid w:val="00047B4F"/>
    <w:rsid w:val="00047C84"/>
    <w:rsid w:val="00047E86"/>
    <w:rsid w:val="000500D8"/>
    <w:rsid w:val="00050174"/>
    <w:rsid w:val="0005034E"/>
    <w:rsid w:val="000503A8"/>
    <w:rsid w:val="0005073F"/>
    <w:rsid w:val="00050B9B"/>
    <w:rsid w:val="00050C4E"/>
    <w:rsid w:val="00050C56"/>
    <w:rsid w:val="00050DD4"/>
    <w:rsid w:val="00051111"/>
    <w:rsid w:val="00051115"/>
    <w:rsid w:val="0005132B"/>
    <w:rsid w:val="000513AD"/>
    <w:rsid w:val="000514D4"/>
    <w:rsid w:val="0005153C"/>
    <w:rsid w:val="00051C9E"/>
    <w:rsid w:val="00051F38"/>
    <w:rsid w:val="00052080"/>
    <w:rsid w:val="00052133"/>
    <w:rsid w:val="00052164"/>
    <w:rsid w:val="00052191"/>
    <w:rsid w:val="00052830"/>
    <w:rsid w:val="00052843"/>
    <w:rsid w:val="0005289E"/>
    <w:rsid w:val="000528EE"/>
    <w:rsid w:val="00052926"/>
    <w:rsid w:val="00052B19"/>
    <w:rsid w:val="00052E75"/>
    <w:rsid w:val="00052F87"/>
    <w:rsid w:val="000530A1"/>
    <w:rsid w:val="00053486"/>
    <w:rsid w:val="00053507"/>
    <w:rsid w:val="000536A7"/>
    <w:rsid w:val="000536F5"/>
    <w:rsid w:val="00053828"/>
    <w:rsid w:val="00053B62"/>
    <w:rsid w:val="00053C03"/>
    <w:rsid w:val="00053C15"/>
    <w:rsid w:val="00053CD0"/>
    <w:rsid w:val="00053D1A"/>
    <w:rsid w:val="00053F95"/>
    <w:rsid w:val="000542A8"/>
    <w:rsid w:val="000542C8"/>
    <w:rsid w:val="000542E8"/>
    <w:rsid w:val="0005432C"/>
    <w:rsid w:val="000544E0"/>
    <w:rsid w:val="0005451E"/>
    <w:rsid w:val="000547AD"/>
    <w:rsid w:val="00054B3A"/>
    <w:rsid w:val="00054D44"/>
    <w:rsid w:val="00054D7A"/>
    <w:rsid w:val="00054FA4"/>
    <w:rsid w:val="0005521E"/>
    <w:rsid w:val="000552B1"/>
    <w:rsid w:val="0005553E"/>
    <w:rsid w:val="0005579B"/>
    <w:rsid w:val="0005595D"/>
    <w:rsid w:val="00055C5D"/>
    <w:rsid w:val="00055D3D"/>
    <w:rsid w:val="00055EF9"/>
    <w:rsid w:val="00055F61"/>
    <w:rsid w:val="00056007"/>
    <w:rsid w:val="000560F4"/>
    <w:rsid w:val="000562A5"/>
    <w:rsid w:val="000562B5"/>
    <w:rsid w:val="0005658F"/>
    <w:rsid w:val="00056802"/>
    <w:rsid w:val="000569CE"/>
    <w:rsid w:val="00056BBE"/>
    <w:rsid w:val="00057486"/>
    <w:rsid w:val="000575EE"/>
    <w:rsid w:val="00057788"/>
    <w:rsid w:val="000577EE"/>
    <w:rsid w:val="0005785E"/>
    <w:rsid w:val="000578B9"/>
    <w:rsid w:val="00057A35"/>
    <w:rsid w:val="00057AED"/>
    <w:rsid w:val="00057C11"/>
    <w:rsid w:val="00057C6A"/>
    <w:rsid w:val="00057D0D"/>
    <w:rsid w:val="00057EF2"/>
    <w:rsid w:val="00057F74"/>
    <w:rsid w:val="000601F2"/>
    <w:rsid w:val="0006021B"/>
    <w:rsid w:val="0006022A"/>
    <w:rsid w:val="0006027E"/>
    <w:rsid w:val="00060296"/>
    <w:rsid w:val="0006040A"/>
    <w:rsid w:val="0006056D"/>
    <w:rsid w:val="000607CA"/>
    <w:rsid w:val="00060806"/>
    <w:rsid w:val="000608E7"/>
    <w:rsid w:val="00060AD9"/>
    <w:rsid w:val="00060E77"/>
    <w:rsid w:val="00060F81"/>
    <w:rsid w:val="00061306"/>
    <w:rsid w:val="000614A2"/>
    <w:rsid w:val="00061548"/>
    <w:rsid w:val="0006174E"/>
    <w:rsid w:val="00061B97"/>
    <w:rsid w:val="00061DC8"/>
    <w:rsid w:val="00061F51"/>
    <w:rsid w:val="00061FB0"/>
    <w:rsid w:val="000627A6"/>
    <w:rsid w:val="00062CF2"/>
    <w:rsid w:val="000632A5"/>
    <w:rsid w:val="000635E9"/>
    <w:rsid w:val="000635ED"/>
    <w:rsid w:val="00063806"/>
    <w:rsid w:val="000639BC"/>
    <w:rsid w:val="00063A92"/>
    <w:rsid w:val="00063E33"/>
    <w:rsid w:val="000640BB"/>
    <w:rsid w:val="0006446D"/>
    <w:rsid w:val="000646FF"/>
    <w:rsid w:val="00064706"/>
    <w:rsid w:val="00064765"/>
    <w:rsid w:val="000647F8"/>
    <w:rsid w:val="00064848"/>
    <w:rsid w:val="00064877"/>
    <w:rsid w:val="00064893"/>
    <w:rsid w:val="00064928"/>
    <w:rsid w:val="00064A12"/>
    <w:rsid w:val="00064B6E"/>
    <w:rsid w:val="00064CC3"/>
    <w:rsid w:val="00064E21"/>
    <w:rsid w:val="0006534D"/>
    <w:rsid w:val="00065659"/>
    <w:rsid w:val="0006583B"/>
    <w:rsid w:val="0006595A"/>
    <w:rsid w:val="00065E96"/>
    <w:rsid w:val="0006604D"/>
    <w:rsid w:val="000660F3"/>
    <w:rsid w:val="000665F9"/>
    <w:rsid w:val="000666B8"/>
    <w:rsid w:val="00066779"/>
    <w:rsid w:val="00066C53"/>
    <w:rsid w:val="000671B9"/>
    <w:rsid w:val="00067401"/>
    <w:rsid w:val="00067438"/>
    <w:rsid w:val="00067462"/>
    <w:rsid w:val="000674F9"/>
    <w:rsid w:val="000678CF"/>
    <w:rsid w:val="00067AC5"/>
    <w:rsid w:val="00067AE2"/>
    <w:rsid w:val="00067C1E"/>
    <w:rsid w:val="00067D1D"/>
    <w:rsid w:val="00067D9F"/>
    <w:rsid w:val="00067DE5"/>
    <w:rsid w:val="00067E05"/>
    <w:rsid w:val="00067E6A"/>
    <w:rsid w:val="00067ED1"/>
    <w:rsid w:val="00070011"/>
    <w:rsid w:val="00070165"/>
    <w:rsid w:val="00070245"/>
    <w:rsid w:val="00070407"/>
    <w:rsid w:val="00070559"/>
    <w:rsid w:val="000705B9"/>
    <w:rsid w:val="000705D8"/>
    <w:rsid w:val="00070600"/>
    <w:rsid w:val="0007063F"/>
    <w:rsid w:val="00070737"/>
    <w:rsid w:val="0007079E"/>
    <w:rsid w:val="00070917"/>
    <w:rsid w:val="00070DA4"/>
    <w:rsid w:val="00070E6E"/>
    <w:rsid w:val="0007126C"/>
    <w:rsid w:val="000712E9"/>
    <w:rsid w:val="000713DA"/>
    <w:rsid w:val="000716D4"/>
    <w:rsid w:val="00071797"/>
    <w:rsid w:val="00071935"/>
    <w:rsid w:val="000722F5"/>
    <w:rsid w:val="00072470"/>
    <w:rsid w:val="00072642"/>
    <w:rsid w:val="00072768"/>
    <w:rsid w:val="00072B55"/>
    <w:rsid w:val="00072C59"/>
    <w:rsid w:val="00072D76"/>
    <w:rsid w:val="00072E97"/>
    <w:rsid w:val="00072EAE"/>
    <w:rsid w:val="000731F3"/>
    <w:rsid w:val="00073542"/>
    <w:rsid w:val="000737AB"/>
    <w:rsid w:val="0007391B"/>
    <w:rsid w:val="00073AC5"/>
    <w:rsid w:val="00073ADF"/>
    <w:rsid w:val="00073B03"/>
    <w:rsid w:val="00073D26"/>
    <w:rsid w:val="00073DB7"/>
    <w:rsid w:val="00073E7E"/>
    <w:rsid w:val="00073F06"/>
    <w:rsid w:val="00074165"/>
    <w:rsid w:val="000741BB"/>
    <w:rsid w:val="00074447"/>
    <w:rsid w:val="000747EE"/>
    <w:rsid w:val="000749F2"/>
    <w:rsid w:val="00074BBB"/>
    <w:rsid w:val="00074C8C"/>
    <w:rsid w:val="00074EF8"/>
    <w:rsid w:val="00074F59"/>
    <w:rsid w:val="000750B9"/>
    <w:rsid w:val="000759E7"/>
    <w:rsid w:val="00075A49"/>
    <w:rsid w:val="00075B26"/>
    <w:rsid w:val="0007630A"/>
    <w:rsid w:val="000766DF"/>
    <w:rsid w:val="00076793"/>
    <w:rsid w:val="00076D40"/>
    <w:rsid w:val="00076D56"/>
    <w:rsid w:val="00076E6F"/>
    <w:rsid w:val="00076EFB"/>
    <w:rsid w:val="000770DD"/>
    <w:rsid w:val="0007714F"/>
    <w:rsid w:val="0007753E"/>
    <w:rsid w:val="00077772"/>
    <w:rsid w:val="000778C4"/>
    <w:rsid w:val="000779C5"/>
    <w:rsid w:val="00077A86"/>
    <w:rsid w:val="00077C29"/>
    <w:rsid w:val="00077C5D"/>
    <w:rsid w:val="0008029B"/>
    <w:rsid w:val="000803B2"/>
    <w:rsid w:val="0008045F"/>
    <w:rsid w:val="000804DE"/>
    <w:rsid w:val="00080640"/>
    <w:rsid w:val="00080697"/>
    <w:rsid w:val="00080867"/>
    <w:rsid w:val="00080BEC"/>
    <w:rsid w:val="00080D32"/>
    <w:rsid w:val="00080DC3"/>
    <w:rsid w:val="00081162"/>
    <w:rsid w:val="000812D4"/>
    <w:rsid w:val="00081508"/>
    <w:rsid w:val="00081563"/>
    <w:rsid w:val="00081596"/>
    <w:rsid w:val="00081673"/>
    <w:rsid w:val="000817A5"/>
    <w:rsid w:val="000817AA"/>
    <w:rsid w:val="000817ED"/>
    <w:rsid w:val="00081D38"/>
    <w:rsid w:val="00081DD7"/>
    <w:rsid w:val="00081EDB"/>
    <w:rsid w:val="00081FB5"/>
    <w:rsid w:val="00082173"/>
    <w:rsid w:val="0008233D"/>
    <w:rsid w:val="00082358"/>
    <w:rsid w:val="00082421"/>
    <w:rsid w:val="00082422"/>
    <w:rsid w:val="00082489"/>
    <w:rsid w:val="0008265F"/>
    <w:rsid w:val="000826D0"/>
    <w:rsid w:val="000828E4"/>
    <w:rsid w:val="00082B6A"/>
    <w:rsid w:val="00082BB9"/>
    <w:rsid w:val="00082CD5"/>
    <w:rsid w:val="00082F0E"/>
    <w:rsid w:val="000830CB"/>
    <w:rsid w:val="00083235"/>
    <w:rsid w:val="0008369E"/>
    <w:rsid w:val="00083B09"/>
    <w:rsid w:val="00083E2C"/>
    <w:rsid w:val="00084236"/>
    <w:rsid w:val="0008430B"/>
    <w:rsid w:val="0008441B"/>
    <w:rsid w:val="000845EB"/>
    <w:rsid w:val="00084604"/>
    <w:rsid w:val="0008475F"/>
    <w:rsid w:val="0008492A"/>
    <w:rsid w:val="00084B2F"/>
    <w:rsid w:val="00084F81"/>
    <w:rsid w:val="00084FDB"/>
    <w:rsid w:val="00085018"/>
    <w:rsid w:val="000850FE"/>
    <w:rsid w:val="0008549C"/>
    <w:rsid w:val="00085717"/>
    <w:rsid w:val="0008578B"/>
    <w:rsid w:val="000857B6"/>
    <w:rsid w:val="00085B38"/>
    <w:rsid w:val="00085B41"/>
    <w:rsid w:val="00085D48"/>
    <w:rsid w:val="00085D80"/>
    <w:rsid w:val="00085DB3"/>
    <w:rsid w:val="00085DDA"/>
    <w:rsid w:val="00085FE3"/>
    <w:rsid w:val="000862B2"/>
    <w:rsid w:val="000863D8"/>
    <w:rsid w:val="00086595"/>
    <w:rsid w:val="0008665E"/>
    <w:rsid w:val="00086801"/>
    <w:rsid w:val="000869F5"/>
    <w:rsid w:val="00086AE2"/>
    <w:rsid w:val="00086B14"/>
    <w:rsid w:val="00086C77"/>
    <w:rsid w:val="00086D3B"/>
    <w:rsid w:val="0008715D"/>
    <w:rsid w:val="0008741C"/>
    <w:rsid w:val="0008741D"/>
    <w:rsid w:val="000877C7"/>
    <w:rsid w:val="00087878"/>
    <w:rsid w:val="00087B86"/>
    <w:rsid w:val="00087B94"/>
    <w:rsid w:val="00087DEA"/>
    <w:rsid w:val="00090329"/>
    <w:rsid w:val="0009035F"/>
    <w:rsid w:val="000904ED"/>
    <w:rsid w:val="00090627"/>
    <w:rsid w:val="00090898"/>
    <w:rsid w:val="000908EE"/>
    <w:rsid w:val="0009090A"/>
    <w:rsid w:val="000909B0"/>
    <w:rsid w:val="00090A5B"/>
    <w:rsid w:val="00090AEF"/>
    <w:rsid w:val="00090B8E"/>
    <w:rsid w:val="00090BB8"/>
    <w:rsid w:val="00090BE0"/>
    <w:rsid w:val="00091228"/>
    <w:rsid w:val="00091298"/>
    <w:rsid w:val="0009145D"/>
    <w:rsid w:val="000914D6"/>
    <w:rsid w:val="000916C7"/>
    <w:rsid w:val="00091CF7"/>
    <w:rsid w:val="0009202B"/>
    <w:rsid w:val="000920F5"/>
    <w:rsid w:val="00092123"/>
    <w:rsid w:val="00092207"/>
    <w:rsid w:val="00092293"/>
    <w:rsid w:val="0009231E"/>
    <w:rsid w:val="000926C9"/>
    <w:rsid w:val="00092824"/>
    <w:rsid w:val="0009288C"/>
    <w:rsid w:val="00092F8E"/>
    <w:rsid w:val="00093190"/>
    <w:rsid w:val="000935E7"/>
    <w:rsid w:val="0009378E"/>
    <w:rsid w:val="00093B12"/>
    <w:rsid w:val="00093C7B"/>
    <w:rsid w:val="00094735"/>
    <w:rsid w:val="000947BC"/>
    <w:rsid w:val="00094878"/>
    <w:rsid w:val="00094A0F"/>
    <w:rsid w:val="00094ACA"/>
    <w:rsid w:val="00094C55"/>
    <w:rsid w:val="000950AA"/>
    <w:rsid w:val="0009515F"/>
    <w:rsid w:val="00095161"/>
    <w:rsid w:val="0009516E"/>
    <w:rsid w:val="000954C9"/>
    <w:rsid w:val="00095589"/>
    <w:rsid w:val="0009559E"/>
    <w:rsid w:val="00095672"/>
    <w:rsid w:val="000957FF"/>
    <w:rsid w:val="00095815"/>
    <w:rsid w:val="00095C37"/>
    <w:rsid w:val="00095C7F"/>
    <w:rsid w:val="00095E81"/>
    <w:rsid w:val="00095F04"/>
    <w:rsid w:val="00095FCD"/>
    <w:rsid w:val="000960E4"/>
    <w:rsid w:val="00096179"/>
    <w:rsid w:val="0009618B"/>
    <w:rsid w:val="000961DB"/>
    <w:rsid w:val="0009622D"/>
    <w:rsid w:val="0009636C"/>
    <w:rsid w:val="00096A8D"/>
    <w:rsid w:val="00096C4A"/>
    <w:rsid w:val="00096D8C"/>
    <w:rsid w:val="00096D99"/>
    <w:rsid w:val="00096E32"/>
    <w:rsid w:val="00097226"/>
    <w:rsid w:val="00097633"/>
    <w:rsid w:val="00097643"/>
    <w:rsid w:val="00097A61"/>
    <w:rsid w:val="00097A89"/>
    <w:rsid w:val="00097CE1"/>
    <w:rsid w:val="00097D09"/>
    <w:rsid w:val="00097E2E"/>
    <w:rsid w:val="000A0034"/>
    <w:rsid w:val="000A0172"/>
    <w:rsid w:val="000A0192"/>
    <w:rsid w:val="000A0240"/>
    <w:rsid w:val="000A02B5"/>
    <w:rsid w:val="000A02F9"/>
    <w:rsid w:val="000A0772"/>
    <w:rsid w:val="000A0CBB"/>
    <w:rsid w:val="000A0E8E"/>
    <w:rsid w:val="000A10B4"/>
    <w:rsid w:val="000A12BC"/>
    <w:rsid w:val="000A1395"/>
    <w:rsid w:val="000A1486"/>
    <w:rsid w:val="000A163E"/>
    <w:rsid w:val="000A1792"/>
    <w:rsid w:val="000A183F"/>
    <w:rsid w:val="000A1A0A"/>
    <w:rsid w:val="000A1B89"/>
    <w:rsid w:val="000A1D02"/>
    <w:rsid w:val="000A1D27"/>
    <w:rsid w:val="000A1DFB"/>
    <w:rsid w:val="000A1FA1"/>
    <w:rsid w:val="000A21B6"/>
    <w:rsid w:val="000A22F5"/>
    <w:rsid w:val="000A2476"/>
    <w:rsid w:val="000A252C"/>
    <w:rsid w:val="000A2A79"/>
    <w:rsid w:val="000A2ACE"/>
    <w:rsid w:val="000A2F71"/>
    <w:rsid w:val="000A33A1"/>
    <w:rsid w:val="000A343C"/>
    <w:rsid w:val="000A3495"/>
    <w:rsid w:val="000A34C4"/>
    <w:rsid w:val="000A365E"/>
    <w:rsid w:val="000A3A49"/>
    <w:rsid w:val="000A3AA0"/>
    <w:rsid w:val="000A3EBC"/>
    <w:rsid w:val="000A3FC0"/>
    <w:rsid w:val="000A3FD9"/>
    <w:rsid w:val="000A40D1"/>
    <w:rsid w:val="000A40FB"/>
    <w:rsid w:val="000A4177"/>
    <w:rsid w:val="000A4262"/>
    <w:rsid w:val="000A4268"/>
    <w:rsid w:val="000A42AC"/>
    <w:rsid w:val="000A4466"/>
    <w:rsid w:val="000A473A"/>
    <w:rsid w:val="000A47BF"/>
    <w:rsid w:val="000A4A03"/>
    <w:rsid w:val="000A4CE0"/>
    <w:rsid w:val="000A4EA0"/>
    <w:rsid w:val="000A5156"/>
    <w:rsid w:val="000A528D"/>
    <w:rsid w:val="000A5391"/>
    <w:rsid w:val="000A5AF8"/>
    <w:rsid w:val="000A5C9E"/>
    <w:rsid w:val="000A5DE4"/>
    <w:rsid w:val="000A5F05"/>
    <w:rsid w:val="000A6717"/>
    <w:rsid w:val="000A671C"/>
    <w:rsid w:val="000A680A"/>
    <w:rsid w:val="000A6AA0"/>
    <w:rsid w:val="000A6B96"/>
    <w:rsid w:val="000A6D55"/>
    <w:rsid w:val="000A6EBD"/>
    <w:rsid w:val="000A708A"/>
    <w:rsid w:val="000A7308"/>
    <w:rsid w:val="000A7472"/>
    <w:rsid w:val="000A7580"/>
    <w:rsid w:val="000A76B7"/>
    <w:rsid w:val="000A7713"/>
    <w:rsid w:val="000A786A"/>
    <w:rsid w:val="000A787F"/>
    <w:rsid w:val="000A7C8E"/>
    <w:rsid w:val="000A7DF1"/>
    <w:rsid w:val="000B015C"/>
    <w:rsid w:val="000B03A2"/>
    <w:rsid w:val="000B047D"/>
    <w:rsid w:val="000B0583"/>
    <w:rsid w:val="000B061B"/>
    <w:rsid w:val="000B07C0"/>
    <w:rsid w:val="000B0926"/>
    <w:rsid w:val="000B0B06"/>
    <w:rsid w:val="000B0B53"/>
    <w:rsid w:val="000B0CCB"/>
    <w:rsid w:val="000B0D98"/>
    <w:rsid w:val="000B0FDC"/>
    <w:rsid w:val="000B1139"/>
    <w:rsid w:val="000B11BB"/>
    <w:rsid w:val="000B137E"/>
    <w:rsid w:val="000B1422"/>
    <w:rsid w:val="000B1716"/>
    <w:rsid w:val="000B17D6"/>
    <w:rsid w:val="000B19CF"/>
    <w:rsid w:val="000B1C8A"/>
    <w:rsid w:val="000B1D6E"/>
    <w:rsid w:val="000B1DAF"/>
    <w:rsid w:val="000B1E83"/>
    <w:rsid w:val="000B1F35"/>
    <w:rsid w:val="000B2049"/>
    <w:rsid w:val="000B229D"/>
    <w:rsid w:val="000B243A"/>
    <w:rsid w:val="000B2658"/>
    <w:rsid w:val="000B26F2"/>
    <w:rsid w:val="000B28BA"/>
    <w:rsid w:val="000B2902"/>
    <w:rsid w:val="000B2B75"/>
    <w:rsid w:val="000B2B77"/>
    <w:rsid w:val="000B2C03"/>
    <w:rsid w:val="000B2E98"/>
    <w:rsid w:val="000B2EE0"/>
    <w:rsid w:val="000B3154"/>
    <w:rsid w:val="000B3824"/>
    <w:rsid w:val="000B396C"/>
    <w:rsid w:val="000B3B3D"/>
    <w:rsid w:val="000B3C61"/>
    <w:rsid w:val="000B3DCB"/>
    <w:rsid w:val="000B402C"/>
    <w:rsid w:val="000B404F"/>
    <w:rsid w:val="000B411B"/>
    <w:rsid w:val="000B4202"/>
    <w:rsid w:val="000B432F"/>
    <w:rsid w:val="000B44F7"/>
    <w:rsid w:val="000B4744"/>
    <w:rsid w:val="000B48A1"/>
    <w:rsid w:val="000B4A8D"/>
    <w:rsid w:val="000B4BA4"/>
    <w:rsid w:val="000B4D38"/>
    <w:rsid w:val="000B50C5"/>
    <w:rsid w:val="000B50CD"/>
    <w:rsid w:val="000B516E"/>
    <w:rsid w:val="000B524F"/>
    <w:rsid w:val="000B528F"/>
    <w:rsid w:val="000B54C4"/>
    <w:rsid w:val="000B5595"/>
    <w:rsid w:val="000B56DC"/>
    <w:rsid w:val="000B57CC"/>
    <w:rsid w:val="000B57DC"/>
    <w:rsid w:val="000B5AB9"/>
    <w:rsid w:val="000B633D"/>
    <w:rsid w:val="000B663E"/>
    <w:rsid w:val="000B66D1"/>
    <w:rsid w:val="000B68D5"/>
    <w:rsid w:val="000B690C"/>
    <w:rsid w:val="000B6AF4"/>
    <w:rsid w:val="000B6B7E"/>
    <w:rsid w:val="000B6E06"/>
    <w:rsid w:val="000B6FA2"/>
    <w:rsid w:val="000B6FF9"/>
    <w:rsid w:val="000B7018"/>
    <w:rsid w:val="000B70BD"/>
    <w:rsid w:val="000B72D0"/>
    <w:rsid w:val="000B72F6"/>
    <w:rsid w:val="000B7322"/>
    <w:rsid w:val="000B73F0"/>
    <w:rsid w:val="000B73F2"/>
    <w:rsid w:val="000B7433"/>
    <w:rsid w:val="000B75A7"/>
    <w:rsid w:val="000B7633"/>
    <w:rsid w:val="000B7713"/>
    <w:rsid w:val="000B772F"/>
    <w:rsid w:val="000B7894"/>
    <w:rsid w:val="000B7AE4"/>
    <w:rsid w:val="000B7BBD"/>
    <w:rsid w:val="000B7C2A"/>
    <w:rsid w:val="000B7C72"/>
    <w:rsid w:val="000B7DDB"/>
    <w:rsid w:val="000B7EC6"/>
    <w:rsid w:val="000B7FD0"/>
    <w:rsid w:val="000C00E0"/>
    <w:rsid w:val="000C04C7"/>
    <w:rsid w:val="000C052C"/>
    <w:rsid w:val="000C067C"/>
    <w:rsid w:val="000C0714"/>
    <w:rsid w:val="000C085E"/>
    <w:rsid w:val="000C095D"/>
    <w:rsid w:val="000C0B78"/>
    <w:rsid w:val="000C0BBA"/>
    <w:rsid w:val="000C0FF3"/>
    <w:rsid w:val="000C1254"/>
    <w:rsid w:val="000C1458"/>
    <w:rsid w:val="000C17F0"/>
    <w:rsid w:val="000C1922"/>
    <w:rsid w:val="000C1B3A"/>
    <w:rsid w:val="000C1C25"/>
    <w:rsid w:val="000C1CC3"/>
    <w:rsid w:val="000C2045"/>
    <w:rsid w:val="000C20C9"/>
    <w:rsid w:val="000C21B8"/>
    <w:rsid w:val="000C2242"/>
    <w:rsid w:val="000C23A3"/>
    <w:rsid w:val="000C26FF"/>
    <w:rsid w:val="000C278D"/>
    <w:rsid w:val="000C27B8"/>
    <w:rsid w:val="000C2920"/>
    <w:rsid w:val="000C2C92"/>
    <w:rsid w:val="000C2F57"/>
    <w:rsid w:val="000C318B"/>
    <w:rsid w:val="000C334D"/>
    <w:rsid w:val="000C36AA"/>
    <w:rsid w:val="000C36C7"/>
    <w:rsid w:val="000C375C"/>
    <w:rsid w:val="000C383E"/>
    <w:rsid w:val="000C389C"/>
    <w:rsid w:val="000C3A0C"/>
    <w:rsid w:val="000C3B0F"/>
    <w:rsid w:val="000C3EE7"/>
    <w:rsid w:val="000C40AF"/>
    <w:rsid w:val="000C4198"/>
    <w:rsid w:val="000C4297"/>
    <w:rsid w:val="000C4518"/>
    <w:rsid w:val="000C4B5C"/>
    <w:rsid w:val="000C4E80"/>
    <w:rsid w:val="000C4ECE"/>
    <w:rsid w:val="000C4F1E"/>
    <w:rsid w:val="000C51F6"/>
    <w:rsid w:val="000C5337"/>
    <w:rsid w:val="000C5412"/>
    <w:rsid w:val="000C56B2"/>
    <w:rsid w:val="000C5744"/>
    <w:rsid w:val="000C58D2"/>
    <w:rsid w:val="000C5A66"/>
    <w:rsid w:val="000C5AC2"/>
    <w:rsid w:val="000C5BDA"/>
    <w:rsid w:val="000C5C8F"/>
    <w:rsid w:val="000C5E9F"/>
    <w:rsid w:val="000C5FB4"/>
    <w:rsid w:val="000C6035"/>
    <w:rsid w:val="000C604A"/>
    <w:rsid w:val="000C64B4"/>
    <w:rsid w:val="000C6554"/>
    <w:rsid w:val="000C66D3"/>
    <w:rsid w:val="000C6A63"/>
    <w:rsid w:val="000C6EBE"/>
    <w:rsid w:val="000C6FA4"/>
    <w:rsid w:val="000C719C"/>
    <w:rsid w:val="000C72A7"/>
    <w:rsid w:val="000C7369"/>
    <w:rsid w:val="000C73B8"/>
    <w:rsid w:val="000C74BD"/>
    <w:rsid w:val="000C7ADB"/>
    <w:rsid w:val="000C7B67"/>
    <w:rsid w:val="000C7EA2"/>
    <w:rsid w:val="000C7F5B"/>
    <w:rsid w:val="000C7F68"/>
    <w:rsid w:val="000C7FA1"/>
    <w:rsid w:val="000D03D1"/>
    <w:rsid w:val="000D0658"/>
    <w:rsid w:val="000D06B8"/>
    <w:rsid w:val="000D0845"/>
    <w:rsid w:val="000D088F"/>
    <w:rsid w:val="000D0C97"/>
    <w:rsid w:val="000D1169"/>
    <w:rsid w:val="000D12D1"/>
    <w:rsid w:val="000D13A4"/>
    <w:rsid w:val="000D1424"/>
    <w:rsid w:val="000D1679"/>
    <w:rsid w:val="000D185C"/>
    <w:rsid w:val="000D1CE6"/>
    <w:rsid w:val="000D1D2D"/>
    <w:rsid w:val="000D1E59"/>
    <w:rsid w:val="000D1F7E"/>
    <w:rsid w:val="000D2074"/>
    <w:rsid w:val="000D2214"/>
    <w:rsid w:val="000D2248"/>
    <w:rsid w:val="000D22A8"/>
    <w:rsid w:val="000D29B8"/>
    <w:rsid w:val="000D29C5"/>
    <w:rsid w:val="000D2C11"/>
    <w:rsid w:val="000D2E78"/>
    <w:rsid w:val="000D2F0C"/>
    <w:rsid w:val="000D2F5C"/>
    <w:rsid w:val="000D2F94"/>
    <w:rsid w:val="000D328A"/>
    <w:rsid w:val="000D3349"/>
    <w:rsid w:val="000D33D4"/>
    <w:rsid w:val="000D349B"/>
    <w:rsid w:val="000D362A"/>
    <w:rsid w:val="000D3682"/>
    <w:rsid w:val="000D3886"/>
    <w:rsid w:val="000D3B5A"/>
    <w:rsid w:val="000D3F08"/>
    <w:rsid w:val="000D400D"/>
    <w:rsid w:val="000D41B2"/>
    <w:rsid w:val="000D4373"/>
    <w:rsid w:val="000D4728"/>
    <w:rsid w:val="000D4772"/>
    <w:rsid w:val="000D482F"/>
    <w:rsid w:val="000D48B7"/>
    <w:rsid w:val="000D4999"/>
    <w:rsid w:val="000D4ACE"/>
    <w:rsid w:val="000D57BF"/>
    <w:rsid w:val="000D5D31"/>
    <w:rsid w:val="000D600A"/>
    <w:rsid w:val="000D6036"/>
    <w:rsid w:val="000D63BB"/>
    <w:rsid w:val="000D64C4"/>
    <w:rsid w:val="000D6567"/>
    <w:rsid w:val="000D6674"/>
    <w:rsid w:val="000D678E"/>
    <w:rsid w:val="000D68DC"/>
    <w:rsid w:val="000D69CA"/>
    <w:rsid w:val="000D6B46"/>
    <w:rsid w:val="000D6B91"/>
    <w:rsid w:val="000D6CEC"/>
    <w:rsid w:val="000D6DC9"/>
    <w:rsid w:val="000D6DCE"/>
    <w:rsid w:val="000D6ECF"/>
    <w:rsid w:val="000D6FCE"/>
    <w:rsid w:val="000D71D1"/>
    <w:rsid w:val="000D73B6"/>
    <w:rsid w:val="000D747C"/>
    <w:rsid w:val="000D7649"/>
    <w:rsid w:val="000D769F"/>
    <w:rsid w:val="000D770E"/>
    <w:rsid w:val="000D7738"/>
    <w:rsid w:val="000D794D"/>
    <w:rsid w:val="000D7AB0"/>
    <w:rsid w:val="000D7C13"/>
    <w:rsid w:val="000D7C27"/>
    <w:rsid w:val="000D7D03"/>
    <w:rsid w:val="000D7F9A"/>
    <w:rsid w:val="000D7FB8"/>
    <w:rsid w:val="000E006A"/>
    <w:rsid w:val="000E0074"/>
    <w:rsid w:val="000E014D"/>
    <w:rsid w:val="000E016B"/>
    <w:rsid w:val="000E0437"/>
    <w:rsid w:val="000E0496"/>
    <w:rsid w:val="000E0833"/>
    <w:rsid w:val="000E09E9"/>
    <w:rsid w:val="000E0A13"/>
    <w:rsid w:val="000E0A27"/>
    <w:rsid w:val="000E0AC0"/>
    <w:rsid w:val="000E0C33"/>
    <w:rsid w:val="000E0C3E"/>
    <w:rsid w:val="000E0FB3"/>
    <w:rsid w:val="000E1106"/>
    <w:rsid w:val="000E13C3"/>
    <w:rsid w:val="000E1519"/>
    <w:rsid w:val="000E1556"/>
    <w:rsid w:val="000E1781"/>
    <w:rsid w:val="000E1DC3"/>
    <w:rsid w:val="000E1F45"/>
    <w:rsid w:val="000E1FE2"/>
    <w:rsid w:val="000E219D"/>
    <w:rsid w:val="000E2592"/>
    <w:rsid w:val="000E2919"/>
    <w:rsid w:val="000E29F8"/>
    <w:rsid w:val="000E2E7B"/>
    <w:rsid w:val="000E30D2"/>
    <w:rsid w:val="000E32A8"/>
    <w:rsid w:val="000E32D7"/>
    <w:rsid w:val="000E33EB"/>
    <w:rsid w:val="000E3497"/>
    <w:rsid w:val="000E34CA"/>
    <w:rsid w:val="000E396C"/>
    <w:rsid w:val="000E3A60"/>
    <w:rsid w:val="000E3CB2"/>
    <w:rsid w:val="000E3CD1"/>
    <w:rsid w:val="000E3D9B"/>
    <w:rsid w:val="000E3DAA"/>
    <w:rsid w:val="000E3E94"/>
    <w:rsid w:val="000E415A"/>
    <w:rsid w:val="000E4167"/>
    <w:rsid w:val="000E4361"/>
    <w:rsid w:val="000E4389"/>
    <w:rsid w:val="000E46F0"/>
    <w:rsid w:val="000E477F"/>
    <w:rsid w:val="000E47CD"/>
    <w:rsid w:val="000E49BE"/>
    <w:rsid w:val="000E4C1A"/>
    <w:rsid w:val="000E4D1A"/>
    <w:rsid w:val="000E4DED"/>
    <w:rsid w:val="000E4E3A"/>
    <w:rsid w:val="000E4EBE"/>
    <w:rsid w:val="000E510A"/>
    <w:rsid w:val="000E5187"/>
    <w:rsid w:val="000E51D4"/>
    <w:rsid w:val="000E5528"/>
    <w:rsid w:val="000E5620"/>
    <w:rsid w:val="000E5636"/>
    <w:rsid w:val="000E5683"/>
    <w:rsid w:val="000E5704"/>
    <w:rsid w:val="000E579B"/>
    <w:rsid w:val="000E58B4"/>
    <w:rsid w:val="000E58B5"/>
    <w:rsid w:val="000E59D4"/>
    <w:rsid w:val="000E5C16"/>
    <w:rsid w:val="000E5D45"/>
    <w:rsid w:val="000E5EE0"/>
    <w:rsid w:val="000E632D"/>
    <w:rsid w:val="000E6399"/>
    <w:rsid w:val="000E65C6"/>
    <w:rsid w:val="000E674B"/>
    <w:rsid w:val="000E6755"/>
    <w:rsid w:val="000E69FA"/>
    <w:rsid w:val="000E6B79"/>
    <w:rsid w:val="000E6B97"/>
    <w:rsid w:val="000E6D67"/>
    <w:rsid w:val="000E6ECE"/>
    <w:rsid w:val="000E75D8"/>
    <w:rsid w:val="000E75FF"/>
    <w:rsid w:val="000E760B"/>
    <w:rsid w:val="000E7635"/>
    <w:rsid w:val="000E78E6"/>
    <w:rsid w:val="000E7A63"/>
    <w:rsid w:val="000E7ADA"/>
    <w:rsid w:val="000E7B36"/>
    <w:rsid w:val="000E7C33"/>
    <w:rsid w:val="000E7EBB"/>
    <w:rsid w:val="000E7EC2"/>
    <w:rsid w:val="000F003F"/>
    <w:rsid w:val="000F0126"/>
    <w:rsid w:val="000F022C"/>
    <w:rsid w:val="000F02D0"/>
    <w:rsid w:val="000F0405"/>
    <w:rsid w:val="000F0552"/>
    <w:rsid w:val="000F0A78"/>
    <w:rsid w:val="000F0E38"/>
    <w:rsid w:val="000F1205"/>
    <w:rsid w:val="000F16A1"/>
    <w:rsid w:val="000F1747"/>
    <w:rsid w:val="000F1C8D"/>
    <w:rsid w:val="000F1CD6"/>
    <w:rsid w:val="000F2368"/>
    <w:rsid w:val="000F246E"/>
    <w:rsid w:val="000F24C8"/>
    <w:rsid w:val="000F24CA"/>
    <w:rsid w:val="000F2663"/>
    <w:rsid w:val="000F26A5"/>
    <w:rsid w:val="000F2A32"/>
    <w:rsid w:val="000F2B25"/>
    <w:rsid w:val="000F2D11"/>
    <w:rsid w:val="000F2D17"/>
    <w:rsid w:val="000F2D60"/>
    <w:rsid w:val="000F2E34"/>
    <w:rsid w:val="000F2E62"/>
    <w:rsid w:val="000F3640"/>
    <w:rsid w:val="000F392F"/>
    <w:rsid w:val="000F3A2A"/>
    <w:rsid w:val="000F3B3A"/>
    <w:rsid w:val="000F3B43"/>
    <w:rsid w:val="000F3F3F"/>
    <w:rsid w:val="000F404B"/>
    <w:rsid w:val="000F404C"/>
    <w:rsid w:val="000F416D"/>
    <w:rsid w:val="000F421F"/>
    <w:rsid w:val="000F4332"/>
    <w:rsid w:val="000F4378"/>
    <w:rsid w:val="000F4581"/>
    <w:rsid w:val="000F4922"/>
    <w:rsid w:val="000F4A5E"/>
    <w:rsid w:val="000F4AAD"/>
    <w:rsid w:val="000F4E86"/>
    <w:rsid w:val="000F4F35"/>
    <w:rsid w:val="000F5136"/>
    <w:rsid w:val="000F5B0A"/>
    <w:rsid w:val="000F5C3B"/>
    <w:rsid w:val="000F5E23"/>
    <w:rsid w:val="000F5EA7"/>
    <w:rsid w:val="000F616F"/>
    <w:rsid w:val="000F6272"/>
    <w:rsid w:val="000F62C3"/>
    <w:rsid w:val="000F62DA"/>
    <w:rsid w:val="000F638F"/>
    <w:rsid w:val="000F64CE"/>
    <w:rsid w:val="000F6568"/>
    <w:rsid w:val="000F685C"/>
    <w:rsid w:val="000F697B"/>
    <w:rsid w:val="000F6CBF"/>
    <w:rsid w:val="000F7175"/>
    <w:rsid w:val="000F723F"/>
    <w:rsid w:val="000F7267"/>
    <w:rsid w:val="000F7507"/>
    <w:rsid w:val="000F761E"/>
    <w:rsid w:val="000F781B"/>
    <w:rsid w:val="000F7933"/>
    <w:rsid w:val="000F7BA2"/>
    <w:rsid w:val="000F7C99"/>
    <w:rsid w:val="000F7CA5"/>
    <w:rsid w:val="000F7CCF"/>
    <w:rsid w:val="000F7FA5"/>
    <w:rsid w:val="000F7FD8"/>
    <w:rsid w:val="001002C3"/>
    <w:rsid w:val="0010045C"/>
    <w:rsid w:val="001005A0"/>
    <w:rsid w:val="001006BE"/>
    <w:rsid w:val="00100787"/>
    <w:rsid w:val="001007C8"/>
    <w:rsid w:val="00100942"/>
    <w:rsid w:val="00100989"/>
    <w:rsid w:val="00100A22"/>
    <w:rsid w:val="00100EFD"/>
    <w:rsid w:val="00101484"/>
    <w:rsid w:val="001014A5"/>
    <w:rsid w:val="001015CD"/>
    <w:rsid w:val="001019FC"/>
    <w:rsid w:val="00101A52"/>
    <w:rsid w:val="00101A9B"/>
    <w:rsid w:val="00101F2E"/>
    <w:rsid w:val="00102144"/>
    <w:rsid w:val="0010219A"/>
    <w:rsid w:val="0010247B"/>
    <w:rsid w:val="00102726"/>
    <w:rsid w:val="0010274C"/>
    <w:rsid w:val="001029B8"/>
    <w:rsid w:val="00102A1A"/>
    <w:rsid w:val="00102BE7"/>
    <w:rsid w:val="00102DEA"/>
    <w:rsid w:val="00103054"/>
    <w:rsid w:val="001030AC"/>
    <w:rsid w:val="0010310F"/>
    <w:rsid w:val="0010343B"/>
    <w:rsid w:val="0010358C"/>
    <w:rsid w:val="00103993"/>
    <w:rsid w:val="001039C0"/>
    <w:rsid w:val="00103A61"/>
    <w:rsid w:val="00103CBE"/>
    <w:rsid w:val="00103DB2"/>
    <w:rsid w:val="0010418B"/>
    <w:rsid w:val="001047B1"/>
    <w:rsid w:val="00104B4A"/>
    <w:rsid w:val="00104BD6"/>
    <w:rsid w:val="00104C5A"/>
    <w:rsid w:val="00104E8A"/>
    <w:rsid w:val="00104E92"/>
    <w:rsid w:val="00104FA6"/>
    <w:rsid w:val="00105377"/>
    <w:rsid w:val="0010547A"/>
    <w:rsid w:val="00105705"/>
    <w:rsid w:val="001058E8"/>
    <w:rsid w:val="00105C6C"/>
    <w:rsid w:val="00105D33"/>
    <w:rsid w:val="00106155"/>
    <w:rsid w:val="001066FE"/>
    <w:rsid w:val="00106750"/>
    <w:rsid w:val="00106ABC"/>
    <w:rsid w:val="00106B3A"/>
    <w:rsid w:val="00106C4F"/>
    <w:rsid w:val="00106DB0"/>
    <w:rsid w:val="00106FD6"/>
    <w:rsid w:val="001072AD"/>
    <w:rsid w:val="001073D3"/>
    <w:rsid w:val="001075AA"/>
    <w:rsid w:val="0010786C"/>
    <w:rsid w:val="00107B1A"/>
    <w:rsid w:val="00107CA1"/>
    <w:rsid w:val="00107E18"/>
    <w:rsid w:val="00107F62"/>
    <w:rsid w:val="00107F80"/>
    <w:rsid w:val="00110352"/>
    <w:rsid w:val="0011037C"/>
    <w:rsid w:val="0011038C"/>
    <w:rsid w:val="00110946"/>
    <w:rsid w:val="001109BA"/>
    <w:rsid w:val="00110AA4"/>
    <w:rsid w:val="00110C53"/>
    <w:rsid w:val="00110C56"/>
    <w:rsid w:val="00110C81"/>
    <w:rsid w:val="00110CAE"/>
    <w:rsid w:val="00110DE9"/>
    <w:rsid w:val="00111179"/>
    <w:rsid w:val="001113F2"/>
    <w:rsid w:val="001119E9"/>
    <w:rsid w:val="00111A42"/>
    <w:rsid w:val="00111A69"/>
    <w:rsid w:val="00111B66"/>
    <w:rsid w:val="00111D9C"/>
    <w:rsid w:val="00111E82"/>
    <w:rsid w:val="00111FC0"/>
    <w:rsid w:val="00112022"/>
    <w:rsid w:val="001121B1"/>
    <w:rsid w:val="0011240B"/>
    <w:rsid w:val="0011247D"/>
    <w:rsid w:val="00112616"/>
    <w:rsid w:val="001127F7"/>
    <w:rsid w:val="00112817"/>
    <w:rsid w:val="00112A66"/>
    <w:rsid w:val="00112AC1"/>
    <w:rsid w:val="00112B0D"/>
    <w:rsid w:val="00112B3C"/>
    <w:rsid w:val="00112CD6"/>
    <w:rsid w:val="00112DAC"/>
    <w:rsid w:val="00112EAD"/>
    <w:rsid w:val="00112F69"/>
    <w:rsid w:val="001133C3"/>
    <w:rsid w:val="00113475"/>
    <w:rsid w:val="001136DA"/>
    <w:rsid w:val="00113702"/>
    <w:rsid w:val="001137AB"/>
    <w:rsid w:val="0011388B"/>
    <w:rsid w:val="0011394D"/>
    <w:rsid w:val="00113B5D"/>
    <w:rsid w:val="00113C52"/>
    <w:rsid w:val="00113CA1"/>
    <w:rsid w:val="00113DDB"/>
    <w:rsid w:val="00113E02"/>
    <w:rsid w:val="00113E47"/>
    <w:rsid w:val="001144BC"/>
    <w:rsid w:val="00114588"/>
    <w:rsid w:val="001147E3"/>
    <w:rsid w:val="0011490E"/>
    <w:rsid w:val="00114EC6"/>
    <w:rsid w:val="00114F0F"/>
    <w:rsid w:val="0011521C"/>
    <w:rsid w:val="0011536A"/>
    <w:rsid w:val="0011536C"/>
    <w:rsid w:val="001153B1"/>
    <w:rsid w:val="001153D7"/>
    <w:rsid w:val="001154D7"/>
    <w:rsid w:val="001154F7"/>
    <w:rsid w:val="001158D5"/>
    <w:rsid w:val="00115A4B"/>
    <w:rsid w:val="00115A6C"/>
    <w:rsid w:val="00115AE8"/>
    <w:rsid w:val="00115BEE"/>
    <w:rsid w:val="00115D76"/>
    <w:rsid w:val="00115F1B"/>
    <w:rsid w:val="00115F2A"/>
    <w:rsid w:val="00115FB7"/>
    <w:rsid w:val="00116149"/>
    <w:rsid w:val="00116311"/>
    <w:rsid w:val="0011633C"/>
    <w:rsid w:val="0011635F"/>
    <w:rsid w:val="0011661B"/>
    <w:rsid w:val="0011679E"/>
    <w:rsid w:val="001167EB"/>
    <w:rsid w:val="00116D29"/>
    <w:rsid w:val="00116DEE"/>
    <w:rsid w:val="00116DF1"/>
    <w:rsid w:val="00116DFA"/>
    <w:rsid w:val="001170E5"/>
    <w:rsid w:val="001174DB"/>
    <w:rsid w:val="001175F8"/>
    <w:rsid w:val="0011769E"/>
    <w:rsid w:val="0011783B"/>
    <w:rsid w:val="00117981"/>
    <w:rsid w:val="00117F14"/>
    <w:rsid w:val="0012025C"/>
    <w:rsid w:val="00120326"/>
    <w:rsid w:val="0012043D"/>
    <w:rsid w:val="00120805"/>
    <w:rsid w:val="00120935"/>
    <w:rsid w:val="0012100F"/>
    <w:rsid w:val="00121B4A"/>
    <w:rsid w:val="00121B6D"/>
    <w:rsid w:val="00121CA6"/>
    <w:rsid w:val="00121E11"/>
    <w:rsid w:val="00121F9D"/>
    <w:rsid w:val="00121FFA"/>
    <w:rsid w:val="0012208A"/>
    <w:rsid w:val="00122188"/>
    <w:rsid w:val="0012248B"/>
    <w:rsid w:val="0012260E"/>
    <w:rsid w:val="001229BD"/>
    <w:rsid w:val="00122DD3"/>
    <w:rsid w:val="00123402"/>
    <w:rsid w:val="0012377B"/>
    <w:rsid w:val="001237B1"/>
    <w:rsid w:val="00123914"/>
    <w:rsid w:val="00123A1C"/>
    <w:rsid w:val="00123A99"/>
    <w:rsid w:val="00123AAC"/>
    <w:rsid w:val="00123CC3"/>
    <w:rsid w:val="00124051"/>
    <w:rsid w:val="00124122"/>
    <w:rsid w:val="00124572"/>
    <w:rsid w:val="0012481A"/>
    <w:rsid w:val="001248F6"/>
    <w:rsid w:val="00124ACC"/>
    <w:rsid w:val="00124CF0"/>
    <w:rsid w:val="00124DE0"/>
    <w:rsid w:val="00124FE5"/>
    <w:rsid w:val="00125015"/>
    <w:rsid w:val="00125018"/>
    <w:rsid w:val="00125079"/>
    <w:rsid w:val="00125446"/>
    <w:rsid w:val="00125547"/>
    <w:rsid w:val="00125618"/>
    <w:rsid w:val="00125733"/>
    <w:rsid w:val="001257DE"/>
    <w:rsid w:val="001259BE"/>
    <w:rsid w:val="00125A86"/>
    <w:rsid w:val="00125AD8"/>
    <w:rsid w:val="00125B6C"/>
    <w:rsid w:val="00125BBF"/>
    <w:rsid w:val="00125C0E"/>
    <w:rsid w:val="00125CCA"/>
    <w:rsid w:val="00125DDB"/>
    <w:rsid w:val="00125F2E"/>
    <w:rsid w:val="001261FB"/>
    <w:rsid w:val="0012626C"/>
    <w:rsid w:val="001262D8"/>
    <w:rsid w:val="001263E5"/>
    <w:rsid w:val="001267DC"/>
    <w:rsid w:val="00126A64"/>
    <w:rsid w:val="00126A99"/>
    <w:rsid w:val="00126BC3"/>
    <w:rsid w:val="00126CB6"/>
    <w:rsid w:val="00126CB8"/>
    <w:rsid w:val="00126E61"/>
    <w:rsid w:val="00126F72"/>
    <w:rsid w:val="00126FD9"/>
    <w:rsid w:val="0012706A"/>
    <w:rsid w:val="0012712A"/>
    <w:rsid w:val="001272A9"/>
    <w:rsid w:val="001272D0"/>
    <w:rsid w:val="001273BC"/>
    <w:rsid w:val="0012746E"/>
    <w:rsid w:val="001274BB"/>
    <w:rsid w:val="001279F5"/>
    <w:rsid w:val="00127BA6"/>
    <w:rsid w:val="00127FF1"/>
    <w:rsid w:val="00130059"/>
    <w:rsid w:val="00130078"/>
    <w:rsid w:val="00130161"/>
    <w:rsid w:val="00130560"/>
    <w:rsid w:val="0013060D"/>
    <w:rsid w:val="00130711"/>
    <w:rsid w:val="001307B5"/>
    <w:rsid w:val="00130B80"/>
    <w:rsid w:val="00130D28"/>
    <w:rsid w:val="00130F54"/>
    <w:rsid w:val="001310CD"/>
    <w:rsid w:val="0013127E"/>
    <w:rsid w:val="00131314"/>
    <w:rsid w:val="001313E7"/>
    <w:rsid w:val="00131403"/>
    <w:rsid w:val="0013195B"/>
    <w:rsid w:val="00131A96"/>
    <w:rsid w:val="00131B35"/>
    <w:rsid w:val="00131BBE"/>
    <w:rsid w:val="00131E86"/>
    <w:rsid w:val="00131F17"/>
    <w:rsid w:val="00131F5A"/>
    <w:rsid w:val="00131FB9"/>
    <w:rsid w:val="0013213C"/>
    <w:rsid w:val="0013234E"/>
    <w:rsid w:val="001323F2"/>
    <w:rsid w:val="001324EB"/>
    <w:rsid w:val="00132573"/>
    <w:rsid w:val="001325F8"/>
    <w:rsid w:val="00132A3B"/>
    <w:rsid w:val="00132CF1"/>
    <w:rsid w:val="00132E4A"/>
    <w:rsid w:val="00132F5F"/>
    <w:rsid w:val="001330A1"/>
    <w:rsid w:val="0013324B"/>
    <w:rsid w:val="0013325A"/>
    <w:rsid w:val="00133350"/>
    <w:rsid w:val="001333C3"/>
    <w:rsid w:val="001333F1"/>
    <w:rsid w:val="001334DE"/>
    <w:rsid w:val="00133666"/>
    <w:rsid w:val="00133C45"/>
    <w:rsid w:val="00133E90"/>
    <w:rsid w:val="001340C5"/>
    <w:rsid w:val="001341E0"/>
    <w:rsid w:val="001345AE"/>
    <w:rsid w:val="001346B2"/>
    <w:rsid w:val="001348A4"/>
    <w:rsid w:val="00134A74"/>
    <w:rsid w:val="00134C3D"/>
    <w:rsid w:val="00134CDC"/>
    <w:rsid w:val="00134E9C"/>
    <w:rsid w:val="00134EE8"/>
    <w:rsid w:val="00135024"/>
    <w:rsid w:val="00135131"/>
    <w:rsid w:val="00135241"/>
    <w:rsid w:val="00135316"/>
    <w:rsid w:val="0013553B"/>
    <w:rsid w:val="00135707"/>
    <w:rsid w:val="001358A7"/>
    <w:rsid w:val="00135D10"/>
    <w:rsid w:val="00135FC9"/>
    <w:rsid w:val="00136090"/>
    <w:rsid w:val="001360F9"/>
    <w:rsid w:val="00136380"/>
    <w:rsid w:val="00136511"/>
    <w:rsid w:val="0013651C"/>
    <w:rsid w:val="0013662C"/>
    <w:rsid w:val="00136670"/>
    <w:rsid w:val="0013673E"/>
    <w:rsid w:val="0013678F"/>
    <w:rsid w:val="00136907"/>
    <w:rsid w:val="00136A2D"/>
    <w:rsid w:val="00136B0C"/>
    <w:rsid w:val="00136D24"/>
    <w:rsid w:val="00136DB2"/>
    <w:rsid w:val="00136F91"/>
    <w:rsid w:val="001371D1"/>
    <w:rsid w:val="00137328"/>
    <w:rsid w:val="0013785C"/>
    <w:rsid w:val="00137A5C"/>
    <w:rsid w:val="00137B17"/>
    <w:rsid w:val="00137BB7"/>
    <w:rsid w:val="00137CE5"/>
    <w:rsid w:val="0014007B"/>
    <w:rsid w:val="0014024E"/>
    <w:rsid w:val="001404CE"/>
    <w:rsid w:val="0014055B"/>
    <w:rsid w:val="00140653"/>
    <w:rsid w:val="001406BD"/>
    <w:rsid w:val="00140812"/>
    <w:rsid w:val="0014092E"/>
    <w:rsid w:val="00140AEB"/>
    <w:rsid w:val="0014125F"/>
    <w:rsid w:val="001414D3"/>
    <w:rsid w:val="00141560"/>
    <w:rsid w:val="0014159E"/>
    <w:rsid w:val="00141680"/>
    <w:rsid w:val="0014173B"/>
    <w:rsid w:val="00141753"/>
    <w:rsid w:val="001417B2"/>
    <w:rsid w:val="0014189A"/>
    <w:rsid w:val="00141923"/>
    <w:rsid w:val="001419CA"/>
    <w:rsid w:val="00141C6D"/>
    <w:rsid w:val="00141DD5"/>
    <w:rsid w:val="00141ED2"/>
    <w:rsid w:val="0014211E"/>
    <w:rsid w:val="001423D1"/>
    <w:rsid w:val="00142423"/>
    <w:rsid w:val="001428C4"/>
    <w:rsid w:val="0014296A"/>
    <w:rsid w:val="0014298D"/>
    <w:rsid w:val="00142D13"/>
    <w:rsid w:val="00142D48"/>
    <w:rsid w:val="00143091"/>
    <w:rsid w:val="001430DD"/>
    <w:rsid w:val="00143170"/>
    <w:rsid w:val="001431F3"/>
    <w:rsid w:val="00143204"/>
    <w:rsid w:val="001432C1"/>
    <w:rsid w:val="00143462"/>
    <w:rsid w:val="001434EF"/>
    <w:rsid w:val="001435AA"/>
    <w:rsid w:val="001436DF"/>
    <w:rsid w:val="00143AD2"/>
    <w:rsid w:val="00143DDE"/>
    <w:rsid w:val="001441CC"/>
    <w:rsid w:val="0014426E"/>
    <w:rsid w:val="0014447D"/>
    <w:rsid w:val="00144791"/>
    <w:rsid w:val="001449FC"/>
    <w:rsid w:val="00144B5A"/>
    <w:rsid w:val="00144BAC"/>
    <w:rsid w:val="00144C61"/>
    <w:rsid w:val="00145152"/>
    <w:rsid w:val="001456EA"/>
    <w:rsid w:val="0014582B"/>
    <w:rsid w:val="0014582C"/>
    <w:rsid w:val="001458A6"/>
    <w:rsid w:val="001459C0"/>
    <w:rsid w:val="00145AAC"/>
    <w:rsid w:val="00145AC3"/>
    <w:rsid w:val="00145B9A"/>
    <w:rsid w:val="00145C0E"/>
    <w:rsid w:val="00145C2D"/>
    <w:rsid w:val="00146156"/>
    <w:rsid w:val="00146490"/>
    <w:rsid w:val="0014673A"/>
    <w:rsid w:val="001467F3"/>
    <w:rsid w:val="00147065"/>
    <w:rsid w:val="00147225"/>
    <w:rsid w:val="00147567"/>
    <w:rsid w:val="00147585"/>
    <w:rsid w:val="001475AF"/>
    <w:rsid w:val="0014781B"/>
    <w:rsid w:val="00147906"/>
    <w:rsid w:val="00147BE8"/>
    <w:rsid w:val="00147C18"/>
    <w:rsid w:val="0015028B"/>
    <w:rsid w:val="0015045C"/>
    <w:rsid w:val="00150665"/>
    <w:rsid w:val="00150832"/>
    <w:rsid w:val="00150B88"/>
    <w:rsid w:val="00150F84"/>
    <w:rsid w:val="0015115C"/>
    <w:rsid w:val="00151168"/>
    <w:rsid w:val="0015116D"/>
    <w:rsid w:val="0015145D"/>
    <w:rsid w:val="001515C3"/>
    <w:rsid w:val="00151793"/>
    <w:rsid w:val="00151915"/>
    <w:rsid w:val="0015194D"/>
    <w:rsid w:val="00151960"/>
    <w:rsid w:val="00151D86"/>
    <w:rsid w:val="00151F19"/>
    <w:rsid w:val="00151F83"/>
    <w:rsid w:val="001520A1"/>
    <w:rsid w:val="001520E6"/>
    <w:rsid w:val="001522BF"/>
    <w:rsid w:val="001524CB"/>
    <w:rsid w:val="00152731"/>
    <w:rsid w:val="0015281A"/>
    <w:rsid w:val="001528A4"/>
    <w:rsid w:val="0015297B"/>
    <w:rsid w:val="00152996"/>
    <w:rsid w:val="00152C68"/>
    <w:rsid w:val="00152CB2"/>
    <w:rsid w:val="00152DB4"/>
    <w:rsid w:val="00152EA6"/>
    <w:rsid w:val="00152FF9"/>
    <w:rsid w:val="00153090"/>
    <w:rsid w:val="001532D9"/>
    <w:rsid w:val="001533A1"/>
    <w:rsid w:val="0015357C"/>
    <w:rsid w:val="00153B17"/>
    <w:rsid w:val="00153B2D"/>
    <w:rsid w:val="00153B9F"/>
    <w:rsid w:val="00153C90"/>
    <w:rsid w:val="00153CE3"/>
    <w:rsid w:val="00153D20"/>
    <w:rsid w:val="00153D97"/>
    <w:rsid w:val="00153E35"/>
    <w:rsid w:val="00153F7B"/>
    <w:rsid w:val="00153FD4"/>
    <w:rsid w:val="00154302"/>
    <w:rsid w:val="001543F4"/>
    <w:rsid w:val="001545C4"/>
    <w:rsid w:val="001545E8"/>
    <w:rsid w:val="00154600"/>
    <w:rsid w:val="00154C75"/>
    <w:rsid w:val="00154D7E"/>
    <w:rsid w:val="00154DF0"/>
    <w:rsid w:val="00154DF1"/>
    <w:rsid w:val="00154FAE"/>
    <w:rsid w:val="00155037"/>
    <w:rsid w:val="0015514B"/>
    <w:rsid w:val="0015519A"/>
    <w:rsid w:val="00155340"/>
    <w:rsid w:val="001553F6"/>
    <w:rsid w:val="00155721"/>
    <w:rsid w:val="00155801"/>
    <w:rsid w:val="00155F4E"/>
    <w:rsid w:val="00156014"/>
    <w:rsid w:val="00156180"/>
    <w:rsid w:val="001563B2"/>
    <w:rsid w:val="00156950"/>
    <w:rsid w:val="00156A30"/>
    <w:rsid w:val="00156A55"/>
    <w:rsid w:val="00156D2F"/>
    <w:rsid w:val="00156E07"/>
    <w:rsid w:val="00156EF3"/>
    <w:rsid w:val="001571A1"/>
    <w:rsid w:val="00157291"/>
    <w:rsid w:val="00157703"/>
    <w:rsid w:val="00157751"/>
    <w:rsid w:val="001578CF"/>
    <w:rsid w:val="00160039"/>
    <w:rsid w:val="0016024D"/>
    <w:rsid w:val="0016036F"/>
    <w:rsid w:val="001606C6"/>
    <w:rsid w:val="00160771"/>
    <w:rsid w:val="00160B8C"/>
    <w:rsid w:val="0016102B"/>
    <w:rsid w:val="0016117B"/>
    <w:rsid w:val="00161374"/>
    <w:rsid w:val="001613D7"/>
    <w:rsid w:val="00161572"/>
    <w:rsid w:val="00161593"/>
    <w:rsid w:val="00161647"/>
    <w:rsid w:val="001616DA"/>
    <w:rsid w:val="00161903"/>
    <w:rsid w:val="00161C69"/>
    <w:rsid w:val="00161E14"/>
    <w:rsid w:val="00161E9F"/>
    <w:rsid w:val="00161EBC"/>
    <w:rsid w:val="00161F08"/>
    <w:rsid w:val="00161F35"/>
    <w:rsid w:val="00161F82"/>
    <w:rsid w:val="00162213"/>
    <w:rsid w:val="00162372"/>
    <w:rsid w:val="0016241E"/>
    <w:rsid w:val="001624C9"/>
    <w:rsid w:val="00162872"/>
    <w:rsid w:val="00162F7F"/>
    <w:rsid w:val="00163132"/>
    <w:rsid w:val="0016324C"/>
    <w:rsid w:val="0016346E"/>
    <w:rsid w:val="00163564"/>
    <w:rsid w:val="00163692"/>
    <w:rsid w:val="001637C1"/>
    <w:rsid w:val="00163888"/>
    <w:rsid w:val="0016397C"/>
    <w:rsid w:val="00163A3F"/>
    <w:rsid w:val="00163B83"/>
    <w:rsid w:val="00163C84"/>
    <w:rsid w:val="00163CD5"/>
    <w:rsid w:val="00163EAE"/>
    <w:rsid w:val="001641B2"/>
    <w:rsid w:val="00164272"/>
    <w:rsid w:val="0016429A"/>
    <w:rsid w:val="001643E1"/>
    <w:rsid w:val="00164A63"/>
    <w:rsid w:val="00164AD0"/>
    <w:rsid w:val="00164DCD"/>
    <w:rsid w:val="00164F6B"/>
    <w:rsid w:val="0016508B"/>
    <w:rsid w:val="001650DA"/>
    <w:rsid w:val="001652BD"/>
    <w:rsid w:val="0016530A"/>
    <w:rsid w:val="001653C2"/>
    <w:rsid w:val="001659DB"/>
    <w:rsid w:val="00165A3C"/>
    <w:rsid w:val="00165A67"/>
    <w:rsid w:val="00165FD2"/>
    <w:rsid w:val="00166406"/>
    <w:rsid w:val="0016650B"/>
    <w:rsid w:val="00166728"/>
    <w:rsid w:val="00166889"/>
    <w:rsid w:val="001668AE"/>
    <w:rsid w:val="001668D5"/>
    <w:rsid w:val="00166D91"/>
    <w:rsid w:val="00166F3B"/>
    <w:rsid w:val="001670B5"/>
    <w:rsid w:val="00167198"/>
    <w:rsid w:val="0016731C"/>
    <w:rsid w:val="0016737F"/>
    <w:rsid w:val="001677E1"/>
    <w:rsid w:val="0016796C"/>
    <w:rsid w:val="00167B5E"/>
    <w:rsid w:val="00167BDE"/>
    <w:rsid w:val="00167C7A"/>
    <w:rsid w:val="00167CE6"/>
    <w:rsid w:val="00167F1F"/>
    <w:rsid w:val="00170175"/>
    <w:rsid w:val="001701FF"/>
    <w:rsid w:val="001706E6"/>
    <w:rsid w:val="001707AF"/>
    <w:rsid w:val="001707CA"/>
    <w:rsid w:val="001707FE"/>
    <w:rsid w:val="00170968"/>
    <w:rsid w:val="00170B17"/>
    <w:rsid w:val="00170DF7"/>
    <w:rsid w:val="00170E3E"/>
    <w:rsid w:val="00170E96"/>
    <w:rsid w:val="0017107B"/>
    <w:rsid w:val="001711D9"/>
    <w:rsid w:val="001711DE"/>
    <w:rsid w:val="00171262"/>
    <w:rsid w:val="001712E3"/>
    <w:rsid w:val="00171318"/>
    <w:rsid w:val="00171368"/>
    <w:rsid w:val="00171431"/>
    <w:rsid w:val="00171520"/>
    <w:rsid w:val="001715F2"/>
    <w:rsid w:val="00171606"/>
    <w:rsid w:val="00171A67"/>
    <w:rsid w:val="00171AA6"/>
    <w:rsid w:val="00171AEF"/>
    <w:rsid w:val="00171CA8"/>
    <w:rsid w:val="00171D5C"/>
    <w:rsid w:val="00171D6B"/>
    <w:rsid w:val="001721F2"/>
    <w:rsid w:val="001722FA"/>
    <w:rsid w:val="00172354"/>
    <w:rsid w:val="00172358"/>
    <w:rsid w:val="001723A0"/>
    <w:rsid w:val="00172434"/>
    <w:rsid w:val="001724E4"/>
    <w:rsid w:val="00172753"/>
    <w:rsid w:val="001728BB"/>
    <w:rsid w:val="00172A51"/>
    <w:rsid w:val="00172C55"/>
    <w:rsid w:val="00172DE9"/>
    <w:rsid w:val="0017308B"/>
    <w:rsid w:val="0017315E"/>
    <w:rsid w:val="0017340E"/>
    <w:rsid w:val="001734CD"/>
    <w:rsid w:val="001734FE"/>
    <w:rsid w:val="0017379E"/>
    <w:rsid w:val="001737C2"/>
    <w:rsid w:val="00173B63"/>
    <w:rsid w:val="00173C3C"/>
    <w:rsid w:val="00174130"/>
    <w:rsid w:val="001745F6"/>
    <w:rsid w:val="001746E9"/>
    <w:rsid w:val="00174D40"/>
    <w:rsid w:val="0017521D"/>
    <w:rsid w:val="001753D1"/>
    <w:rsid w:val="001754AE"/>
    <w:rsid w:val="00175705"/>
    <w:rsid w:val="001759EE"/>
    <w:rsid w:val="00175CA1"/>
    <w:rsid w:val="00175D13"/>
    <w:rsid w:val="00175E30"/>
    <w:rsid w:val="00175EDC"/>
    <w:rsid w:val="001762DD"/>
    <w:rsid w:val="00176717"/>
    <w:rsid w:val="0017689F"/>
    <w:rsid w:val="00176968"/>
    <w:rsid w:val="00176A14"/>
    <w:rsid w:val="00176A58"/>
    <w:rsid w:val="00176A7C"/>
    <w:rsid w:val="00176DBC"/>
    <w:rsid w:val="00176DE1"/>
    <w:rsid w:val="00176E1D"/>
    <w:rsid w:val="00176F30"/>
    <w:rsid w:val="0017713A"/>
    <w:rsid w:val="00177196"/>
    <w:rsid w:val="0017723D"/>
    <w:rsid w:val="0017773A"/>
    <w:rsid w:val="0017784B"/>
    <w:rsid w:val="001779A5"/>
    <w:rsid w:val="00177C83"/>
    <w:rsid w:val="00177CE9"/>
    <w:rsid w:val="00177F4E"/>
    <w:rsid w:val="00177FC4"/>
    <w:rsid w:val="00177FCA"/>
    <w:rsid w:val="001800FA"/>
    <w:rsid w:val="0018016B"/>
    <w:rsid w:val="0018017D"/>
    <w:rsid w:val="00180198"/>
    <w:rsid w:val="00180324"/>
    <w:rsid w:val="00180528"/>
    <w:rsid w:val="001806B6"/>
    <w:rsid w:val="001806E8"/>
    <w:rsid w:val="00180A34"/>
    <w:rsid w:val="00180BCF"/>
    <w:rsid w:val="00180BDA"/>
    <w:rsid w:val="00180CB4"/>
    <w:rsid w:val="00180E61"/>
    <w:rsid w:val="00180E77"/>
    <w:rsid w:val="001810CF"/>
    <w:rsid w:val="00181124"/>
    <w:rsid w:val="0018147D"/>
    <w:rsid w:val="00181760"/>
    <w:rsid w:val="001817C8"/>
    <w:rsid w:val="00181A84"/>
    <w:rsid w:val="00181ABB"/>
    <w:rsid w:val="00181CD1"/>
    <w:rsid w:val="00181D43"/>
    <w:rsid w:val="00182191"/>
    <w:rsid w:val="001821D6"/>
    <w:rsid w:val="00182208"/>
    <w:rsid w:val="00182220"/>
    <w:rsid w:val="0018226F"/>
    <w:rsid w:val="001822B0"/>
    <w:rsid w:val="00182386"/>
    <w:rsid w:val="00182438"/>
    <w:rsid w:val="0018249C"/>
    <w:rsid w:val="0018264B"/>
    <w:rsid w:val="0018267F"/>
    <w:rsid w:val="00182824"/>
    <w:rsid w:val="00182946"/>
    <w:rsid w:val="001829A1"/>
    <w:rsid w:val="001829B1"/>
    <w:rsid w:val="00182A11"/>
    <w:rsid w:val="00182BF3"/>
    <w:rsid w:val="00182D49"/>
    <w:rsid w:val="00182E15"/>
    <w:rsid w:val="00182E6F"/>
    <w:rsid w:val="0018318F"/>
    <w:rsid w:val="00183327"/>
    <w:rsid w:val="001834B7"/>
    <w:rsid w:val="00183630"/>
    <w:rsid w:val="0018390A"/>
    <w:rsid w:val="00183A96"/>
    <w:rsid w:val="00183E37"/>
    <w:rsid w:val="00183FAF"/>
    <w:rsid w:val="00183FCA"/>
    <w:rsid w:val="00184044"/>
    <w:rsid w:val="001841BF"/>
    <w:rsid w:val="00184417"/>
    <w:rsid w:val="001844E2"/>
    <w:rsid w:val="001845F8"/>
    <w:rsid w:val="00184617"/>
    <w:rsid w:val="00184646"/>
    <w:rsid w:val="00184A97"/>
    <w:rsid w:val="00184B98"/>
    <w:rsid w:val="00184C37"/>
    <w:rsid w:val="00184E7F"/>
    <w:rsid w:val="00184F2A"/>
    <w:rsid w:val="00184FBF"/>
    <w:rsid w:val="0018530D"/>
    <w:rsid w:val="001854C1"/>
    <w:rsid w:val="0018557D"/>
    <w:rsid w:val="001857A1"/>
    <w:rsid w:val="00185843"/>
    <w:rsid w:val="00185992"/>
    <w:rsid w:val="00185A3C"/>
    <w:rsid w:val="00185AD0"/>
    <w:rsid w:val="00185B27"/>
    <w:rsid w:val="00185CCC"/>
    <w:rsid w:val="0018600A"/>
    <w:rsid w:val="00186270"/>
    <w:rsid w:val="001862B4"/>
    <w:rsid w:val="0018667A"/>
    <w:rsid w:val="0018684F"/>
    <w:rsid w:val="00186BA8"/>
    <w:rsid w:val="00186CD0"/>
    <w:rsid w:val="00186FA3"/>
    <w:rsid w:val="00186FE5"/>
    <w:rsid w:val="00187865"/>
    <w:rsid w:val="00187AA9"/>
    <w:rsid w:val="00187B22"/>
    <w:rsid w:val="00187BDE"/>
    <w:rsid w:val="00187F77"/>
    <w:rsid w:val="0019030F"/>
    <w:rsid w:val="0019042A"/>
    <w:rsid w:val="0019058E"/>
    <w:rsid w:val="001905EE"/>
    <w:rsid w:val="00190AF3"/>
    <w:rsid w:val="00190BFE"/>
    <w:rsid w:val="00191038"/>
    <w:rsid w:val="00191137"/>
    <w:rsid w:val="0019139B"/>
    <w:rsid w:val="001914CC"/>
    <w:rsid w:val="001915D7"/>
    <w:rsid w:val="00191602"/>
    <w:rsid w:val="001916EB"/>
    <w:rsid w:val="00191794"/>
    <w:rsid w:val="001919B7"/>
    <w:rsid w:val="001919ED"/>
    <w:rsid w:val="00191ACA"/>
    <w:rsid w:val="00191B8E"/>
    <w:rsid w:val="00191BF7"/>
    <w:rsid w:val="00191DFD"/>
    <w:rsid w:val="00192021"/>
    <w:rsid w:val="001921D6"/>
    <w:rsid w:val="00192387"/>
    <w:rsid w:val="00192581"/>
    <w:rsid w:val="00192664"/>
    <w:rsid w:val="001926DF"/>
    <w:rsid w:val="00192E49"/>
    <w:rsid w:val="001930C6"/>
    <w:rsid w:val="00193162"/>
    <w:rsid w:val="00193167"/>
    <w:rsid w:val="001931CB"/>
    <w:rsid w:val="001932A6"/>
    <w:rsid w:val="001932BD"/>
    <w:rsid w:val="001934A7"/>
    <w:rsid w:val="001935F8"/>
    <w:rsid w:val="001936CE"/>
    <w:rsid w:val="00193AA3"/>
    <w:rsid w:val="00193E52"/>
    <w:rsid w:val="00194111"/>
    <w:rsid w:val="00194171"/>
    <w:rsid w:val="001941E7"/>
    <w:rsid w:val="001943C9"/>
    <w:rsid w:val="001948ED"/>
    <w:rsid w:val="00194A07"/>
    <w:rsid w:val="00194CE8"/>
    <w:rsid w:val="00194D38"/>
    <w:rsid w:val="00194F2E"/>
    <w:rsid w:val="00195653"/>
    <w:rsid w:val="00195829"/>
    <w:rsid w:val="00195B33"/>
    <w:rsid w:val="00195D96"/>
    <w:rsid w:val="00195E4B"/>
    <w:rsid w:val="00195FA9"/>
    <w:rsid w:val="0019602E"/>
    <w:rsid w:val="0019652F"/>
    <w:rsid w:val="00196728"/>
    <w:rsid w:val="00196822"/>
    <w:rsid w:val="0019699A"/>
    <w:rsid w:val="001969BF"/>
    <w:rsid w:val="00196A4B"/>
    <w:rsid w:val="00196AE0"/>
    <w:rsid w:val="00196B28"/>
    <w:rsid w:val="00196C37"/>
    <w:rsid w:val="00196D2F"/>
    <w:rsid w:val="00197240"/>
    <w:rsid w:val="001973CC"/>
    <w:rsid w:val="0019740E"/>
    <w:rsid w:val="001974F0"/>
    <w:rsid w:val="001975CB"/>
    <w:rsid w:val="00197648"/>
    <w:rsid w:val="0019767C"/>
    <w:rsid w:val="0019768F"/>
    <w:rsid w:val="001976B5"/>
    <w:rsid w:val="00197936"/>
    <w:rsid w:val="001979FD"/>
    <w:rsid w:val="00197A99"/>
    <w:rsid w:val="00197BA9"/>
    <w:rsid w:val="00197DC3"/>
    <w:rsid w:val="00197EC7"/>
    <w:rsid w:val="00197F3B"/>
    <w:rsid w:val="00197F76"/>
    <w:rsid w:val="00197FF2"/>
    <w:rsid w:val="001A00B0"/>
    <w:rsid w:val="001A0680"/>
    <w:rsid w:val="001A0A5D"/>
    <w:rsid w:val="001A0D1B"/>
    <w:rsid w:val="001A0E2E"/>
    <w:rsid w:val="001A0F5E"/>
    <w:rsid w:val="001A1266"/>
    <w:rsid w:val="001A1327"/>
    <w:rsid w:val="001A14F2"/>
    <w:rsid w:val="001A15B7"/>
    <w:rsid w:val="001A164E"/>
    <w:rsid w:val="001A1682"/>
    <w:rsid w:val="001A1A41"/>
    <w:rsid w:val="001A1B9F"/>
    <w:rsid w:val="001A1BE6"/>
    <w:rsid w:val="001A1BF1"/>
    <w:rsid w:val="001A1EBA"/>
    <w:rsid w:val="001A1FA5"/>
    <w:rsid w:val="001A227D"/>
    <w:rsid w:val="001A2303"/>
    <w:rsid w:val="001A2340"/>
    <w:rsid w:val="001A2B31"/>
    <w:rsid w:val="001A2BB8"/>
    <w:rsid w:val="001A2C6E"/>
    <w:rsid w:val="001A2DB2"/>
    <w:rsid w:val="001A2DF0"/>
    <w:rsid w:val="001A309A"/>
    <w:rsid w:val="001A31D2"/>
    <w:rsid w:val="001A34EE"/>
    <w:rsid w:val="001A3533"/>
    <w:rsid w:val="001A358C"/>
    <w:rsid w:val="001A377B"/>
    <w:rsid w:val="001A37FA"/>
    <w:rsid w:val="001A3807"/>
    <w:rsid w:val="001A381D"/>
    <w:rsid w:val="001A38EC"/>
    <w:rsid w:val="001A3A0D"/>
    <w:rsid w:val="001A3CD2"/>
    <w:rsid w:val="001A3DC6"/>
    <w:rsid w:val="001A3E10"/>
    <w:rsid w:val="001A3E4A"/>
    <w:rsid w:val="001A4073"/>
    <w:rsid w:val="001A41D6"/>
    <w:rsid w:val="001A42E1"/>
    <w:rsid w:val="001A43AA"/>
    <w:rsid w:val="001A462A"/>
    <w:rsid w:val="001A464A"/>
    <w:rsid w:val="001A47CF"/>
    <w:rsid w:val="001A49B9"/>
    <w:rsid w:val="001A4EDC"/>
    <w:rsid w:val="001A5094"/>
    <w:rsid w:val="001A51E9"/>
    <w:rsid w:val="001A5359"/>
    <w:rsid w:val="001A560A"/>
    <w:rsid w:val="001A56D4"/>
    <w:rsid w:val="001A5752"/>
    <w:rsid w:val="001A581F"/>
    <w:rsid w:val="001A5835"/>
    <w:rsid w:val="001A592C"/>
    <w:rsid w:val="001A5CED"/>
    <w:rsid w:val="001A5D1F"/>
    <w:rsid w:val="001A5E70"/>
    <w:rsid w:val="001A61B6"/>
    <w:rsid w:val="001A63FE"/>
    <w:rsid w:val="001A65AA"/>
    <w:rsid w:val="001A66DB"/>
    <w:rsid w:val="001A674D"/>
    <w:rsid w:val="001A6912"/>
    <w:rsid w:val="001A6D01"/>
    <w:rsid w:val="001A6F45"/>
    <w:rsid w:val="001A70B6"/>
    <w:rsid w:val="001A7321"/>
    <w:rsid w:val="001A7466"/>
    <w:rsid w:val="001A74EC"/>
    <w:rsid w:val="001A7601"/>
    <w:rsid w:val="001A7B0B"/>
    <w:rsid w:val="001A7B39"/>
    <w:rsid w:val="001A7B7A"/>
    <w:rsid w:val="001A7C52"/>
    <w:rsid w:val="001A7E4A"/>
    <w:rsid w:val="001B037B"/>
    <w:rsid w:val="001B0386"/>
    <w:rsid w:val="001B05B0"/>
    <w:rsid w:val="001B06A2"/>
    <w:rsid w:val="001B07DD"/>
    <w:rsid w:val="001B0A41"/>
    <w:rsid w:val="001B0AFB"/>
    <w:rsid w:val="001B0B40"/>
    <w:rsid w:val="001B0E14"/>
    <w:rsid w:val="001B0EB2"/>
    <w:rsid w:val="001B0ECB"/>
    <w:rsid w:val="001B0FD3"/>
    <w:rsid w:val="001B10E1"/>
    <w:rsid w:val="001B11E9"/>
    <w:rsid w:val="001B15E1"/>
    <w:rsid w:val="001B18BD"/>
    <w:rsid w:val="001B1A24"/>
    <w:rsid w:val="001B1A58"/>
    <w:rsid w:val="001B1A84"/>
    <w:rsid w:val="001B1D67"/>
    <w:rsid w:val="001B1F55"/>
    <w:rsid w:val="001B201B"/>
    <w:rsid w:val="001B214F"/>
    <w:rsid w:val="001B221F"/>
    <w:rsid w:val="001B22CF"/>
    <w:rsid w:val="001B2468"/>
    <w:rsid w:val="001B25BB"/>
    <w:rsid w:val="001B2824"/>
    <w:rsid w:val="001B2A21"/>
    <w:rsid w:val="001B2BA4"/>
    <w:rsid w:val="001B2D06"/>
    <w:rsid w:val="001B3075"/>
    <w:rsid w:val="001B316B"/>
    <w:rsid w:val="001B31A9"/>
    <w:rsid w:val="001B34F7"/>
    <w:rsid w:val="001B3611"/>
    <w:rsid w:val="001B38A4"/>
    <w:rsid w:val="001B399F"/>
    <w:rsid w:val="001B3C93"/>
    <w:rsid w:val="001B3CD9"/>
    <w:rsid w:val="001B3DEA"/>
    <w:rsid w:val="001B4154"/>
    <w:rsid w:val="001B42FB"/>
    <w:rsid w:val="001B4301"/>
    <w:rsid w:val="001B43DD"/>
    <w:rsid w:val="001B4796"/>
    <w:rsid w:val="001B5141"/>
    <w:rsid w:val="001B5156"/>
    <w:rsid w:val="001B53CC"/>
    <w:rsid w:val="001B564D"/>
    <w:rsid w:val="001B578C"/>
    <w:rsid w:val="001B59FC"/>
    <w:rsid w:val="001B5A36"/>
    <w:rsid w:val="001B5B7E"/>
    <w:rsid w:val="001B5D0F"/>
    <w:rsid w:val="001B5D25"/>
    <w:rsid w:val="001B5F6B"/>
    <w:rsid w:val="001B604F"/>
    <w:rsid w:val="001B6098"/>
    <w:rsid w:val="001B63D6"/>
    <w:rsid w:val="001B653D"/>
    <w:rsid w:val="001B65BD"/>
    <w:rsid w:val="001B6A5B"/>
    <w:rsid w:val="001B6AD7"/>
    <w:rsid w:val="001B6D12"/>
    <w:rsid w:val="001B702A"/>
    <w:rsid w:val="001B7196"/>
    <w:rsid w:val="001B7208"/>
    <w:rsid w:val="001B7301"/>
    <w:rsid w:val="001B748A"/>
    <w:rsid w:val="001B7628"/>
    <w:rsid w:val="001B7D2E"/>
    <w:rsid w:val="001B7D79"/>
    <w:rsid w:val="001B7DD5"/>
    <w:rsid w:val="001B7E0B"/>
    <w:rsid w:val="001C0883"/>
    <w:rsid w:val="001C0B94"/>
    <w:rsid w:val="001C1019"/>
    <w:rsid w:val="001C103E"/>
    <w:rsid w:val="001C124D"/>
    <w:rsid w:val="001C14F2"/>
    <w:rsid w:val="001C1534"/>
    <w:rsid w:val="001C164F"/>
    <w:rsid w:val="001C1765"/>
    <w:rsid w:val="001C199D"/>
    <w:rsid w:val="001C1AD5"/>
    <w:rsid w:val="001C1BDC"/>
    <w:rsid w:val="001C1CCC"/>
    <w:rsid w:val="001C1FD4"/>
    <w:rsid w:val="001C22DB"/>
    <w:rsid w:val="001C2341"/>
    <w:rsid w:val="001C2421"/>
    <w:rsid w:val="001C2636"/>
    <w:rsid w:val="001C2793"/>
    <w:rsid w:val="001C281A"/>
    <w:rsid w:val="001C2A4D"/>
    <w:rsid w:val="001C2B01"/>
    <w:rsid w:val="001C2B16"/>
    <w:rsid w:val="001C2CA9"/>
    <w:rsid w:val="001C2CE2"/>
    <w:rsid w:val="001C2D84"/>
    <w:rsid w:val="001C2DD5"/>
    <w:rsid w:val="001C2DD9"/>
    <w:rsid w:val="001C30E1"/>
    <w:rsid w:val="001C32B3"/>
    <w:rsid w:val="001C32DA"/>
    <w:rsid w:val="001C35D6"/>
    <w:rsid w:val="001C368B"/>
    <w:rsid w:val="001C3693"/>
    <w:rsid w:val="001C39F1"/>
    <w:rsid w:val="001C3BB8"/>
    <w:rsid w:val="001C3EC8"/>
    <w:rsid w:val="001C4053"/>
    <w:rsid w:val="001C40CB"/>
    <w:rsid w:val="001C4153"/>
    <w:rsid w:val="001C43D4"/>
    <w:rsid w:val="001C4861"/>
    <w:rsid w:val="001C4C0D"/>
    <w:rsid w:val="001C4E70"/>
    <w:rsid w:val="001C4FAA"/>
    <w:rsid w:val="001C50CC"/>
    <w:rsid w:val="001C5481"/>
    <w:rsid w:val="001C5649"/>
    <w:rsid w:val="001C5749"/>
    <w:rsid w:val="001C5755"/>
    <w:rsid w:val="001C589C"/>
    <w:rsid w:val="001C58B5"/>
    <w:rsid w:val="001C5A98"/>
    <w:rsid w:val="001C5ADD"/>
    <w:rsid w:val="001C5AE0"/>
    <w:rsid w:val="001C5E5E"/>
    <w:rsid w:val="001C6063"/>
    <w:rsid w:val="001C60D3"/>
    <w:rsid w:val="001C6147"/>
    <w:rsid w:val="001C615C"/>
    <w:rsid w:val="001C6676"/>
    <w:rsid w:val="001C66C9"/>
    <w:rsid w:val="001C672A"/>
    <w:rsid w:val="001C6779"/>
    <w:rsid w:val="001C6892"/>
    <w:rsid w:val="001C68C2"/>
    <w:rsid w:val="001C68C9"/>
    <w:rsid w:val="001C6D69"/>
    <w:rsid w:val="001C70D3"/>
    <w:rsid w:val="001C71AF"/>
    <w:rsid w:val="001C7324"/>
    <w:rsid w:val="001C7389"/>
    <w:rsid w:val="001C771E"/>
    <w:rsid w:val="001C7821"/>
    <w:rsid w:val="001C786A"/>
    <w:rsid w:val="001C79BF"/>
    <w:rsid w:val="001C7A74"/>
    <w:rsid w:val="001C7E1D"/>
    <w:rsid w:val="001C7E52"/>
    <w:rsid w:val="001C7E78"/>
    <w:rsid w:val="001C7F48"/>
    <w:rsid w:val="001D0052"/>
    <w:rsid w:val="001D0388"/>
    <w:rsid w:val="001D03C1"/>
    <w:rsid w:val="001D04E2"/>
    <w:rsid w:val="001D0793"/>
    <w:rsid w:val="001D0805"/>
    <w:rsid w:val="001D0908"/>
    <w:rsid w:val="001D0A2A"/>
    <w:rsid w:val="001D0A80"/>
    <w:rsid w:val="001D0AF4"/>
    <w:rsid w:val="001D0C72"/>
    <w:rsid w:val="001D0D09"/>
    <w:rsid w:val="001D0D0F"/>
    <w:rsid w:val="001D1002"/>
    <w:rsid w:val="001D11E7"/>
    <w:rsid w:val="001D12B5"/>
    <w:rsid w:val="001D1440"/>
    <w:rsid w:val="001D1537"/>
    <w:rsid w:val="001D15F1"/>
    <w:rsid w:val="001D162E"/>
    <w:rsid w:val="001D1734"/>
    <w:rsid w:val="001D1C69"/>
    <w:rsid w:val="001D1E37"/>
    <w:rsid w:val="001D1E88"/>
    <w:rsid w:val="001D1E90"/>
    <w:rsid w:val="001D1F66"/>
    <w:rsid w:val="001D223D"/>
    <w:rsid w:val="001D24B1"/>
    <w:rsid w:val="001D2682"/>
    <w:rsid w:val="001D269D"/>
    <w:rsid w:val="001D27E9"/>
    <w:rsid w:val="001D29DA"/>
    <w:rsid w:val="001D2A69"/>
    <w:rsid w:val="001D2BAD"/>
    <w:rsid w:val="001D2CA3"/>
    <w:rsid w:val="001D2CCA"/>
    <w:rsid w:val="001D2D2B"/>
    <w:rsid w:val="001D2E0C"/>
    <w:rsid w:val="001D3085"/>
    <w:rsid w:val="001D309B"/>
    <w:rsid w:val="001D31F1"/>
    <w:rsid w:val="001D32E8"/>
    <w:rsid w:val="001D37FD"/>
    <w:rsid w:val="001D3ADC"/>
    <w:rsid w:val="001D3EA5"/>
    <w:rsid w:val="001D3F1E"/>
    <w:rsid w:val="001D3F54"/>
    <w:rsid w:val="001D3FA7"/>
    <w:rsid w:val="001D418B"/>
    <w:rsid w:val="001D42AE"/>
    <w:rsid w:val="001D4603"/>
    <w:rsid w:val="001D47D4"/>
    <w:rsid w:val="001D4CAE"/>
    <w:rsid w:val="001D4CDF"/>
    <w:rsid w:val="001D4FBD"/>
    <w:rsid w:val="001D5124"/>
    <w:rsid w:val="001D5AE0"/>
    <w:rsid w:val="001D5C42"/>
    <w:rsid w:val="001D5D30"/>
    <w:rsid w:val="001D5F64"/>
    <w:rsid w:val="001D60D9"/>
    <w:rsid w:val="001D6653"/>
    <w:rsid w:val="001D6858"/>
    <w:rsid w:val="001D6FFD"/>
    <w:rsid w:val="001D70A4"/>
    <w:rsid w:val="001D7121"/>
    <w:rsid w:val="001D7398"/>
    <w:rsid w:val="001D73C5"/>
    <w:rsid w:val="001D7431"/>
    <w:rsid w:val="001D74B4"/>
    <w:rsid w:val="001D76BF"/>
    <w:rsid w:val="001D76C0"/>
    <w:rsid w:val="001D78C4"/>
    <w:rsid w:val="001D79DA"/>
    <w:rsid w:val="001D7AD0"/>
    <w:rsid w:val="001D7C0B"/>
    <w:rsid w:val="001D7D9E"/>
    <w:rsid w:val="001D7E45"/>
    <w:rsid w:val="001D7F07"/>
    <w:rsid w:val="001E014D"/>
    <w:rsid w:val="001E02F2"/>
    <w:rsid w:val="001E062B"/>
    <w:rsid w:val="001E094C"/>
    <w:rsid w:val="001E09B4"/>
    <w:rsid w:val="001E0B38"/>
    <w:rsid w:val="001E0BBB"/>
    <w:rsid w:val="001E0C8D"/>
    <w:rsid w:val="001E1004"/>
    <w:rsid w:val="001E104A"/>
    <w:rsid w:val="001E144A"/>
    <w:rsid w:val="001E1596"/>
    <w:rsid w:val="001E1645"/>
    <w:rsid w:val="001E16FA"/>
    <w:rsid w:val="001E1AC7"/>
    <w:rsid w:val="001E1C67"/>
    <w:rsid w:val="001E1CA6"/>
    <w:rsid w:val="001E1D8A"/>
    <w:rsid w:val="001E203F"/>
    <w:rsid w:val="001E21E9"/>
    <w:rsid w:val="001E2338"/>
    <w:rsid w:val="001E23E1"/>
    <w:rsid w:val="001E2474"/>
    <w:rsid w:val="001E2476"/>
    <w:rsid w:val="001E26A5"/>
    <w:rsid w:val="001E27FC"/>
    <w:rsid w:val="001E2A81"/>
    <w:rsid w:val="001E2C81"/>
    <w:rsid w:val="001E2DF3"/>
    <w:rsid w:val="001E2E2C"/>
    <w:rsid w:val="001E2E83"/>
    <w:rsid w:val="001E2E8E"/>
    <w:rsid w:val="001E2FF3"/>
    <w:rsid w:val="001E3061"/>
    <w:rsid w:val="001E347E"/>
    <w:rsid w:val="001E34F1"/>
    <w:rsid w:val="001E3688"/>
    <w:rsid w:val="001E37AF"/>
    <w:rsid w:val="001E3BBF"/>
    <w:rsid w:val="001E3F21"/>
    <w:rsid w:val="001E470E"/>
    <w:rsid w:val="001E4759"/>
    <w:rsid w:val="001E493E"/>
    <w:rsid w:val="001E4A06"/>
    <w:rsid w:val="001E4B08"/>
    <w:rsid w:val="001E4D55"/>
    <w:rsid w:val="001E5216"/>
    <w:rsid w:val="001E52A0"/>
    <w:rsid w:val="001E52C9"/>
    <w:rsid w:val="001E5584"/>
    <w:rsid w:val="001E577B"/>
    <w:rsid w:val="001E57EF"/>
    <w:rsid w:val="001E5825"/>
    <w:rsid w:val="001E5906"/>
    <w:rsid w:val="001E5932"/>
    <w:rsid w:val="001E5998"/>
    <w:rsid w:val="001E5C0E"/>
    <w:rsid w:val="001E6008"/>
    <w:rsid w:val="001E60A7"/>
    <w:rsid w:val="001E640B"/>
    <w:rsid w:val="001E653E"/>
    <w:rsid w:val="001E655F"/>
    <w:rsid w:val="001E6A60"/>
    <w:rsid w:val="001E6A8E"/>
    <w:rsid w:val="001E6B3A"/>
    <w:rsid w:val="001E6B8C"/>
    <w:rsid w:val="001E6C37"/>
    <w:rsid w:val="001E6E2F"/>
    <w:rsid w:val="001E727E"/>
    <w:rsid w:val="001E741D"/>
    <w:rsid w:val="001E7466"/>
    <w:rsid w:val="001E7505"/>
    <w:rsid w:val="001E7536"/>
    <w:rsid w:val="001E7630"/>
    <w:rsid w:val="001E7918"/>
    <w:rsid w:val="001E7938"/>
    <w:rsid w:val="001E7A2E"/>
    <w:rsid w:val="001E7B2B"/>
    <w:rsid w:val="001E7BDB"/>
    <w:rsid w:val="001E7DDF"/>
    <w:rsid w:val="001E7E6B"/>
    <w:rsid w:val="001E7F7C"/>
    <w:rsid w:val="001F0243"/>
    <w:rsid w:val="001F065D"/>
    <w:rsid w:val="001F06E0"/>
    <w:rsid w:val="001F0797"/>
    <w:rsid w:val="001F086E"/>
    <w:rsid w:val="001F096A"/>
    <w:rsid w:val="001F0CA5"/>
    <w:rsid w:val="001F0CCF"/>
    <w:rsid w:val="001F0DC1"/>
    <w:rsid w:val="001F1157"/>
    <w:rsid w:val="001F14E4"/>
    <w:rsid w:val="001F160C"/>
    <w:rsid w:val="001F1738"/>
    <w:rsid w:val="001F17DF"/>
    <w:rsid w:val="001F1803"/>
    <w:rsid w:val="001F18B0"/>
    <w:rsid w:val="001F1947"/>
    <w:rsid w:val="001F1D1B"/>
    <w:rsid w:val="001F1D81"/>
    <w:rsid w:val="001F1E5A"/>
    <w:rsid w:val="001F1E81"/>
    <w:rsid w:val="001F20B7"/>
    <w:rsid w:val="001F2163"/>
    <w:rsid w:val="001F21D0"/>
    <w:rsid w:val="001F2293"/>
    <w:rsid w:val="001F22E7"/>
    <w:rsid w:val="001F2357"/>
    <w:rsid w:val="001F2394"/>
    <w:rsid w:val="001F23CF"/>
    <w:rsid w:val="001F25BF"/>
    <w:rsid w:val="001F2714"/>
    <w:rsid w:val="001F288B"/>
    <w:rsid w:val="001F2907"/>
    <w:rsid w:val="001F2C1B"/>
    <w:rsid w:val="001F2F4F"/>
    <w:rsid w:val="001F3303"/>
    <w:rsid w:val="001F375C"/>
    <w:rsid w:val="001F38FD"/>
    <w:rsid w:val="001F4082"/>
    <w:rsid w:val="001F410C"/>
    <w:rsid w:val="001F411F"/>
    <w:rsid w:val="001F42C0"/>
    <w:rsid w:val="001F44E6"/>
    <w:rsid w:val="001F44EA"/>
    <w:rsid w:val="001F4645"/>
    <w:rsid w:val="001F47AE"/>
    <w:rsid w:val="001F47C1"/>
    <w:rsid w:val="001F482A"/>
    <w:rsid w:val="001F4DC3"/>
    <w:rsid w:val="001F4FF5"/>
    <w:rsid w:val="001F4FFF"/>
    <w:rsid w:val="001F538B"/>
    <w:rsid w:val="001F53A0"/>
    <w:rsid w:val="001F5467"/>
    <w:rsid w:val="001F550E"/>
    <w:rsid w:val="001F55D1"/>
    <w:rsid w:val="001F59D8"/>
    <w:rsid w:val="001F5B9C"/>
    <w:rsid w:val="001F5C26"/>
    <w:rsid w:val="001F5D30"/>
    <w:rsid w:val="001F6363"/>
    <w:rsid w:val="001F649D"/>
    <w:rsid w:val="001F6551"/>
    <w:rsid w:val="001F65E7"/>
    <w:rsid w:val="001F6850"/>
    <w:rsid w:val="001F6862"/>
    <w:rsid w:val="001F690D"/>
    <w:rsid w:val="001F69F6"/>
    <w:rsid w:val="001F6CC7"/>
    <w:rsid w:val="001F6E4A"/>
    <w:rsid w:val="001F6EAC"/>
    <w:rsid w:val="001F7103"/>
    <w:rsid w:val="001F7466"/>
    <w:rsid w:val="001F7855"/>
    <w:rsid w:val="001F7D5D"/>
    <w:rsid w:val="001F7EDE"/>
    <w:rsid w:val="001F7F9A"/>
    <w:rsid w:val="002000E2"/>
    <w:rsid w:val="002002E5"/>
    <w:rsid w:val="0020066D"/>
    <w:rsid w:val="00200838"/>
    <w:rsid w:val="00200985"/>
    <w:rsid w:val="002009AD"/>
    <w:rsid w:val="00200C40"/>
    <w:rsid w:val="00200C8F"/>
    <w:rsid w:val="002011A2"/>
    <w:rsid w:val="0020123A"/>
    <w:rsid w:val="002013A3"/>
    <w:rsid w:val="002015C3"/>
    <w:rsid w:val="00201884"/>
    <w:rsid w:val="00201B41"/>
    <w:rsid w:val="00201DE8"/>
    <w:rsid w:val="00202158"/>
    <w:rsid w:val="002023DD"/>
    <w:rsid w:val="002025E4"/>
    <w:rsid w:val="002025F6"/>
    <w:rsid w:val="0020262F"/>
    <w:rsid w:val="002027C7"/>
    <w:rsid w:val="00202A3E"/>
    <w:rsid w:val="00202AE6"/>
    <w:rsid w:val="00202BB5"/>
    <w:rsid w:val="00202C70"/>
    <w:rsid w:val="00202C93"/>
    <w:rsid w:val="00202D7E"/>
    <w:rsid w:val="00202DCF"/>
    <w:rsid w:val="00203271"/>
    <w:rsid w:val="0020330B"/>
    <w:rsid w:val="0020345E"/>
    <w:rsid w:val="0020349D"/>
    <w:rsid w:val="002039CC"/>
    <w:rsid w:val="00203B9C"/>
    <w:rsid w:val="00203D3B"/>
    <w:rsid w:val="00203F55"/>
    <w:rsid w:val="00203FA2"/>
    <w:rsid w:val="00204157"/>
    <w:rsid w:val="002043EA"/>
    <w:rsid w:val="00204655"/>
    <w:rsid w:val="0020473D"/>
    <w:rsid w:val="00204868"/>
    <w:rsid w:val="00204AD9"/>
    <w:rsid w:val="00204DDB"/>
    <w:rsid w:val="00204DF0"/>
    <w:rsid w:val="00204EAE"/>
    <w:rsid w:val="0020502F"/>
    <w:rsid w:val="0020505F"/>
    <w:rsid w:val="002052D9"/>
    <w:rsid w:val="0020533E"/>
    <w:rsid w:val="002055A8"/>
    <w:rsid w:val="00205A94"/>
    <w:rsid w:val="00205AFF"/>
    <w:rsid w:val="00205F93"/>
    <w:rsid w:val="0020608A"/>
    <w:rsid w:val="002061B2"/>
    <w:rsid w:val="002062ED"/>
    <w:rsid w:val="00206545"/>
    <w:rsid w:val="00206688"/>
    <w:rsid w:val="0020689C"/>
    <w:rsid w:val="00206B3A"/>
    <w:rsid w:val="00206BE5"/>
    <w:rsid w:val="00207030"/>
    <w:rsid w:val="0020729D"/>
    <w:rsid w:val="00207435"/>
    <w:rsid w:val="002076E2"/>
    <w:rsid w:val="00207B94"/>
    <w:rsid w:val="00207BCE"/>
    <w:rsid w:val="00207D12"/>
    <w:rsid w:val="00207D45"/>
    <w:rsid w:val="00207F7F"/>
    <w:rsid w:val="00207F8A"/>
    <w:rsid w:val="0021014E"/>
    <w:rsid w:val="002106B8"/>
    <w:rsid w:val="00210703"/>
    <w:rsid w:val="002108A0"/>
    <w:rsid w:val="00210993"/>
    <w:rsid w:val="00210EC4"/>
    <w:rsid w:val="0021103B"/>
    <w:rsid w:val="0021106F"/>
    <w:rsid w:val="002110A0"/>
    <w:rsid w:val="00211272"/>
    <w:rsid w:val="00211341"/>
    <w:rsid w:val="0021141C"/>
    <w:rsid w:val="00211457"/>
    <w:rsid w:val="002116FC"/>
    <w:rsid w:val="002118A5"/>
    <w:rsid w:val="002118C4"/>
    <w:rsid w:val="00211CA9"/>
    <w:rsid w:val="00211E4F"/>
    <w:rsid w:val="00211FD2"/>
    <w:rsid w:val="00212029"/>
    <w:rsid w:val="002120D7"/>
    <w:rsid w:val="00212177"/>
    <w:rsid w:val="002121E8"/>
    <w:rsid w:val="0021227A"/>
    <w:rsid w:val="002122FC"/>
    <w:rsid w:val="00212624"/>
    <w:rsid w:val="00212688"/>
    <w:rsid w:val="00212799"/>
    <w:rsid w:val="00212AFF"/>
    <w:rsid w:val="00212FCB"/>
    <w:rsid w:val="00213062"/>
    <w:rsid w:val="002139CF"/>
    <w:rsid w:val="00213ED9"/>
    <w:rsid w:val="0021421D"/>
    <w:rsid w:val="0021422C"/>
    <w:rsid w:val="00214290"/>
    <w:rsid w:val="0021448D"/>
    <w:rsid w:val="00214490"/>
    <w:rsid w:val="00214527"/>
    <w:rsid w:val="00214A55"/>
    <w:rsid w:val="00214E8E"/>
    <w:rsid w:val="00214FC1"/>
    <w:rsid w:val="002151F0"/>
    <w:rsid w:val="0021522F"/>
    <w:rsid w:val="00215340"/>
    <w:rsid w:val="0021545D"/>
    <w:rsid w:val="002155D3"/>
    <w:rsid w:val="0021567D"/>
    <w:rsid w:val="0021577B"/>
    <w:rsid w:val="002157AF"/>
    <w:rsid w:val="00215A97"/>
    <w:rsid w:val="00215C86"/>
    <w:rsid w:val="00215E07"/>
    <w:rsid w:val="00215F19"/>
    <w:rsid w:val="002160BC"/>
    <w:rsid w:val="002161DF"/>
    <w:rsid w:val="002166B1"/>
    <w:rsid w:val="0021672E"/>
    <w:rsid w:val="0021696D"/>
    <w:rsid w:val="002169D8"/>
    <w:rsid w:val="00216D75"/>
    <w:rsid w:val="00216DC5"/>
    <w:rsid w:val="00216E16"/>
    <w:rsid w:val="00216E3D"/>
    <w:rsid w:val="00216E9D"/>
    <w:rsid w:val="00216EC5"/>
    <w:rsid w:val="00216F44"/>
    <w:rsid w:val="00216FEC"/>
    <w:rsid w:val="002171BF"/>
    <w:rsid w:val="002171E2"/>
    <w:rsid w:val="00217222"/>
    <w:rsid w:val="002175EF"/>
    <w:rsid w:val="00217664"/>
    <w:rsid w:val="00217B03"/>
    <w:rsid w:val="00217EF8"/>
    <w:rsid w:val="00217F05"/>
    <w:rsid w:val="00217F87"/>
    <w:rsid w:val="0022013B"/>
    <w:rsid w:val="002202D8"/>
    <w:rsid w:val="00220399"/>
    <w:rsid w:val="00220589"/>
    <w:rsid w:val="00220593"/>
    <w:rsid w:val="002207D6"/>
    <w:rsid w:val="00220975"/>
    <w:rsid w:val="00220B4C"/>
    <w:rsid w:val="00220CC8"/>
    <w:rsid w:val="002210ED"/>
    <w:rsid w:val="00221219"/>
    <w:rsid w:val="00221309"/>
    <w:rsid w:val="002213A8"/>
    <w:rsid w:val="002214AC"/>
    <w:rsid w:val="00221684"/>
    <w:rsid w:val="00221788"/>
    <w:rsid w:val="002217B1"/>
    <w:rsid w:val="00221957"/>
    <w:rsid w:val="002219CF"/>
    <w:rsid w:val="00221B3B"/>
    <w:rsid w:val="00221CAF"/>
    <w:rsid w:val="002220D3"/>
    <w:rsid w:val="002220FE"/>
    <w:rsid w:val="002223A9"/>
    <w:rsid w:val="002225D8"/>
    <w:rsid w:val="002226A9"/>
    <w:rsid w:val="002226B2"/>
    <w:rsid w:val="002227C8"/>
    <w:rsid w:val="0022281E"/>
    <w:rsid w:val="00222838"/>
    <w:rsid w:val="00222BCB"/>
    <w:rsid w:val="00222D27"/>
    <w:rsid w:val="00222D62"/>
    <w:rsid w:val="00223050"/>
    <w:rsid w:val="002233BB"/>
    <w:rsid w:val="0022341B"/>
    <w:rsid w:val="00223496"/>
    <w:rsid w:val="002234D9"/>
    <w:rsid w:val="0022351C"/>
    <w:rsid w:val="002238E6"/>
    <w:rsid w:val="002239B5"/>
    <w:rsid w:val="00223A9F"/>
    <w:rsid w:val="00223BE1"/>
    <w:rsid w:val="00223D39"/>
    <w:rsid w:val="00224048"/>
    <w:rsid w:val="002240FD"/>
    <w:rsid w:val="002241BB"/>
    <w:rsid w:val="002241D4"/>
    <w:rsid w:val="0022451C"/>
    <w:rsid w:val="00224645"/>
    <w:rsid w:val="00224922"/>
    <w:rsid w:val="002249EB"/>
    <w:rsid w:val="00224C40"/>
    <w:rsid w:val="00224D0C"/>
    <w:rsid w:val="00224DC2"/>
    <w:rsid w:val="00224F95"/>
    <w:rsid w:val="002250A7"/>
    <w:rsid w:val="00225549"/>
    <w:rsid w:val="00225567"/>
    <w:rsid w:val="002257BE"/>
    <w:rsid w:val="0022583A"/>
    <w:rsid w:val="002258DA"/>
    <w:rsid w:val="0022591F"/>
    <w:rsid w:val="00225A9A"/>
    <w:rsid w:val="00225B60"/>
    <w:rsid w:val="00225C9C"/>
    <w:rsid w:val="00226014"/>
    <w:rsid w:val="002260AE"/>
    <w:rsid w:val="002263A3"/>
    <w:rsid w:val="002264A7"/>
    <w:rsid w:val="002264C1"/>
    <w:rsid w:val="002264E9"/>
    <w:rsid w:val="00226511"/>
    <w:rsid w:val="00226D4F"/>
    <w:rsid w:val="00226DF0"/>
    <w:rsid w:val="00226E17"/>
    <w:rsid w:val="0022705A"/>
    <w:rsid w:val="0022710E"/>
    <w:rsid w:val="0022735F"/>
    <w:rsid w:val="00227370"/>
    <w:rsid w:val="0022747C"/>
    <w:rsid w:val="0022775E"/>
    <w:rsid w:val="002277E0"/>
    <w:rsid w:val="00227802"/>
    <w:rsid w:val="002279F6"/>
    <w:rsid w:val="00227B3C"/>
    <w:rsid w:val="00227B77"/>
    <w:rsid w:val="00227D8B"/>
    <w:rsid w:val="00227ED6"/>
    <w:rsid w:val="00227F12"/>
    <w:rsid w:val="00230069"/>
    <w:rsid w:val="002301DD"/>
    <w:rsid w:val="0023049C"/>
    <w:rsid w:val="002306DB"/>
    <w:rsid w:val="0023080D"/>
    <w:rsid w:val="002308F3"/>
    <w:rsid w:val="00230915"/>
    <w:rsid w:val="00230938"/>
    <w:rsid w:val="002309D9"/>
    <w:rsid w:val="00230A5F"/>
    <w:rsid w:val="00230B48"/>
    <w:rsid w:val="00230E1B"/>
    <w:rsid w:val="00230EF1"/>
    <w:rsid w:val="00230F2A"/>
    <w:rsid w:val="0023112E"/>
    <w:rsid w:val="0023118C"/>
    <w:rsid w:val="00231B22"/>
    <w:rsid w:val="00231C1C"/>
    <w:rsid w:val="00231CA5"/>
    <w:rsid w:val="00231E07"/>
    <w:rsid w:val="00231E5B"/>
    <w:rsid w:val="00231E81"/>
    <w:rsid w:val="0023208B"/>
    <w:rsid w:val="00232105"/>
    <w:rsid w:val="0023210B"/>
    <w:rsid w:val="002324FB"/>
    <w:rsid w:val="00232775"/>
    <w:rsid w:val="00232AD9"/>
    <w:rsid w:val="00232BE9"/>
    <w:rsid w:val="00232CE5"/>
    <w:rsid w:val="00232F1D"/>
    <w:rsid w:val="00232F5B"/>
    <w:rsid w:val="00233029"/>
    <w:rsid w:val="002331D3"/>
    <w:rsid w:val="00233227"/>
    <w:rsid w:val="002332AF"/>
    <w:rsid w:val="00233421"/>
    <w:rsid w:val="00233487"/>
    <w:rsid w:val="0023354B"/>
    <w:rsid w:val="002337AC"/>
    <w:rsid w:val="002337BA"/>
    <w:rsid w:val="002338ED"/>
    <w:rsid w:val="00233B19"/>
    <w:rsid w:val="00233E65"/>
    <w:rsid w:val="0023404E"/>
    <w:rsid w:val="0023406F"/>
    <w:rsid w:val="002341A7"/>
    <w:rsid w:val="002342C4"/>
    <w:rsid w:val="002343B0"/>
    <w:rsid w:val="00234429"/>
    <w:rsid w:val="00234608"/>
    <w:rsid w:val="002347C7"/>
    <w:rsid w:val="00234E6D"/>
    <w:rsid w:val="00234FD1"/>
    <w:rsid w:val="00235090"/>
    <w:rsid w:val="002353F5"/>
    <w:rsid w:val="00235780"/>
    <w:rsid w:val="00235D22"/>
    <w:rsid w:val="00235DF9"/>
    <w:rsid w:val="00235EE2"/>
    <w:rsid w:val="00235FBC"/>
    <w:rsid w:val="00236122"/>
    <w:rsid w:val="002362F4"/>
    <w:rsid w:val="00236370"/>
    <w:rsid w:val="002363CB"/>
    <w:rsid w:val="0023642C"/>
    <w:rsid w:val="00236785"/>
    <w:rsid w:val="00236787"/>
    <w:rsid w:val="00236B50"/>
    <w:rsid w:val="00236DAF"/>
    <w:rsid w:val="0023709E"/>
    <w:rsid w:val="002371D0"/>
    <w:rsid w:val="0023726F"/>
    <w:rsid w:val="00237282"/>
    <w:rsid w:val="0023759B"/>
    <w:rsid w:val="002375AE"/>
    <w:rsid w:val="002377ED"/>
    <w:rsid w:val="00237A10"/>
    <w:rsid w:val="00237BC7"/>
    <w:rsid w:val="00237BFE"/>
    <w:rsid w:val="00237CBC"/>
    <w:rsid w:val="00237DCD"/>
    <w:rsid w:val="002402A6"/>
    <w:rsid w:val="002402FF"/>
    <w:rsid w:val="002403A3"/>
    <w:rsid w:val="0024064C"/>
    <w:rsid w:val="00240654"/>
    <w:rsid w:val="002408DF"/>
    <w:rsid w:val="00240A36"/>
    <w:rsid w:val="00240B56"/>
    <w:rsid w:val="00240EC0"/>
    <w:rsid w:val="00241017"/>
    <w:rsid w:val="002410B3"/>
    <w:rsid w:val="0024124D"/>
    <w:rsid w:val="0024131E"/>
    <w:rsid w:val="002415B6"/>
    <w:rsid w:val="002416A7"/>
    <w:rsid w:val="002416B7"/>
    <w:rsid w:val="0024171B"/>
    <w:rsid w:val="00241737"/>
    <w:rsid w:val="00241AF9"/>
    <w:rsid w:val="00241C3C"/>
    <w:rsid w:val="00241CCD"/>
    <w:rsid w:val="00241F97"/>
    <w:rsid w:val="00242154"/>
    <w:rsid w:val="002423BC"/>
    <w:rsid w:val="002423D4"/>
    <w:rsid w:val="0024255F"/>
    <w:rsid w:val="0024268B"/>
    <w:rsid w:val="002427E3"/>
    <w:rsid w:val="00242D04"/>
    <w:rsid w:val="00242DA2"/>
    <w:rsid w:val="00243031"/>
    <w:rsid w:val="00243233"/>
    <w:rsid w:val="002432CE"/>
    <w:rsid w:val="00243354"/>
    <w:rsid w:val="002438FA"/>
    <w:rsid w:val="00243A07"/>
    <w:rsid w:val="00243AB8"/>
    <w:rsid w:val="00243D36"/>
    <w:rsid w:val="00243D56"/>
    <w:rsid w:val="00243DAE"/>
    <w:rsid w:val="00243FAE"/>
    <w:rsid w:val="00244023"/>
    <w:rsid w:val="0024410B"/>
    <w:rsid w:val="00244497"/>
    <w:rsid w:val="0024481D"/>
    <w:rsid w:val="0024488C"/>
    <w:rsid w:val="00244932"/>
    <w:rsid w:val="00244958"/>
    <w:rsid w:val="00244C21"/>
    <w:rsid w:val="00244CD5"/>
    <w:rsid w:val="00244D9F"/>
    <w:rsid w:val="00245045"/>
    <w:rsid w:val="00245238"/>
    <w:rsid w:val="00245398"/>
    <w:rsid w:val="002454BB"/>
    <w:rsid w:val="00245694"/>
    <w:rsid w:val="00245759"/>
    <w:rsid w:val="002458CA"/>
    <w:rsid w:val="00245A69"/>
    <w:rsid w:val="00245BBC"/>
    <w:rsid w:val="00245DB8"/>
    <w:rsid w:val="00245F1E"/>
    <w:rsid w:val="00246242"/>
    <w:rsid w:val="0024659F"/>
    <w:rsid w:val="002465FE"/>
    <w:rsid w:val="0024671C"/>
    <w:rsid w:val="002467AB"/>
    <w:rsid w:val="00246A0D"/>
    <w:rsid w:val="0024712C"/>
    <w:rsid w:val="00247247"/>
    <w:rsid w:val="0024725C"/>
    <w:rsid w:val="002472FF"/>
    <w:rsid w:val="00247493"/>
    <w:rsid w:val="002474D0"/>
    <w:rsid w:val="002474E6"/>
    <w:rsid w:val="00247775"/>
    <w:rsid w:val="002478DC"/>
    <w:rsid w:val="00247D6B"/>
    <w:rsid w:val="00247D88"/>
    <w:rsid w:val="00247DCA"/>
    <w:rsid w:val="00247DD9"/>
    <w:rsid w:val="00247FC1"/>
    <w:rsid w:val="0025005E"/>
    <w:rsid w:val="002505B6"/>
    <w:rsid w:val="0025071E"/>
    <w:rsid w:val="00250766"/>
    <w:rsid w:val="002508AD"/>
    <w:rsid w:val="00250D5F"/>
    <w:rsid w:val="00250E21"/>
    <w:rsid w:val="0025122E"/>
    <w:rsid w:val="0025152B"/>
    <w:rsid w:val="002517C5"/>
    <w:rsid w:val="00251829"/>
    <w:rsid w:val="00251BAD"/>
    <w:rsid w:val="00251BCF"/>
    <w:rsid w:val="00251CAF"/>
    <w:rsid w:val="00251DF7"/>
    <w:rsid w:val="00251E15"/>
    <w:rsid w:val="00251FE2"/>
    <w:rsid w:val="002521FB"/>
    <w:rsid w:val="00252388"/>
    <w:rsid w:val="00252479"/>
    <w:rsid w:val="002526B6"/>
    <w:rsid w:val="002526E9"/>
    <w:rsid w:val="002528D7"/>
    <w:rsid w:val="0025297F"/>
    <w:rsid w:val="002529CB"/>
    <w:rsid w:val="002529D1"/>
    <w:rsid w:val="00252A0D"/>
    <w:rsid w:val="00252A7D"/>
    <w:rsid w:val="00252C7C"/>
    <w:rsid w:val="00253058"/>
    <w:rsid w:val="002532BC"/>
    <w:rsid w:val="00253317"/>
    <w:rsid w:val="0025333A"/>
    <w:rsid w:val="0025339D"/>
    <w:rsid w:val="00253515"/>
    <w:rsid w:val="00253549"/>
    <w:rsid w:val="0025367A"/>
    <w:rsid w:val="00253857"/>
    <w:rsid w:val="00253AAA"/>
    <w:rsid w:val="00253C15"/>
    <w:rsid w:val="0025425A"/>
    <w:rsid w:val="002545C0"/>
    <w:rsid w:val="0025488C"/>
    <w:rsid w:val="00254DA4"/>
    <w:rsid w:val="00254E35"/>
    <w:rsid w:val="00255029"/>
    <w:rsid w:val="002551B3"/>
    <w:rsid w:val="00255325"/>
    <w:rsid w:val="00255545"/>
    <w:rsid w:val="0025598A"/>
    <w:rsid w:val="00255AD5"/>
    <w:rsid w:val="00255B73"/>
    <w:rsid w:val="00255C76"/>
    <w:rsid w:val="00255CA1"/>
    <w:rsid w:val="00255F2C"/>
    <w:rsid w:val="00255F7F"/>
    <w:rsid w:val="0025600B"/>
    <w:rsid w:val="002560D6"/>
    <w:rsid w:val="002561EF"/>
    <w:rsid w:val="00256262"/>
    <w:rsid w:val="00256305"/>
    <w:rsid w:val="00256464"/>
    <w:rsid w:val="002564B7"/>
    <w:rsid w:val="00256546"/>
    <w:rsid w:val="0025682F"/>
    <w:rsid w:val="00256DAF"/>
    <w:rsid w:val="00256F61"/>
    <w:rsid w:val="00256FFA"/>
    <w:rsid w:val="0025709D"/>
    <w:rsid w:val="002571BB"/>
    <w:rsid w:val="002572C6"/>
    <w:rsid w:val="00257361"/>
    <w:rsid w:val="00257368"/>
    <w:rsid w:val="002574DF"/>
    <w:rsid w:val="0025776C"/>
    <w:rsid w:val="00257AC8"/>
    <w:rsid w:val="00257B99"/>
    <w:rsid w:val="00257B9D"/>
    <w:rsid w:val="00257BD4"/>
    <w:rsid w:val="00257BE7"/>
    <w:rsid w:val="00257CBD"/>
    <w:rsid w:val="00260054"/>
    <w:rsid w:val="002600D1"/>
    <w:rsid w:val="002601FE"/>
    <w:rsid w:val="0026030C"/>
    <w:rsid w:val="002604FA"/>
    <w:rsid w:val="002607B0"/>
    <w:rsid w:val="00260C23"/>
    <w:rsid w:val="00260D55"/>
    <w:rsid w:val="00260EC8"/>
    <w:rsid w:val="00260F31"/>
    <w:rsid w:val="00261191"/>
    <w:rsid w:val="002611E8"/>
    <w:rsid w:val="002615AF"/>
    <w:rsid w:val="00261697"/>
    <w:rsid w:val="002616BC"/>
    <w:rsid w:val="00261825"/>
    <w:rsid w:val="0026194E"/>
    <w:rsid w:val="00261959"/>
    <w:rsid w:val="00261B87"/>
    <w:rsid w:val="00261C2E"/>
    <w:rsid w:val="00261C5A"/>
    <w:rsid w:val="00261CD5"/>
    <w:rsid w:val="00261DDB"/>
    <w:rsid w:val="00261E0A"/>
    <w:rsid w:val="00261F42"/>
    <w:rsid w:val="00262326"/>
    <w:rsid w:val="0026233E"/>
    <w:rsid w:val="002623A0"/>
    <w:rsid w:val="002625A2"/>
    <w:rsid w:val="0026265C"/>
    <w:rsid w:val="00262732"/>
    <w:rsid w:val="002629DD"/>
    <w:rsid w:val="00262CFD"/>
    <w:rsid w:val="00262E0C"/>
    <w:rsid w:val="00262E6F"/>
    <w:rsid w:val="00263024"/>
    <w:rsid w:val="002630BF"/>
    <w:rsid w:val="00263204"/>
    <w:rsid w:val="0026328E"/>
    <w:rsid w:val="002632AE"/>
    <w:rsid w:val="0026333A"/>
    <w:rsid w:val="00263535"/>
    <w:rsid w:val="0026376B"/>
    <w:rsid w:val="00263803"/>
    <w:rsid w:val="00263926"/>
    <w:rsid w:val="002639BC"/>
    <w:rsid w:val="00263A1E"/>
    <w:rsid w:val="00263AA1"/>
    <w:rsid w:val="00263B6C"/>
    <w:rsid w:val="00263CC6"/>
    <w:rsid w:val="00263E03"/>
    <w:rsid w:val="00263FBF"/>
    <w:rsid w:val="00264261"/>
    <w:rsid w:val="0026444A"/>
    <w:rsid w:val="002645E9"/>
    <w:rsid w:val="0026464D"/>
    <w:rsid w:val="00264891"/>
    <w:rsid w:val="00264A3A"/>
    <w:rsid w:val="00264E36"/>
    <w:rsid w:val="00264F86"/>
    <w:rsid w:val="00264FC4"/>
    <w:rsid w:val="002650FC"/>
    <w:rsid w:val="00265312"/>
    <w:rsid w:val="002653F7"/>
    <w:rsid w:val="0026549B"/>
    <w:rsid w:val="00265854"/>
    <w:rsid w:val="002659AF"/>
    <w:rsid w:val="00265A75"/>
    <w:rsid w:val="00266054"/>
    <w:rsid w:val="0026628B"/>
    <w:rsid w:val="0026678D"/>
    <w:rsid w:val="00266C0C"/>
    <w:rsid w:val="002672D6"/>
    <w:rsid w:val="002673B9"/>
    <w:rsid w:val="002673FC"/>
    <w:rsid w:val="00267982"/>
    <w:rsid w:val="0026799B"/>
    <w:rsid w:val="00267B91"/>
    <w:rsid w:val="00267C72"/>
    <w:rsid w:val="00267C9C"/>
    <w:rsid w:val="00267CAB"/>
    <w:rsid w:val="00267D32"/>
    <w:rsid w:val="00267FEE"/>
    <w:rsid w:val="002700A1"/>
    <w:rsid w:val="00270320"/>
    <w:rsid w:val="0027069A"/>
    <w:rsid w:val="00270732"/>
    <w:rsid w:val="00270842"/>
    <w:rsid w:val="002708B2"/>
    <w:rsid w:val="00270B8C"/>
    <w:rsid w:val="00270D9A"/>
    <w:rsid w:val="00271414"/>
    <w:rsid w:val="00271465"/>
    <w:rsid w:val="0027147A"/>
    <w:rsid w:val="00271976"/>
    <w:rsid w:val="0027199A"/>
    <w:rsid w:val="00271B19"/>
    <w:rsid w:val="00271F2F"/>
    <w:rsid w:val="0027204A"/>
    <w:rsid w:val="002720F5"/>
    <w:rsid w:val="00272191"/>
    <w:rsid w:val="002722D6"/>
    <w:rsid w:val="00272492"/>
    <w:rsid w:val="002724C8"/>
    <w:rsid w:val="002724CB"/>
    <w:rsid w:val="00272765"/>
    <w:rsid w:val="0027288F"/>
    <w:rsid w:val="00272C67"/>
    <w:rsid w:val="00272E78"/>
    <w:rsid w:val="00273028"/>
    <w:rsid w:val="002731E4"/>
    <w:rsid w:val="00273353"/>
    <w:rsid w:val="002734AA"/>
    <w:rsid w:val="002737CF"/>
    <w:rsid w:val="00273B7A"/>
    <w:rsid w:val="00273D04"/>
    <w:rsid w:val="0027427A"/>
    <w:rsid w:val="00274346"/>
    <w:rsid w:val="00274662"/>
    <w:rsid w:val="002746A9"/>
    <w:rsid w:val="0027482D"/>
    <w:rsid w:val="00274980"/>
    <w:rsid w:val="00274ADD"/>
    <w:rsid w:val="00274B9B"/>
    <w:rsid w:val="00274CC4"/>
    <w:rsid w:val="00274DC8"/>
    <w:rsid w:val="00274EA4"/>
    <w:rsid w:val="00274F4C"/>
    <w:rsid w:val="00274F87"/>
    <w:rsid w:val="002752B9"/>
    <w:rsid w:val="002753D5"/>
    <w:rsid w:val="002754B5"/>
    <w:rsid w:val="002754FB"/>
    <w:rsid w:val="00275578"/>
    <w:rsid w:val="002755C4"/>
    <w:rsid w:val="0027577A"/>
    <w:rsid w:val="0027586E"/>
    <w:rsid w:val="00275CCB"/>
    <w:rsid w:val="00275CDF"/>
    <w:rsid w:val="002761C4"/>
    <w:rsid w:val="00276430"/>
    <w:rsid w:val="0027660B"/>
    <w:rsid w:val="0027685A"/>
    <w:rsid w:val="00276A30"/>
    <w:rsid w:val="00276AFB"/>
    <w:rsid w:val="00276F28"/>
    <w:rsid w:val="00276FA2"/>
    <w:rsid w:val="002775C8"/>
    <w:rsid w:val="0027777E"/>
    <w:rsid w:val="00277945"/>
    <w:rsid w:val="002779BB"/>
    <w:rsid w:val="0028033A"/>
    <w:rsid w:val="00280413"/>
    <w:rsid w:val="002808FC"/>
    <w:rsid w:val="00280953"/>
    <w:rsid w:val="00280A76"/>
    <w:rsid w:val="00280DBF"/>
    <w:rsid w:val="00280DE7"/>
    <w:rsid w:val="00280E45"/>
    <w:rsid w:val="00280FE0"/>
    <w:rsid w:val="0028125F"/>
    <w:rsid w:val="0028140C"/>
    <w:rsid w:val="0028143C"/>
    <w:rsid w:val="00281462"/>
    <w:rsid w:val="00281834"/>
    <w:rsid w:val="00281A06"/>
    <w:rsid w:val="00281B3A"/>
    <w:rsid w:val="00281D66"/>
    <w:rsid w:val="0028200D"/>
    <w:rsid w:val="0028259B"/>
    <w:rsid w:val="002827E4"/>
    <w:rsid w:val="00282C93"/>
    <w:rsid w:val="00282DFE"/>
    <w:rsid w:val="00282E97"/>
    <w:rsid w:val="002832AA"/>
    <w:rsid w:val="0028346B"/>
    <w:rsid w:val="00283540"/>
    <w:rsid w:val="0028354A"/>
    <w:rsid w:val="00283609"/>
    <w:rsid w:val="0028387E"/>
    <w:rsid w:val="00283A7D"/>
    <w:rsid w:val="00283CC6"/>
    <w:rsid w:val="00283D1E"/>
    <w:rsid w:val="00284158"/>
    <w:rsid w:val="002843AF"/>
    <w:rsid w:val="002844F2"/>
    <w:rsid w:val="002845C5"/>
    <w:rsid w:val="002846D9"/>
    <w:rsid w:val="00284788"/>
    <w:rsid w:val="002847B1"/>
    <w:rsid w:val="00284C62"/>
    <w:rsid w:val="00284F7A"/>
    <w:rsid w:val="00285194"/>
    <w:rsid w:val="0028533C"/>
    <w:rsid w:val="00285400"/>
    <w:rsid w:val="0028576E"/>
    <w:rsid w:val="002858B0"/>
    <w:rsid w:val="00285A91"/>
    <w:rsid w:val="00285AA0"/>
    <w:rsid w:val="00285BEB"/>
    <w:rsid w:val="002860FB"/>
    <w:rsid w:val="00286384"/>
    <w:rsid w:val="002864A1"/>
    <w:rsid w:val="00286669"/>
    <w:rsid w:val="0028679D"/>
    <w:rsid w:val="002867F3"/>
    <w:rsid w:val="002868CA"/>
    <w:rsid w:val="00286A52"/>
    <w:rsid w:val="00286AE8"/>
    <w:rsid w:val="00286BB6"/>
    <w:rsid w:val="00286C20"/>
    <w:rsid w:val="00286D0B"/>
    <w:rsid w:val="00286E9A"/>
    <w:rsid w:val="00286F20"/>
    <w:rsid w:val="00287065"/>
    <w:rsid w:val="0028706B"/>
    <w:rsid w:val="0028716E"/>
    <w:rsid w:val="002875F8"/>
    <w:rsid w:val="002878EE"/>
    <w:rsid w:val="0028798E"/>
    <w:rsid w:val="002879DB"/>
    <w:rsid w:val="00287A37"/>
    <w:rsid w:val="00287AC1"/>
    <w:rsid w:val="00287BD9"/>
    <w:rsid w:val="00287D57"/>
    <w:rsid w:val="00287D7E"/>
    <w:rsid w:val="00287E06"/>
    <w:rsid w:val="00290359"/>
    <w:rsid w:val="002904DC"/>
    <w:rsid w:val="002905D4"/>
    <w:rsid w:val="00290657"/>
    <w:rsid w:val="00290893"/>
    <w:rsid w:val="0029093F"/>
    <w:rsid w:val="00290C37"/>
    <w:rsid w:val="00290CA5"/>
    <w:rsid w:val="00290F09"/>
    <w:rsid w:val="002910D8"/>
    <w:rsid w:val="0029169A"/>
    <w:rsid w:val="00291783"/>
    <w:rsid w:val="0029190D"/>
    <w:rsid w:val="00291A4C"/>
    <w:rsid w:val="00291D86"/>
    <w:rsid w:val="00291DCD"/>
    <w:rsid w:val="00291F27"/>
    <w:rsid w:val="00291F5B"/>
    <w:rsid w:val="00291F84"/>
    <w:rsid w:val="00291FAA"/>
    <w:rsid w:val="0029253F"/>
    <w:rsid w:val="00292837"/>
    <w:rsid w:val="002928DC"/>
    <w:rsid w:val="002929D3"/>
    <w:rsid w:val="00292ABA"/>
    <w:rsid w:val="00292B93"/>
    <w:rsid w:val="00292ECC"/>
    <w:rsid w:val="00293193"/>
    <w:rsid w:val="0029338D"/>
    <w:rsid w:val="00293432"/>
    <w:rsid w:val="00293470"/>
    <w:rsid w:val="00293484"/>
    <w:rsid w:val="00293807"/>
    <w:rsid w:val="00293A40"/>
    <w:rsid w:val="00293CA4"/>
    <w:rsid w:val="00293CE3"/>
    <w:rsid w:val="00294317"/>
    <w:rsid w:val="00294389"/>
    <w:rsid w:val="002944FF"/>
    <w:rsid w:val="0029470D"/>
    <w:rsid w:val="00294762"/>
    <w:rsid w:val="00294824"/>
    <w:rsid w:val="002948EC"/>
    <w:rsid w:val="002948F3"/>
    <w:rsid w:val="00294DF3"/>
    <w:rsid w:val="00294FCD"/>
    <w:rsid w:val="00294FE4"/>
    <w:rsid w:val="00295313"/>
    <w:rsid w:val="0029546A"/>
    <w:rsid w:val="00295670"/>
    <w:rsid w:val="002958E3"/>
    <w:rsid w:val="00295965"/>
    <w:rsid w:val="00295A52"/>
    <w:rsid w:val="00295D16"/>
    <w:rsid w:val="00295DE7"/>
    <w:rsid w:val="00295E56"/>
    <w:rsid w:val="00296332"/>
    <w:rsid w:val="00296438"/>
    <w:rsid w:val="0029679B"/>
    <w:rsid w:val="00296A0D"/>
    <w:rsid w:val="00296A26"/>
    <w:rsid w:val="00296B43"/>
    <w:rsid w:val="00296BFD"/>
    <w:rsid w:val="00296C4F"/>
    <w:rsid w:val="00296C9C"/>
    <w:rsid w:val="0029720A"/>
    <w:rsid w:val="002972CB"/>
    <w:rsid w:val="00297516"/>
    <w:rsid w:val="00297698"/>
    <w:rsid w:val="00297943"/>
    <w:rsid w:val="002979D4"/>
    <w:rsid w:val="00297A6E"/>
    <w:rsid w:val="00297A72"/>
    <w:rsid w:val="00297B04"/>
    <w:rsid w:val="00297B19"/>
    <w:rsid w:val="00297B59"/>
    <w:rsid w:val="002A006F"/>
    <w:rsid w:val="002A019F"/>
    <w:rsid w:val="002A04D2"/>
    <w:rsid w:val="002A06F0"/>
    <w:rsid w:val="002A083B"/>
    <w:rsid w:val="002A0B2F"/>
    <w:rsid w:val="002A0B44"/>
    <w:rsid w:val="002A1009"/>
    <w:rsid w:val="002A1468"/>
    <w:rsid w:val="002A14FC"/>
    <w:rsid w:val="002A16CF"/>
    <w:rsid w:val="002A16F2"/>
    <w:rsid w:val="002A174D"/>
    <w:rsid w:val="002A17BD"/>
    <w:rsid w:val="002A1A2E"/>
    <w:rsid w:val="002A1A3F"/>
    <w:rsid w:val="002A1C72"/>
    <w:rsid w:val="002A1C9D"/>
    <w:rsid w:val="002A1E48"/>
    <w:rsid w:val="002A20E3"/>
    <w:rsid w:val="002A2176"/>
    <w:rsid w:val="002A225F"/>
    <w:rsid w:val="002A241E"/>
    <w:rsid w:val="002A260D"/>
    <w:rsid w:val="002A269F"/>
    <w:rsid w:val="002A27C9"/>
    <w:rsid w:val="002A2849"/>
    <w:rsid w:val="002A2A20"/>
    <w:rsid w:val="002A2C5D"/>
    <w:rsid w:val="002A2C74"/>
    <w:rsid w:val="002A2F79"/>
    <w:rsid w:val="002A3006"/>
    <w:rsid w:val="002A30E3"/>
    <w:rsid w:val="002A322F"/>
    <w:rsid w:val="002A3286"/>
    <w:rsid w:val="002A338D"/>
    <w:rsid w:val="002A33E8"/>
    <w:rsid w:val="002A34E9"/>
    <w:rsid w:val="002A35B8"/>
    <w:rsid w:val="002A374B"/>
    <w:rsid w:val="002A3807"/>
    <w:rsid w:val="002A38BF"/>
    <w:rsid w:val="002A3A7B"/>
    <w:rsid w:val="002A3CDD"/>
    <w:rsid w:val="002A3DCF"/>
    <w:rsid w:val="002A3F2B"/>
    <w:rsid w:val="002A4435"/>
    <w:rsid w:val="002A4447"/>
    <w:rsid w:val="002A44D9"/>
    <w:rsid w:val="002A452E"/>
    <w:rsid w:val="002A45C3"/>
    <w:rsid w:val="002A46DD"/>
    <w:rsid w:val="002A4848"/>
    <w:rsid w:val="002A48A0"/>
    <w:rsid w:val="002A4B18"/>
    <w:rsid w:val="002A4B6E"/>
    <w:rsid w:val="002A4DA3"/>
    <w:rsid w:val="002A4DBB"/>
    <w:rsid w:val="002A4E4A"/>
    <w:rsid w:val="002A4EB3"/>
    <w:rsid w:val="002A4F88"/>
    <w:rsid w:val="002A50E2"/>
    <w:rsid w:val="002A51D7"/>
    <w:rsid w:val="002A5987"/>
    <w:rsid w:val="002A5AF2"/>
    <w:rsid w:val="002A5BFB"/>
    <w:rsid w:val="002A5C4D"/>
    <w:rsid w:val="002A5D7D"/>
    <w:rsid w:val="002A606D"/>
    <w:rsid w:val="002A623A"/>
    <w:rsid w:val="002A63B7"/>
    <w:rsid w:val="002A6421"/>
    <w:rsid w:val="002A65BC"/>
    <w:rsid w:val="002A65F8"/>
    <w:rsid w:val="002A660D"/>
    <w:rsid w:val="002A6620"/>
    <w:rsid w:val="002A6714"/>
    <w:rsid w:val="002A678F"/>
    <w:rsid w:val="002A680E"/>
    <w:rsid w:val="002A68A3"/>
    <w:rsid w:val="002A696F"/>
    <w:rsid w:val="002A69A8"/>
    <w:rsid w:val="002A6AD8"/>
    <w:rsid w:val="002A6E77"/>
    <w:rsid w:val="002A7127"/>
    <w:rsid w:val="002A724E"/>
    <w:rsid w:val="002A765A"/>
    <w:rsid w:val="002A7837"/>
    <w:rsid w:val="002A7CDD"/>
    <w:rsid w:val="002A7E57"/>
    <w:rsid w:val="002A7E5F"/>
    <w:rsid w:val="002B009B"/>
    <w:rsid w:val="002B00A8"/>
    <w:rsid w:val="002B02E4"/>
    <w:rsid w:val="002B0307"/>
    <w:rsid w:val="002B03BC"/>
    <w:rsid w:val="002B0526"/>
    <w:rsid w:val="002B07CC"/>
    <w:rsid w:val="002B0882"/>
    <w:rsid w:val="002B08C5"/>
    <w:rsid w:val="002B0A2E"/>
    <w:rsid w:val="002B0C3F"/>
    <w:rsid w:val="002B0C62"/>
    <w:rsid w:val="002B0CB8"/>
    <w:rsid w:val="002B0E8F"/>
    <w:rsid w:val="002B1053"/>
    <w:rsid w:val="002B10CD"/>
    <w:rsid w:val="002B11AA"/>
    <w:rsid w:val="002B128C"/>
    <w:rsid w:val="002B1644"/>
    <w:rsid w:val="002B16D0"/>
    <w:rsid w:val="002B1726"/>
    <w:rsid w:val="002B1936"/>
    <w:rsid w:val="002B1EA9"/>
    <w:rsid w:val="002B1EC0"/>
    <w:rsid w:val="002B2226"/>
    <w:rsid w:val="002B2247"/>
    <w:rsid w:val="002B2864"/>
    <w:rsid w:val="002B2C05"/>
    <w:rsid w:val="002B2DFB"/>
    <w:rsid w:val="002B34A3"/>
    <w:rsid w:val="002B357E"/>
    <w:rsid w:val="002B3842"/>
    <w:rsid w:val="002B3849"/>
    <w:rsid w:val="002B3944"/>
    <w:rsid w:val="002B39F9"/>
    <w:rsid w:val="002B3A4C"/>
    <w:rsid w:val="002B3BB0"/>
    <w:rsid w:val="002B3F5B"/>
    <w:rsid w:val="002B4053"/>
    <w:rsid w:val="002B4092"/>
    <w:rsid w:val="002B44F1"/>
    <w:rsid w:val="002B44F2"/>
    <w:rsid w:val="002B450E"/>
    <w:rsid w:val="002B4809"/>
    <w:rsid w:val="002B48CB"/>
    <w:rsid w:val="002B4AA8"/>
    <w:rsid w:val="002B4C27"/>
    <w:rsid w:val="002B4FC3"/>
    <w:rsid w:val="002B5244"/>
    <w:rsid w:val="002B53AB"/>
    <w:rsid w:val="002B5412"/>
    <w:rsid w:val="002B54D8"/>
    <w:rsid w:val="002B5707"/>
    <w:rsid w:val="002B5854"/>
    <w:rsid w:val="002B5BF6"/>
    <w:rsid w:val="002B5D6B"/>
    <w:rsid w:val="002B63D8"/>
    <w:rsid w:val="002B641E"/>
    <w:rsid w:val="002B6483"/>
    <w:rsid w:val="002B6912"/>
    <w:rsid w:val="002B69D3"/>
    <w:rsid w:val="002B6BD0"/>
    <w:rsid w:val="002B6BD3"/>
    <w:rsid w:val="002B6C0A"/>
    <w:rsid w:val="002B6FB0"/>
    <w:rsid w:val="002B7022"/>
    <w:rsid w:val="002B71B8"/>
    <w:rsid w:val="002B722A"/>
    <w:rsid w:val="002B7298"/>
    <w:rsid w:val="002B7357"/>
    <w:rsid w:val="002B7378"/>
    <w:rsid w:val="002B73C7"/>
    <w:rsid w:val="002B749B"/>
    <w:rsid w:val="002B775E"/>
    <w:rsid w:val="002B7771"/>
    <w:rsid w:val="002B79D5"/>
    <w:rsid w:val="002B7AE5"/>
    <w:rsid w:val="002B7CF5"/>
    <w:rsid w:val="002C0504"/>
    <w:rsid w:val="002C0687"/>
    <w:rsid w:val="002C08EE"/>
    <w:rsid w:val="002C0AFB"/>
    <w:rsid w:val="002C0B2A"/>
    <w:rsid w:val="002C0BB4"/>
    <w:rsid w:val="002C0BDD"/>
    <w:rsid w:val="002C0BE2"/>
    <w:rsid w:val="002C0D84"/>
    <w:rsid w:val="002C12E6"/>
    <w:rsid w:val="002C12F8"/>
    <w:rsid w:val="002C1408"/>
    <w:rsid w:val="002C1425"/>
    <w:rsid w:val="002C1456"/>
    <w:rsid w:val="002C17C0"/>
    <w:rsid w:val="002C1807"/>
    <w:rsid w:val="002C189E"/>
    <w:rsid w:val="002C1E7B"/>
    <w:rsid w:val="002C1EB4"/>
    <w:rsid w:val="002C1EB5"/>
    <w:rsid w:val="002C2005"/>
    <w:rsid w:val="002C205D"/>
    <w:rsid w:val="002C258D"/>
    <w:rsid w:val="002C25A9"/>
    <w:rsid w:val="002C26EE"/>
    <w:rsid w:val="002C29AC"/>
    <w:rsid w:val="002C2A2C"/>
    <w:rsid w:val="002C2A6A"/>
    <w:rsid w:val="002C2C1C"/>
    <w:rsid w:val="002C2D48"/>
    <w:rsid w:val="002C2E7D"/>
    <w:rsid w:val="002C3687"/>
    <w:rsid w:val="002C393C"/>
    <w:rsid w:val="002C397B"/>
    <w:rsid w:val="002C39E7"/>
    <w:rsid w:val="002C39EA"/>
    <w:rsid w:val="002C3B25"/>
    <w:rsid w:val="002C3E82"/>
    <w:rsid w:val="002C4057"/>
    <w:rsid w:val="002C40B3"/>
    <w:rsid w:val="002C4398"/>
    <w:rsid w:val="002C44D5"/>
    <w:rsid w:val="002C45DC"/>
    <w:rsid w:val="002C461E"/>
    <w:rsid w:val="002C48B9"/>
    <w:rsid w:val="002C48CC"/>
    <w:rsid w:val="002C4941"/>
    <w:rsid w:val="002C4BEE"/>
    <w:rsid w:val="002C4C09"/>
    <w:rsid w:val="002C4EA4"/>
    <w:rsid w:val="002C4F4C"/>
    <w:rsid w:val="002C50D2"/>
    <w:rsid w:val="002C56D4"/>
    <w:rsid w:val="002C5820"/>
    <w:rsid w:val="002C5827"/>
    <w:rsid w:val="002C58C4"/>
    <w:rsid w:val="002C5A2F"/>
    <w:rsid w:val="002C5D3C"/>
    <w:rsid w:val="002C5FC0"/>
    <w:rsid w:val="002C602F"/>
    <w:rsid w:val="002C6401"/>
    <w:rsid w:val="002C64A6"/>
    <w:rsid w:val="002C6595"/>
    <w:rsid w:val="002C6666"/>
    <w:rsid w:val="002C681A"/>
    <w:rsid w:val="002C685A"/>
    <w:rsid w:val="002C68B8"/>
    <w:rsid w:val="002C699A"/>
    <w:rsid w:val="002C6C89"/>
    <w:rsid w:val="002C6EC8"/>
    <w:rsid w:val="002C7018"/>
    <w:rsid w:val="002C703F"/>
    <w:rsid w:val="002C7091"/>
    <w:rsid w:val="002C709E"/>
    <w:rsid w:val="002C71FE"/>
    <w:rsid w:val="002C7720"/>
    <w:rsid w:val="002C77CB"/>
    <w:rsid w:val="002C79DA"/>
    <w:rsid w:val="002C7D57"/>
    <w:rsid w:val="002C7E1A"/>
    <w:rsid w:val="002D016A"/>
    <w:rsid w:val="002D03DF"/>
    <w:rsid w:val="002D0451"/>
    <w:rsid w:val="002D0588"/>
    <w:rsid w:val="002D0598"/>
    <w:rsid w:val="002D0661"/>
    <w:rsid w:val="002D091B"/>
    <w:rsid w:val="002D0C0E"/>
    <w:rsid w:val="002D0C61"/>
    <w:rsid w:val="002D0DD7"/>
    <w:rsid w:val="002D0E4C"/>
    <w:rsid w:val="002D0F2B"/>
    <w:rsid w:val="002D1090"/>
    <w:rsid w:val="002D1094"/>
    <w:rsid w:val="002D1507"/>
    <w:rsid w:val="002D18D2"/>
    <w:rsid w:val="002D1B9A"/>
    <w:rsid w:val="002D1E03"/>
    <w:rsid w:val="002D2179"/>
    <w:rsid w:val="002D21EC"/>
    <w:rsid w:val="002D25A5"/>
    <w:rsid w:val="002D3069"/>
    <w:rsid w:val="002D342C"/>
    <w:rsid w:val="002D34C3"/>
    <w:rsid w:val="002D3552"/>
    <w:rsid w:val="002D3705"/>
    <w:rsid w:val="002D3820"/>
    <w:rsid w:val="002D39DF"/>
    <w:rsid w:val="002D3A4C"/>
    <w:rsid w:val="002D3D58"/>
    <w:rsid w:val="002D4260"/>
    <w:rsid w:val="002D4393"/>
    <w:rsid w:val="002D475D"/>
    <w:rsid w:val="002D4B9D"/>
    <w:rsid w:val="002D4EBD"/>
    <w:rsid w:val="002D5113"/>
    <w:rsid w:val="002D54DB"/>
    <w:rsid w:val="002D5726"/>
    <w:rsid w:val="002D59B3"/>
    <w:rsid w:val="002D5A6E"/>
    <w:rsid w:val="002D5AC1"/>
    <w:rsid w:val="002D5B24"/>
    <w:rsid w:val="002D5B75"/>
    <w:rsid w:val="002D5D51"/>
    <w:rsid w:val="002D5E33"/>
    <w:rsid w:val="002D6022"/>
    <w:rsid w:val="002D617B"/>
    <w:rsid w:val="002D61F3"/>
    <w:rsid w:val="002D62C5"/>
    <w:rsid w:val="002D6630"/>
    <w:rsid w:val="002D67F1"/>
    <w:rsid w:val="002D6819"/>
    <w:rsid w:val="002D6CF0"/>
    <w:rsid w:val="002D6D0D"/>
    <w:rsid w:val="002D6FD6"/>
    <w:rsid w:val="002D6FD7"/>
    <w:rsid w:val="002D7078"/>
    <w:rsid w:val="002D750C"/>
    <w:rsid w:val="002D7686"/>
    <w:rsid w:val="002D77E6"/>
    <w:rsid w:val="002D797E"/>
    <w:rsid w:val="002D79DA"/>
    <w:rsid w:val="002D7BB8"/>
    <w:rsid w:val="002D7D20"/>
    <w:rsid w:val="002D7DBD"/>
    <w:rsid w:val="002D7DE4"/>
    <w:rsid w:val="002D7E75"/>
    <w:rsid w:val="002E00CC"/>
    <w:rsid w:val="002E00FA"/>
    <w:rsid w:val="002E016E"/>
    <w:rsid w:val="002E06D8"/>
    <w:rsid w:val="002E07B5"/>
    <w:rsid w:val="002E0B7B"/>
    <w:rsid w:val="002E0E96"/>
    <w:rsid w:val="002E0E97"/>
    <w:rsid w:val="002E123D"/>
    <w:rsid w:val="002E139A"/>
    <w:rsid w:val="002E18E1"/>
    <w:rsid w:val="002E1912"/>
    <w:rsid w:val="002E1B00"/>
    <w:rsid w:val="002E1B13"/>
    <w:rsid w:val="002E1C19"/>
    <w:rsid w:val="002E1F66"/>
    <w:rsid w:val="002E1F82"/>
    <w:rsid w:val="002E1F93"/>
    <w:rsid w:val="002E211A"/>
    <w:rsid w:val="002E2542"/>
    <w:rsid w:val="002E2597"/>
    <w:rsid w:val="002E2718"/>
    <w:rsid w:val="002E27C2"/>
    <w:rsid w:val="002E27D2"/>
    <w:rsid w:val="002E289B"/>
    <w:rsid w:val="002E28D5"/>
    <w:rsid w:val="002E28D9"/>
    <w:rsid w:val="002E291A"/>
    <w:rsid w:val="002E2E38"/>
    <w:rsid w:val="002E3006"/>
    <w:rsid w:val="002E3194"/>
    <w:rsid w:val="002E31B3"/>
    <w:rsid w:val="002E3302"/>
    <w:rsid w:val="002E3351"/>
    <w:rsid w:val="002E3474"/>
    <w:rsid w:val="002E34A9"/>
    <w:rsid w:val="002E35AE"/>
    <w:rsid w:val="002E35D8"/>
    <w:rsid w:val="002E39A9"/>
    <w:rsid w:val="002E39D1"/>
    <w:rsid w:val="002E39E1"/>
    <w:rsid w:val="002E3B1F"/>
    <w:rsid w:val="002E3C2F"/>
    <w:rsid w:val="002E3D56"/>
    <w:rsid w:val="002E3F88"/>
    <w:rsid w:val="002E4008"/>
    <w:rsid w:val="002E40A8"/>
    <w:rsid w:val="002E40FC"/>
    <w:rsid w:val="002E4266"/>
    <w:rsid w:val="002E4303"/>
    <w:rsid w:val="002E43BE"/>
    <w:rsid w:val="002E4475"/>
    <w:rsid w:val="002E4665"/>
    <w:rsid w:val="002E496E"/>
    <w:rsid w:val="002E4DDF"/>
    <w:rsid w:val="002E4E61"/>
    <w:rsid w:val="002E524F"/>
    <w:rsid w:val="002E5275"/>
    <w:rsid w:val="002E52FB"/>
    <w:rsid w:val="002E531C"/>
    <w:rsid w:val="002E5414"/>
    <w:rsid w:val="002E553D"/>
    <w:rsid w:val="002E560E"/>
    <w:rsid w:val="002E5634"/>
    <w:rsid w:val="002E5659"/>
    <w:rsid w:val="002E56DC"/>
    <w:rsid w:val="002E5DE7"/>
    <w:rsid w:val="002E6064"/>
    <w:rsid w:val="002E62DA"/>
    <w:rsid w:val="002E633F"/>
    <w:rsid w:val="002E636C"/>
    <w:rsid w:val="002E64BD"/>
    <w:rsid w:val="002E664A"/>
    <w:rsid w:val="002E6822"/>
    <w:rsid w:val="002E6A33"/>
    <w:rsid w:val="002E6BB7"/>
    <w:rsid w:val="002E6D79"/>
    <w:rsid w:val="002E71DB"/>
    <w:rsid w:val="002E7222"/>
    <w:rsid w:val="002E7441"/>
    <w:rsid w:val="002E74E4"/>
    <w:rsid w:val="002E7791"/>
    <w:rsid w:val="002E781F"/>
    <w:rsid w:val="002E7882"/>
    <w:rsid w:val="002E78D6"/>
    <w:rsid w:val="002E795A"/>
    <w:rsid w:val="002E7ABD"/>
    <w:rsid w:val="002F004D"/>
    <w:rsid w:val="002F0081"/>
    <w:rsid w:val="002F0289"/>
    <w:rsid w:val="002F02C1"/>
    <w:rsid w:val="002F0411"/>
    <w:rsid w:val="002F05A4"/>
    <w:rsid w:val="002F0664"/>
    <w:rsid w:val="002F06DC"/>
    <w:rsid w:val="002F07EB"/>
    <w:rsid w:val="002F09E7"/>
    <w:rsid w:val="002F0A47"/>
    <w:rsid w:val="002F0AB1"/>
    <w:rsid w:val="002F0C05"/>
    <w:rsid w:val="002F0C22"/>
    <w:rsid w:val="002F0C46"/>
    <w:rsid w:val="002F0D07"/>
    <w:rsid w:val="002F0FBE"/>
    <w:rsid w:val="002F10F9"/>
    <w:rsid w:val="002F1198"/>
    <w:rsid w:val="002F1251"/>
    <w:rsid w:val="002F167D"/>
    <w:rsid w:val="002F19AD"/>
    <w:rsid w:val="002F1A37"/>
    <w:rsid w:val="002F1A3A"/>
    <w:rsid w:val="002F1AFF"/>
    <w:rsid w:val="002F1C4A"/>
    <w:rsid w:val="002F1E44"/>
    <w:rsid w:val="002F1E9D"/>
    <w:rsid w:val="002F1F92"/>
    <w:rsid w:val="002F2480"/>
    <w:rsid w:val="002F24C1"/>
    <w:rsid w:val="002F25E1"/>
    <w:rsid w:val="002F284E"/>
    <w:rsid w:val="002F293E"/>
    <w:rsid w:val="002F2AC5"/>
    <w:rsid w:val="002F2AE4"/>
    <w:rsid w:val="002F2DC9"/>
    <w:rsid w:val="002F2E49"/>
    <w:rsid w:val="002F2F02"/>
    <w:rsid w:val="002F3074"/>
    <w:rsid w:val="002F32DC"/>
    <w:rsid w:val="002F3679"/>
    <w:rsid w:val="002F36E2"/>
    <w:rsid w:val="002F393F"/>
    <w:rsid w:val="002F3AD7"/>
    <w:rsid w:val="002F3B88"/>
    <w:rsid w:val="002F3CB6"/>
    <w:rsid w:val="002F3F18"/>
    <w:rsid w:val="002F4074"/>
    <w:rsid w:val="002F4390"/>
    <w:rsid w:val="002F44CB"/>
    <w:rsid w:val="002F4592"/>
    <w:rsid w:val="002F4599"/>
    <w:rsid w:val="002F45B6"/>
    <w:rsid w:val="002F4688"/>
    <w:rsid w:val="002F4839"/>
    <w:rsid w:val="002F494C"/>
    <w:rsid w:val="002F496E"/>
    <w:rsid w:val="002F49AB"/>
    <w:rsid w:val="002F4B48"/>
    <w:rsid w:val="002F4ED6"/>
    <w:rsid w:val="002F5106"/>
    <w:rsid w:val="002F519C"/>
    <w:rsid w:val="002F51BF"/>
    <w:rsid w:val="002F521B"/>
    <w:rsid w:val="002F5284"/>
    <w:rsid w:val="002F551D"/>
    <w:rsid w:val="002F554F"/>
    <w:rsid w:val="002F55B7"/>
    <w:rsid w:val="002F574D"/>
    <w:rsid w:val="002F591C"/>
    <w:rsid w:val="002F5BE4"/>
    <w:rsid w:val="002F5D81"/>
    <w:rsid w:val="002F5EB7"/>
    <w:rsid w:val="002F5F0B"/>
    <w:rsid w:val="002F6384"/>
    <w:rsid w:val="002F6834"/>
    <w:rsid w:val="002F6979"/>
    <w:rsid w:val="002F6D46"/>
    <w:rsid w:val="002F6E2E"/>
    <w:rsid w:val="002F70EB"/>
    <w:rsid w:val="002F7138"/>
    <w:rsid w:val="002F744B"/>
    <w:rsid w:val="002F74B3"/>
    <w:rsid w:val="002F77C5"/>
    <w:rsid w:val="002F7816"/>
    <w:rsid w:val="002F7A78"/>
    <w:rsid w:val="002F7ACB"/>
    <w:rsid w:val="002F7C47"/>
    <w:rsid w:val="002F7CF6"/>
    <w:rsid w:val="002F7D79"/>
    <w:rsid w:val="002F7F9A"/>
    <w:rsid w:val="0030008F"/>
    <w:rsid w:val="00300311"/>
    <w:rsid w:val="003006C7"/>
    <w:rsid w:val="00300A1A"/>
    <w:rsid w:val="00300ABC"/>
    <w:rsid w:val="00300BA4"/>
    <w:rsid w:val="00300F22"/>
    <w:rsid w:val="00301267"/>
    <w:rsid w:val="00301319"/>
    <w:rsid w:val="0030182C"/>
    <w:rsid w:val="003018AD"/>
    <w:rsid w:val="00301934"/>
    <w:rsid w:val="003019AB"/>
    <w:rsid w:val="00301AC6"/>
    <w:rsid w:val="00301AD6"/>
    <w:rsid w:val="00301C5D"/>
    <w:rsid w:val="003020FC"/>
    <w:rsid w:val="00302180"/>
    <w:rsid w:val="00302414"/>
    <w:rsid w:val="00302E26"/>
    <w:rsid w:val="00302F28"/>
    <w:rsid w:val="00302FED"/>
    <w:rsid w:val="003031F7"/>
    <w:rsid w:val="00303539"/>
    <w:rsid w:val="00303659"/>
    <w:rsid w:val="0030367F"/>
    <w:rsid w:val="003036E9"/>
    <w:rsid w:val="003036FB"/>
    <w:rsid w:val="00303EB8"/>
    <w:rsid w:val="00303FDF"/>
    <w:rsid w:val="00304080"/>
    <w:rsid w:val="00304095"/>
    <w:rsid w:val="003040F8"/>
    <w:rsid w:val="0030440B"/>
    <w:rsid w:val="003046E1"/>
    <w:rsid w:val="0030474F"/>
    <w:rsid w:val="0030499B"/>
    <w:rsid w:val="00304BAE"/>
    <w:rsid w:val="00304D26"/>
    <w:rsid w:val="00304EA2"/>
    <w:rsid w:val="00304EE4"/>
    <w:rsid w:val="00304F90"/>
    <w:rsid w:val="003051DA"/>
    <w:rsid w:val="0030548A"/>
    <w:rsid w:val="0030563A"/>
    <w:rsid w:val="00305980"/>
    <w:rsid w:val="003059C5"/>
    <w:rsid w:val="00305AE6"/>
    <w:rsid w:val="00305D33"/>
    <w:rsid w:val="00305DA1"/>
    <w:rsid w:val="00305EF0"/>
    <w:rsid w:val="00305F13"/>
    <w:rsid w:val="00306124"/>
    <w:rsid w:val="003062E6"/>
    <w:rsid w:val="00306404"/>
    <w:rsid w:val="003065DB"/>
    <w:rsid w:val="003067F3"/>
    <w:rsid w:val="003068C6"/>
    <w:rsid w:val="0030690A"/>
    <w:rsid w:val="00306BF9"/>
    <w:rsid w:val="00307019"/>
    <w:rsid w:val="00307208"/>
    <w:rsid w:val="00307257"/>
    <w:rsid w:val="00307314"/>
    <w:rsid w:val="00307529"/>
    <w:rsid w:val="003076F8"/>
    <w:rsid w:val="0030771C"/>
    <w:rsid w:val="0030772F"/>
    <w:rsid w:val="00307996"/>
    <w:rsid w:val="00307A8C"/>
    <w:rsid w:val="0031009F"/>
    <w:rsid w:val="003101FE"/>
    <w:rsid w:val="00310332"/>
    <w:rsid w:val="0031043D"/>
    <w:rsid w:val="003104B9"/>
    <w:rsid w:val="00310684"/>
    <w:rsid w:val="00310777"/>
    <w:rsid w:val="0031099F"/>
    <w:rsid w:val="00310B27"/>
    <w:rsid w:val="00310BE8"/>
    <w:rsid w:val="00310CEE"/>
    <w:rsid w:val="00310D32"/>
    <w:rsid w:val="00310E02"/>
    <w:rsid w:val="00311002"/>
    <w:rsid w:val="0031116A"/>
    <w:rsid w:val="0031126A"/>
    <w:rsid w:val="00311540"/>
    <w:rsid w:val="003116C4"/>
    <w:rsid w:val="00311839"/>
    <w:rsid w:val="003118E7"/>
    <w:rsid w:val="00311B0F"/>
    <w:rsid w:val="00311C5B"/>
    <w:rsid w:val="003121F3"/>
    <w:rsid w:val="00312308"/>
    <w:rsid w:val="00312360"/>
    <w:rsid w:val="0031250E"/>
    <w:rsid w:val="0031299B"/>
    <w:rsid w:val="00312CFD"/>
    <w:rsid w:val="00312D71"/>
    <w:rsid w:val="00312EF7"/>
    <w:rsid w:val="00312F00"/>
    <w:rsid w:val="00312F1A"/>
    <w:rsid w:val="003133B1"/>
    <w:rsid w:val="0031346E"/>
    <w:rsid w:val="00313504"/>
    <w:rsid w:val="00313557"/>
    <w:rsid w:val="0031359B"/>
    <w:rsid w:val="0031370C"/>
    <w:rsid w:val="00313864"/>
    <w:rsid w:val="0031396A"/>
    <w:rsid w:val="00313E49"/>
    <w:rsid w:val="0031427C"/>
    <w:rsid w:val="003143EE"/>
    <w:rsid w:val="0031453A"/>
    <w:rsid w:val="00314662"/>
    <w:rsid w:val="00314723"/>
    <w:rsid w:val="00314B53"/>
    <w:rsid w:val="00314D40"/>
    <w:rsid w:val="00314E9A"/>
    <w:rsid w:val="00314F61"/>
    <w:rsid w:val="0031520B"/>
    <w:rsid w:val="00315232"/>
    <w:rsid w:val="003154FB"/>
    <w:rsid w:val="00315623"/>
    <w:rsid w:val="00315702"/>
    <w:rsid w:val="003158C1"/>
    <w:rsid w:val="00315922"/>
    <w:rsid w:val="00315CB2"/>
    <w:rsid w:val="00315CC6"/>
    <w:rsid w:val="00315D06"/>
    <w:rsid w:val="00315E54"/>
    <w:rsid w:val="00316089"/>
    <w:rsid w:val="0031615A"/>
    <w:rsid w:val="0031653A"/>
    <w:rsid w:val="003165DD"/>
    <w:rsid w:val="003165F5"/>
    <w:rsid w:val="0031666A"/>
    <w:rsid w:val="003168ED"/>
    <w:rsid w:val="00316912"/>
    <w:rsid w:val="003169B9"/>
    <w:rsid w:val="00316AB0"/>
    <w:rsid w:val="00316BBD"/>
    <w:rsid w:val="00316E72"/>
    <w:rsid w:val="00316F55"/>
    <w:rsid w:val="0031723F"/>
    <w:rsid w:val="00317346"/>
    <w:rsid w:val="003174A8"/>
    <w:rsid w:val="0031779E"/>
    <w:rsid w:val="0031779F"/>
    <w:rsid w:val="0031788F"/>
    <w:rsid w:val="003178DE"/>
    <w:rsid w:val="00317C3C"/>
    <w:rsid w:val="00317EC5"/>
    <w:rsid w:val="00320016"/>
    <w:rsid w:val="00320022"/>
    <w:rsid w:val="00320044"/>
    <w:rsid w:val="00320143"/>
    <w:rsid w:val="003201DB"/>
    <w:rsid w:val="00320298"/>
    <w:rsid w:val="0032044A"/>
    <w:rsid w:val="00320A14"/>
    <w:rsid w:val="00320AA9"/>
    <w:rsid w:val="00320BC6"/>
    <w:rsid w:val="00320F57"/>
    <w:rsid w:val="003212F2"/>
    <w:rsid w:val="00321443"/>
    <w:rsid w:val="0032146B"/>
    <w:rsid w:val="00321593"/>
    <w:rsid w:val="003215B1"/>
    <w:rsid w:val="003217EF"/>
    <w:rsid w:val="003217F4"/>
    <w:rsid w:val="00321946"/>
    <w:rsid w:val="003219C8"/>
    <w:rsid w:val="00321E08"/>
    <w:rsid w:val="003220C0"/>
    <w:rsid w:val="003220D3"/>
    <w:rsid w:val="00322416"/>
    <w:rsid w:val="00322470"/>
    <w:rsid w:val="003226BD"/>
    <w:rsid w:val="003226DC"/>
    <w:rsid w:val="0032276B"/>
    <w:rsid w:val="003228FB"/>
    <w:rsid w:val="00322D12"/>
    <w:rsid w:val="00322F47"/>
    <w:rsid w:val="003232FD"/>
    <w:rsid w:val="00323425"/>
    <w:rsid w:val="00323490"/>
    <w:rsid w:val="00323827"/>
    <w:rsid w:val="00323B4F"/>
    <w:rsid w:val="00323D18"/>
    <w:rsid w:val="00323E05"/>
    <w:rsid w:val="00323EA2"/>
    <w:rsid w:val="00323ECF"/>
    <w:rsid w:val="003240AC"/>
    <w:rsid w:val="00324162"/>
    <w:rsid w:val="003242F6"/>
    <w:rsid w:val="00324625"/>
    <w:rsid w:val="003248C7"/>
    <w:rsid w:val="0032494B"/>
    <w:rsid w:val="00324A48"/>
    <w:rsid w:val="00324AD0"/>
    <w:rsid w:val="00324B92"/>
    <w:rsid w:val="00324E86"/>
    <w:rsid w:val="00324EF5"/>
    <w:rsid w:val="00324F3C"/>
    <w:rsid w:val="00325226"/>
    <w:rsid w:val="0032530C"/>
    <w:rsid w:val="003253A9"/>
    <w:rsid w:val="003253C1"/>
    <w:rsid w:val="0032547D"/>
    <w:rsid w:val="003255EE"/>
    <w:rsid w:val="00325602"/>
    <w:rsid w:val="0032566C"/>
    <w:rsid w:val="00325694"/>
    <w:rsid w:val="0032571D"/>
    <w:rsid w:val="003257D0"/>
    <w:rsid w:val="003258E9"/>
    <w:rsid w:val="00325BE1"/>
    <w:rsid w:val="00325E42"/>
    <w:rsid w:val="00325EA3"/>
    <w:rsid w:val="00326072"/>
    <w:rsid w:val="003262D5"/>
    <w:rsid w:val="0032658C"/>
    <w:rsid w:val="0032681A"/>
    <w:rsid w:val="0032688A"/>
    <w:rsid w:val="00326BB7"/>
    <w:rsid w:val="00326CD5"/>
    <w:rsid w:val="00326D36"/>
    <w:rsid w:val="00326E46"/>
    <w:rsid w:val="00327016"/>
    <w:rsid w:val="003270D0"/>
    <w:rsid w:val="00327587"/>
    <w:rsid w:val="003276AC"/>
    <w:rsid w:val="003276B3"/>
    <w:rsid w:val="00327A43"/>
    <w:rsid w:val="00327ABC"/>
    <w:rsid w:val="00327B7E"/>
    <w:rsid w:val="00327CC2"/>
    <w:rsid w:val="00327DA5"/>
    <w:rsid w:val="00327E5B"/>
    <w:rsid w:val="00327F18"/>
    <w:rsid w:val="00327FA0"/>
    <w:rsid w:val="00330308"/>
    <w:rsid w:val="00330317"/>
    <w:rsid w:val="0033039D"/>
    <w:rsid w:val="003304EE"/>
    <w:rsid w:val="003308CE"/>
    <w:rsid w:val="00330950"/>
    <w:rsid w:val="00330A21"/>
    <w:rsid w:val="00330B25"/>
    <w:rsid w:val="00330BE0"/>
    <w:rsid w:val="00330F01"/>
    <w:rsid w:val="003313EB"/>
    <w:rsid w:val="0033189D"/>
    <w:rsid w:val="00331901"/>
    <w:rsid w:val="00331A52"/>
    <w:rsid w:val="00331B18"/>
    <w:rsid w:val="00331BA5"/>
    <w:rsid w:val="00331BAC"/>
    <w:rsid w:val="00331C4A"/>
    <w:rsid w:val="00331D6A"/>
    <w:rsid w:val="00331D8C"/>
    <w:rsid w:val="00331D92"/>
    <w:rsid w:val="00331F98"/>
    <w:rsid w:val="003320A9"/>
    <w:rsid w:val="003322C9"/>
    <w:rsid w:val="003323DB"/>
    <w:rsid w:val="00332746"/>
    <w:rsid w:val="0033291B"/>
    <w:rsid w:val="00332D24"/>
    <w:rsid w:val="00333081"/>
    <w:rsid w:val="003330C5"/>
    <w:rsid w:val="00333160"/>
    <w:rsid w:val="003332AA"/>
    <w:rsid w:val="0033334C"/>
    <w:rsid w:val="00333459"/>
    <w:rsid w:val="0033364E"/>
    <w:rsid w:val="003336BE"/>
    <w:rsid w:val="00333700"/>
    <w:rsid w:val="00333904"/>
    <w:rsid w:val="00333C08"/>
    <w:rsid w:val="00333C50"/>
    <w:rsid w:val="00334067"/>
    <w:rsid w:val="003341ED"/>
    <w:rsid w:val="003342F5"/>
    <w:rsid w:val="0033442B"/>
    <w:rsid w:val="00334475"/>
    <w:rsid w:val="003345EE"/>
    <w:rsid w:val="003348CC"/>
    <w:rsid w:val="00334935"/>
    <w:rsid w:val="00334979"/>
    <w:rsid w:val="00334AE4"/>
    <w:rsid w:val="00334AFC"/>
    <w:rsid w:val="00334C15"/>
    <w:rsid w:val="00334D87"/>
    <w:rsid w:val="00334E3A"/>
    <w:rsid w:val="00334FF9"/>
    <w:rsid w:val="00335061"/>
    <w:rsid w:val="0033523F"/>
    <w:rsid w:val="0033528C"/>
    <w:rsid w:val="003355A9"/>
    <w:rsid w:val="0033589C"/>
    <w:rsid w:val="00335A76"/>
    <w:rsid w:val="00335BAE"/>
    <w:rsid w:val="00335EE7"/>
    <w:rsid w:val="003361DC"/>
    <w:rsid w:val="003363F0"/>
    <w:rsid w:val="00336493"/>
    <w:rsid w:val="0033650D"/>
    <w:rsid w:val="0033689B"/>
    <w:rsid w:val="00336BC9"/>
    <w:rsid w:val="00336DB4"/>
    <w:rsid w:val="00336DC4"/>
    <w:rsid w:val="00336E03"/>
    <w:rsid w:val="00336E4E"/>
    <w:rsid w:val="00336E58"/>
    <w:rsid w:val="00336F52"/>
    <w:rsid w:val="00337095"/>
    <w:rsid w:val="00337131"/>
    <w:rsid w:val="003372BB"/>
    <w:rsid w:val="003375CC"/>
    <w:rsid w:val="00337693"/>
    <w:rsid w:val="003376B3"/>
    <w:rsid w:val="0033781A"/>
    <w:rsid w:val="0033783F"/>
    <w:rsid w:val="003378E2"/>
    <w:rsid w:val="00337AEF"/>
    <w:rsid w:val="00337B02"/>
    <w:rsid w:val="00337B84"/>
    <w:rsid w:val="00337C41"/>
    <w:rsid w:val="00337ECA"/>
    <w:rsid w:val="00340057"/>
    <w:rsid w:val="00340295"/>
    <w:rsid w:val="0034042A"/>
    <w:rsid w:val="00340542"/>
    <w:rsid w:val="00340849"/>
    <w:rsid w:val="00340A5F"/>
    <w:rsid w:val="00340CF9"/>
    <w:rsid w:val="003412ED"/>
    <w:rsid w:val="00341463"/>
    <w:rsid w:val="0034150D"/>
    <w:rsid w:val="00341596"/>
    <w:rsid w:val="003419E4"/>
    <w:rsid w:val="00341C48"/>
    <w:rsid w:val="00341D00"/>
    <w:rsid w:val="00341D20"/>
    <w:rsid w:val="003420ED"/>
    <w:rsid w:val="00342109"/>
    <w:rsid w:val="00342224"/>
    <w:rsid w:val="00342326"/>
    <w:rsid w:val="00342606"/>
    <w:rsid w:val="00342750"/>
    <w:rsid w:val="0034282A"/>
    <w:rsid w:val="0034283A"/>
    <w:rsid w:val="0034285A"/>
    <w:rsid w:val="003428D7"/>
    <w:rsid w:val="0034301B"/>
    <w:rsid w:val="0034332C"/>
    <w:rsid w:val="003437F0"/>
    <w:rsid w:val="003438B6"/>
    <w:rsid w:val="003439DB"/>
    <w:rsid w:val="00343CB4"/>
    <w:rsid w:val="00343F33"/>
    <w:rsid w:val="0034405F"/>
    <w:rsid w:val="003441FC"/>
    <w:rsid w:val="003447F9"/>
    <w:rsid w:val="00344A64"/>
    <w:rsid w:val="00344FE6"/>
    <w:rsid w:val="00344FFC"/>
    <w:rsid w:val="00345368"/>
    <w:rsid w:val="00345459"/>
    <w:rsid w:val="0034549B"/>
    <w:rsid w:val="00345843"/>
    <w:rsid w:val="00345A16"/>
    <w:rsid w:val="00345C5C"/>
    <w:rsid w:val="00345D4E"/>
    <w:rsid w:val="00345F76"/>
    <w:rsid w:val="00346106"/>
    <w:rsid w:val="00346134"/>
    <w:rsid w:val="00346199"/>
    <w:rsid w:val="00346667"/>
    <w:rsid w:val="0034670A"/>
    <w:rsid w:val="0034674D"/>
    <w:rsid w:val="0034696E"/>
    <w:rsid w:val="00346AB7"/>
    <w:rsid w:val="00346AC5"/>
    <w:rsid w:val="00346B7B"/>
    <w:rsid w:val="00346E06"/>
    <w:rsid w:val="00346E0A"/>
    <w:rsid w:val="00346F05"/>
    <w:rsid w:val="00347088"/>
    <w:rsid w:val="00347199"/>
    <w:rsid w:val="003471BF"/>
    <w:rsid w:val="00347272"/>
    <w:rsid w:val="00347322"/>
    <w:rsid w:val="003474DE"/>
    <w:rsid w:val="00347682"/>
    <w:rsid w:val="00347BEC"/>
    <w:rsid w:val="00347C63"/>
    <w:rsid w:val="00347F24"/>
    <w:rsid w:val="00347F52"/>
    <w:rsid w:val="00347FC5"/>
    <w:rsid w:val="003501D6"/>
    <w:rsid w:val="0035054F"/>
    <w:rsid w:val="0035056A"/>
    <w:rsid w:val="003505A5"/>
    <w:rsid w:val="0035071A"/>
    <w:rsid w:val="00350874"/>
    <w:rsid w:val="003509D3"/>
    <w:rsid w:val="00350A91"/>
    <w:rsid w:val="00350D37"/>
    <w:rsid w:val="00350E2C"/>
    <w:rsid w:val="00350F56"/>
    <w:rsid w:val="00350FEE"/>
    <w:rsid w:val="00351037"/>
    <w:rsid w:val="00351125"/>
    <w:rsid w:val="003511A4"/>
    <w:rsid w:val="0035122B"/>
    <w:rsid w:val="0035131B"/>
    <w:rsid w:val="0035155B"/>
    <w:rsid w:val="003516C6"/>
    <w:rsid w:val="00351777"/>
    <w:rsid w:val="003517A6"/>
    <w:rsid w:val="00351958"/>
    <w:rsid w:val="00351B54"/>
    <w:rsid w:val="00352017"/>
    <w:rsid w:val="0035237D"/>
    <w:rsid w:val="00352792"/>
    <w:rsid w:val="0035291D"/>
    <w:rsid w:val="003529F6"/>
    <w:rsid w:val="00352C99"/>
    <w:rsid w:val="00352E7B"/>
    <w:rsid w:val="003530D6"/>
    <w:rsid w:val="00353142"/>
    <w:rsid w:val="003533D3"/>
    <w:rsid w:val="003536BC"/>
    <w:rsid w:val="0035397F"/>
    <w:rsid w:val="00353B5C"/>
    <w:rsid w:val="00353D6A"/>
    <w:rsid w:val="00353E03"/>
    <w:rsid w:val="00353EB8"/>
    <w:rsid w:val="0035402C"/>
    <w:rsid w:val="003541C2"/>
    <w:rsid w:val="003542C6"/>
    <w:rsid w:val="003543C7"/>
    <w:rsid w:val="00354450"/>
    <w:rsid w:val="003546B3"/>
    <w:rsid w:val="00354781"/>
    <w:rsid w:val="00354794"/>
    <w:rsid w:val="00354B15"/>
    <w:rsid w:val="00354DBC"/>
    <w:rsid w:val="00354E20"/>
    <w:rsid w:val="00354FB1"/>
    <w:rsid w:val="00355054"/>
    <w:rsid w:val="00355064"/>
    <w:rsid w:val="00355237"/>
    <w:rsid w:val="0035545C"/>
    <w:rsid w:val="00355698"/>
    <w:rsid w:val="003556AC"/>
    <w:rsid w:val="003557A1"/>
    <w:rsid w:val="0035587D"/>
    <w:rsid w:val="0035588B"/>
    <w:rsid w:val="00355950"/>
    <w:rsid w:val="00355A6F"/>
    <w:rsid w:val="00355A71"/>
    <w:rsid w:val="00355E1D"/>
    <w:rsid w:val="00355F6B"/>
    <w:rsid w:val="00356204"/>
    <w:rsid w:val="00356314"/>
    <w:rsid w:val="00356425"/>
    <w:rsid w:val="00356490"/>
    <w:rsid w:val="00356693"/>
    <w:rsid w:val="00356831"/>
    <w:rsid w:val="00356A9E"/>
    <w:rsid w:val="00356E62"/>
    <w:rsid w:val="00356FA6"/>
    <w:rsid w:val="00357133"/>
    <w:rsid w:val="003571BC"/>
    <w:rsid w:val="0035729A"/>
    <w:rsid w:val="0035737E"/>
    <w:rsid w:val="0035757D"/>
    <w:rsid w:val="003576E4"/>
    <w:rsid w:val="003576F2"/>
    <w:rsid w:val="00357707"/>
    <w:rsid w:val="003578DE"/>
    <w:rsid w:val="00357C19"/>
    <w:rsid w:val="00357C71"/>
    <w:rsid w:val="00357D5A"/>
    <w:rsid w:val="00360021"/>
    <w:rsid w:val="003600BE"/>
    <w:rsid w:val="00360113"/>
    <w:rsid w:val="003601FC"/>
    <w:rsid w:val="00360462"/>
    <w:rsid w:val="00360BA6"/>
    <w:rsid w:val="00360C8D"/>
    <w:rsid w:val="00360E8B"/>
    <w:rsid w:val="00360F03"/>
    <w:rsid w:val="003610D5"/>
    <w:rsid w:val="00361151"/>
    <w:rsid w:val="00361269"/>
    <w:rsid w:val="003613BE"/>
    <w:rsid w:val="00361578"/>
    <w:rsid w:val="0036157D"/>
    <w:rsid w:val="003619A8"/>
    <w:rsid w:val="00361A15"/>
    <w:rsid w:val="00361BDE"/>
    <w:rsid w:val="00361C45"/>
    <w:rsid w:val="00361D3E"/>
    <w:rsid w:val="00361D4C"/>
    <w:rsid w:val="00362313"/>
    <w:rsid w:val="00362390"/>
    <w:rsid w:val="0036247F"/>
    <w:rsid w:val="003624DA"/>
    <w:rsid w:val="00362671"/>
    <w:rsid w:val="00362A45"/>
    <w:rsid w:val="00362AE0"/>
    <w:rsid w:val="00362B97"/>
    <w:rsid w:val="00362BCD"/>
    <w:rsid w:val="00362C00"/>
    <w:rsid w:val="00362C65"/>
    <w:rsid w:val="00362CF3"/>
    <w:rsid w:val="00362EE9"/>
    <w:rsid w:val="00363053"/>
    <w:rsid w:val="00363266"/>
    <w:rsid w:val="003634FF"/>
    <w:rsid w:val="003636DA"/>
    <w:rsid w:val="003636DC"/>
    <w:rsid w:val="00363732"/>
    <w:rsid w:val="00363A3B"/>
    <w:rsid w:val="00364029"/>
    <w:rsid w:val="00364061"/>
    <w:rsid w:val="00364091"/>
    <w:rsid w:val="003643F0"/>
    <w:rsid w:val="003644F9"/>
    <w:rsid w:val="00364536"/>
    <w:rsid w:val="003645CD"/>
    <w:rsid w:val="00364607"/>
    <w:rsid w:val="00364655"/>
    <w:rsid w:val="003647E3"/>
    <w:rsid w:val="003648F0"/>
    <w:rsid w:val="00364BA9"/>
    <w:rsid w:val="00364E35"/>
    <w:rsid w:val="00364FD6"/>
    <w:rsid w:val="003650DC"/>
    <w:rsid w:val="00365332"/>
    <w:rsid w:val="00365442"/>
    <w:rsid w:val="00365738"/>
    <w:rsid w:val="00365A3D"/>
    <w:rsid w:val="00365B8B"/>
    <w:rsid w:val="003661D5"/>
    <w:rsid w:val="00366316"/>
    <w:rsid w:val="00366606"/>
    <w:rsid w:val="003668A0"/>
    <w:rsid w:val="00366A42"/>
    <w:rsid w:val="00366C0C"/>
    <w:rsid w:val="00366E9A"/>
    <w:rsid w:val="003673C7"/>
    <w:rsid w:val="00367401"/>
    <w:rsid w:val="0036761A"/>
    <w:rsid w:val="003676AB"/>
    <w:rsid w:val="0036770B"/>
    <w:rsid w:val="003679AB"/>
    <w:rsid w:val="00367BDE"/>
    <w:rsid w:val="003701A2"/>
    <w:rsid w:val="003702F5"/>
    <w:rsid w:val="003704C6"/>
    <w:rsid w:val="00370550"/>
    <w:rsid w:val="00370682"/>
    <w:rsid w:val="003706E9"/>
    <w:rsid w:val="00370AB0"/>
    <w:rsid w:val="00370BE6"/>
    <w:rsid w:val="00370CD8"/>
    <w:rsid w:val="00370D40"/>
    <w:rsid w:val="00370D4A"/>
    <w:rsid w:val="00370F67"/>
    <w:rsid w:val="0037117B"/>
    <w:rsid w:val="0037122C"/>
    <w:rsid w:val="00371283"/>
    <w:rsid w:val="00371384"/>
    <w:rsid w:val="00371726"/>
    <w:rsid w:val="003717C3"/>
    <w:rsid w:val="00371D4A"/>
    <w:rsid w:val="0037208F"/>
    <w:rsid w:val="003720CC"/>
    <w:rsid w:val="003720F6"/>
    <w:rsid w:val="0037223C"/>
    <w:rsid w:val="0037223D"/>
    <w:rsid w:val="0037234F"/>
    <w:rsid w:val="0037266D"/>
    <w:rsid w:val="003727BA"/>
    <w:rsid w:val="00372A43"/>
    <w:rsid w:val="00372AD2"/>
    <w:rsid w:val="00372C27"/>
    <w:rsid w:val="00372C53"/>
    <w:rsid w:val="00372E2E"/>
    <w:rsid w:val="00373169"/>
    <w:rsid w:val="00373507"/>
    <w:rsid w:val="003736F0"/>
    <w:rsid w:val="00373767"/>
    <w:rsid w:val="0037392A"/>
    <w:rsid w:val="00373D7D"/>
    <w:rsid w:val="00373ED1"/>
    <w:rsid w:val="00373F68"/>
    <w:rsid w:val="00374324"/>
    <w:rsid w:val="0037468B"/>
    <w:rsid w:val="0037489E"/>
    <w:rsid w:val="0037492D"/>
    <w:rsid w:val="003749EE"/>
    <w:rsid w:val="00374C53"/>
    <w:rsid w:val="00374F4B"/>
    <w:rsid w:val="00374FC2"/>
    <w:rsid w:val="00374FFA"/>
    <w:rsid w:val="0037513D"/>
    <w:rsid w:val="00375819"/>
    <w:rsid w:val="00375AB4"/>
    <w:rsid w:val="00375D0E"/>
    <w:rsid w:val="00375D8F"/>
    <w:rsid w:val="003762C3"/>
    <w:rsid w:val="003763C9"/>
    <w:rsid w:val="0037645A"/>
    <w:rsid w:val="00376EBC"/>
    <w:rsid w:val="00377133"/>
    <w:rsid w:val="00377261"/>
    <w:rsid w:val="003774C3"/>
    <w:rsid w:val="003775D7"/>
    <w:rsid w:val="00377778"/>
    <w:rsid w:val="003777EE"/>
    <w:rsid w:val="003777F9"/>
    <w:rsid w:val="00377849"/>
    <w:rsid w:val="0037788A"/>
    <w:rsid w:val="003778E9"/>
    <w:rsid w:val="003779CB"/>
    <w:rsid w:val="00377A88"/>
    <w:rsid w:val="00377F24"/>
    <w:rsid w:val="0038002D"/>
    <w:rsid w:val="00380051"/>
    <w:rsid w:val="0038008C"/>
    <w:rsid w:val="00380145"/>
    <w:rsid w:val="003802BB"/>
    <w:rsid w:val="003802E1"/>
    <w:rsid w:val="003804FD"/>
    <w:rsid w:val="00380574"/>
    <w:rsid w:val="0038058D"/>
    <w:rsid w:val="0038066D"/>
    <w:rsid w:val="003807B5"/>
    <w:rsid w:val="0038090E"/>
    <w:rsid w:val="00380A0D"/>
    <w:rsid w:val="00380A5C"/>
    <w:rsid w:val="00380AC3"/>
    <w:rsid w:val="00380ACF"/>
    <w:rsid w:val="00381190"/>
    <w:rsid w:val="003811E5"/>
    <w:rsid w:val="0038136D"/>
    <w:rsid w:val="00381491"/>
    <w:rsid w:val="003814C4"/>
    <w:rsid w:val="00381629"/>
    <w:rsid w:val="0038175D"/>
    <w:rsid w:val="00381D1F"/>
    <w:rsid w:val="00381D4E"/>
    <w:rsid w:val="00381E6F"/>
    <w:rsid w:val="00381E97"/>
    <w:rsid w:val="00381FC1"/>
    <w:rsid w:val="003821A9"/>
    <w:rsid w:val="00382654"/>
    <w:rsid w:val="00382BB1"/>
    <w:rsid w:val="00382CB1"/>
    <w:rsid w:val="00382EB7"/>
    <w:rsid w:val="003832A1"/>
    <w:rsid w:val="0038330E"/>
    <w:rsid w:val="00383529"/>
    <w:rsid w:val="00383548"/>
    <w:rsid w:val="00383550"/>
    <w:rsid w:val="003838D4"/>
    <w:rsid w:val="0038393E"/>
    <w:rsid w:val="00383B74"/>
    <w:rsid w:val="00383D64"/>
    <w:rsid w:val="00383F21"/>
    <w:rsid w:val="003841C7"/>
    <w:rsid w:val="0038428B"/>
    <w:rsid w:val="00384668"/>
    <w:rsid w:val="003846A5"/>
    <w:rsid w:val="00384863"/>
    <w:rsid w:val="00384DBD"/>
    <w:rsid w:val="00384DFC"/>
    <w:rsid w:val="00384E73"/>
    <w:rsid w:val="00384F4C"/>
    <w:rsid w:val="003850F5"/>
    <w:rsid w:val="0038514A"/>
    <w:rsid w:val="0038535D"/>
    <w:rsid w:val="003853CB"/>
    <w:rsid w:val="003853E2"/>
    <w:rsid w:val="0038545B"/>
    <w:rsid w:val="003857CA"/>
    <w:rsid w:val="00385AAF"/>
    <w:rsid w:val="00385F0F"/>
    <w:rsid w:val="00385F47"/>
    <w:rsid w:val="00386382"/>
    <w:rsid w:val="0038647E"/>
    <w:rsid w:val="003865D5"/>
    <w:rsid w:val="00386640"/>
    <w:rsid w:val="003866D6"/>
    <w:rsid w:val="003867E8"/>
    <w:rsid w:val="0038690F"/>
    <w:rsid w:val="00386B47"/>
    <w:rsid w:val="00386B54"/>
    <w:rsid w:val="00386C15"/>
    <w:rsid w:val="003870CB"/>
    <w:rsid w:val="003873BF"/>
    <w:rsid w:val="003873DA"/>
    <w:rsid w:val="003875B3"/>
    <w:rsid w:val="00387653"/>
    <w:rsid w:val="003877C5"/>
    <w:rsid w:val="00387CC4"/>
    <w:rsid w:val="00387D69"/>
    <w:rsid w:val="00387E27"/>
    <w:rsid w:val="00387F5B"/>
    <w:rsid w:val="00390086"/>
    <w:rsid w:val="0039016A"/>
    <w:rsid w:val="0039016C"/>
    <w:rsid w:val="0039025A"/>
    <w:rsid w:val="00390747"/>
    <w:rsid w:val="00390A15"/>
    <w:rsid w:val="00390A89"/>
    <w:rsid w:val="00391003"/>
    <w:rsid w:val="003910FB"/>
    <w:rsid w:val="003911D1"/>
    <w:rsid w:val="00391319"/>
    <w:rsid w:val="00391459"/>
    <w:rsid w:val="003915E1"/>
    <w:rsid w:val="003915F7"/>
    <w:rsid w:val="00391700"/>
    <w:rsid w:val="003917D0"/>
    <w:rsid w:val="0039190C"/>
    <w:rsid w:val="00391B28"/>
    <w:rsid w:val="00391BCC"/>
    <w:rsid w:val="00391DE5"/>
    <w:rsid w:val="00391E87"/>
    <w:rsid w:val="00391EDD"/>
    <w:rsid w:val="00392390"/>
    <w:rsid w:val="003923C6"/>
    <w:rsid w:val="0039241C"/>
    <w:rsid w:val="0039252A"/>
    <w:rsid w:val="003927DA"/>
    <w:rsid w:val="00392BC1"/>
    <w:rsid w:val="003930F8"/>
    <w:rsid w:val="003933CC"/>
    <w:rsid w:val="0039369D"/>
    <w:rsid w:val="00393876"/>
    <w:rsid w:val="00393A0B"/>
    <w:rsid w:val="00393C7A"/>
    <w:rsid w:val="00393EE4"/>
    <w:rsid w:val="00394385"/>
    <w:rsid w:val="00394843"/>
    <w:rsid w:val="00394AB7"/>
    <w:rsid w:val="00394DDB"/>
    <w:rsid w:val="00394E5D"/>
    <w:rsid w:val="00394F69"/>
    <w:rsid w:val="003950B5"/>
    <w:rsid w:val="00395350"/>
    <w:rsid w:val="0039541A"/>
    <w:rsid w:val="003955A6"/>
    <w:rsid w:val="0039573F"/>
    <w:rsid w:val="003958F8"/>
    <w:rsid w:val="00395B58"/>
    <w:rsid w:val="00395EA0"/>
    <w:rsid w:val="00395EC3"/>
    <w:rsid w:val="00395F35"/>
    <w:rsid w:val="00395FB0"/>
    <w:rsid w:val="0039656B"/>
    <w:rsid w:val="003965D0"/>
    <w:rsid w:val="00396661"/>
    <w:rsid w:val="00396776"/>
    <w:rsid w:val="00396802"/>
    <w:rsid w:val="0039699A"/>
    <w:rsid w:val="00396AF5"/>
    <w:rsid w:val="00396CAA"/>
    <w:rsid w:val="00396D56"/>
    <w:rsid w:val="00396FAE"/>
    <w:rsid w:val="00396FB4"/>
    <w:rsid w:val="00397104"/>
    <w:rsid w:val="003971A9"/>
    <w:rsid w:val="0039738B"/>
    <w:rsid w:val="00397497"/>
    <w:rsid w:val="0039760B"/>
    <w:rsid w:val="0039765A"/>
    <w:rsid w:val="00397695"/>
    <w:rsid w:val="003977DD"/>
    <w:rsid w:val="003979F0"/>
    <w:rsid w:val="00397F79"/>
    <w:rsid w:val="003A00A6"/>
    <w:rsid w:val="003A0118"/>
    <w:rsid w:val="003A013C"/>
    <w:rsid w:val="003A0161"/>
    <w:rsid w:val="003A0174"/>
    <w:rsid w:val="003A03AF"/>
    <w:rsid w:val="003A03CC"/>
    <w:rsid w:val="003A0588"/>
    <w:rsid w:val="003A0746"/>
    <w:rsid w:val="003A0BB0"/>
    <w:rsid w:val="003A0BD7"/>
    <w:rsid w:val="003A0C71"/>
    <w:rsid w:val="003A0D78"/>
    <w:rsid w:val="003A0F55"/>
    <w:rsid w:val="003A0F9B"/>
    <w:rsid w:val="003A10BA"/>
    <w:rsid w:val="003A10FC"/>
    <w:rsid w:val="003A1271"/>
    <w:rsid w:val="003A1530"/>
    <w:rsid w:val="003A15A1"/>
    <w:rsid w:val="003A1728"/>
    <w:rsid w:val="003A1733"/>
    <w:rsid w:val="003A173E"/>
    <w:rsid w:val="003A17FA"/>
    <w:rsid w:val="003A182F"/>
    <w:rsid w:val="003A1895"/>
    <w:rsid w:val="003A1BBC"/>
    <w:rsid w:val="003A1BE1"/>
    <w:rsid w:val="003A1D91"/>
    <w:rsid w:val="003A1EE8"/>
    <w:rsid w:val="003A1FEA"/>
    <w:rsid w:val="003A1FF8"/>
    <w:rsid w:val="003A202D"/>
    <w:rsid w:val="003A22F6"/>
    <w:rsid w:val="003A2567"/>
    <w:rsid w:val="003A25E9"/>
    <w:rsid w:val="003A285A"/>
    <w:rsid w:val="003A298B"/>
    <w:rsid w:val="003A2A16"/>
    <w:rsid w:val="003A2AA6"/>
    <w:rsid w:val="003A2CFA"/>
    <w:rsid w:val="003A2EAF"/>
    <w:rsid w:val="003A3320"/>
    <w:rsid w:val="003A33DA"/>
    <w:rsid w:val="003A355F"/>
    <w:rsid w:val="003A3744"/>
    <w:rsid w:val="003A37BA"/>
    <w:rsid w:val="003A3923"/>
    <w:rsid w:val="003A3AB8"/>
    <w:rsid w:val="003A3AF1"/>
    <w:rsid w:val="003A3B0C"/>
    <w:rsid w:val="003A3B22"/>
    <w:rsid w:val="003A3D96"/>
    <w:rsid w:val="003A4085"/>
    <w:rsid w:val="003A4547"/>
    <w:rsid w:val="003A45A5"/>
    <w:rsid w:val="003A4A9D"/>
    <w:rsid w:val="003A4B75"/>
    <w:rsid w:val="003A4BC1"/>
    <w:rsid w:val="003A4F23"/>
    <w:rsid w:val="003A50D2"/>
    <w:rsid w:val="003A5132"/>
    <w:rsid w:val="003A521D"/>
    <w:rsid w:val="003A53C3"/>
    <w:rsid w:val="003A53D0"/>
    <w:rsid w:val="003A54C3"/>
    <w:rsid w:val="003A5853"/>
    <w:rsid w:val="003A5856"/>
    <w:rsid w:val="003A597C"/>
    <w:rsid w:val="003A5C16"/>
    <w:rsid w:val="003A5C24"/>
    <w:rsid w:val="003A5FA5"/>
    <w:rsid w:val="003A63BB"/>
    <w:rsid w:val="003A646E"/>
    <w:rsid w:val="003A660F"/>
    <w:rsid w:val="003A672C"/>
    <w:rsid w:val="003A6E87"/>
    <w:rsid w:val="003A700E"/>
    <w:rsid w:val="003A70EC"/>
    <w:rsid w:val="003A7200"/>
    <w:rsid w:val="003A7263"/>
    <w:rsid w:val="003A743D"/>
    <w:rsid w:val="003A747D"/>
    <w:rsid w:val="003A7796"/>
    <w:rsid w:val="003A77F8"/>
    <w:rsid w:val="003A7A03"/>
    <w:rsid w:val="003A7B89"/>
    <w:rsid w:val="003B04AC"/>
    <w:rsid w:val="003B04B4"/>
    <w:rsid w:val="003B067C"/>
    <w:rsid w:val="003B08CB"/>
    <w:rsid w:val="003B0E63"/>
    <w:rsid w:val="003B125A"/>
    <w:rsid w:val="003B13EC"/>
    <w:rsid w:val="003B14E7"/>
    <w:rsid w:val="003B151F"/>
    <w:rsid w:val="003B1537"/>
    <w:rsid w:val="003B1B2B"/>
    <w:rsid w:val="003B1D0A"/>
    <w:rsid w:val="003B1DF0"/>
    <w:rsid w:val="003B2271"/>
    <w:rsid w:val="003B2383"/>
    <w:rsid w:val="003B23BE"/>
    <w:rsid w:val="003B23D8"/>
    <w:rsid w:val="003B265F"/>
    <w:rsid w:val="003B2758"/>
    <w:rsid w:val="003B2925"/>
    <w:rsid w:val="003B29B8"/>
    <w:rsid w:val="003B2AE8"/>
    <w:rsid w:val="003B2BBD"/>
    <w:rsid w:val="003B2C58"/>
    <w:rsid w:val="003B2D1C"/>
    <w:rsid w:val="003B2FB7"/>
    <w:rsid w:val="003B319A"/>
    <w:rsid w:val="003B3328"/>
    <w:rsid w:val="003B33F4"/>
    <w:rsid w:val="003B3441"/>
    <w:rsid w:val="003B39AA"/>
    <w:rsid w:val="003B3B68"/>
    <w:rsid w:val="003B3EFD"/>
    <w:rsid w:val="003B3FE5"/>
    <w:rsid w:val="003B405D"/>
    <w:rsid w:val="003B41B6"/>
    <w:rsid w:val="003B42D5"/>
    <w:rsid w:val="003B44D7"/>
    <w:rsid w:val="003B4BC9"/>
    <w:rsid w:val="003B4BD0"/>
    <w:rsid w:val="003B5032"/>
    <w:rsid w:val="003B51F0"/>
    <w:rsid w:val="003B527B"/>
    <w:rsid w:val="003B5519"/>
    <w:rsid w:val="003B5573"/>
    <w:rsid w:val="003B5884"/>
    <w:rsid w:val="003B58DB"/>
    <w:rsid w:val="003B5984"/>
    <w:rsid w:val="003B5B7C"/>
    <w:rsid w:val="003B6063"/>
    <w:rsid w:val="003B613E"/>
    <w:rsid w:val="003B6142"/>
    <w:rsid w:val="003B6201"/>
    <w:rsid w:val="003B64F7"/>
    <w:rsid w:val="003B6891"/>
    <w:rsid w:val="003B6923"/>
    <w:rsid w:val="003B6DC3"/>
    <w:rsid w:val="003B6EDA"/>
    <w:rsid w:val="003B7111"/>
    <w:rsid w:val="003B7237"/>
    <w:rsid w:val="003B7452"/>
    <w:rsid w:val="003B766B"/>
    <w:rsid w:val="003B76BC"/>
    <w:rsid w:val="003B7B4B"/>
    <w:rsid w:val="003B7BEB"/>
    <w:rsid w:val="003B7CAC"/>
    <w:rsid w:val="003B7FAB"/>
    <w:rsid w:val="003B7FBE"/>
    <w:rsid w:val="003C003B"/>
    <w:rsid w:val="003C0040"/>
    <w:rsid w:val="003C0070"/>
    <w:rsid w:val="003C019D"/>
    <w:rsid w:val="003C02F6"/>
    <w:rsid w:val="003C07A4"/>
    <w:rsid w:val="003C08F2"/>
    <w:rsid w:val="003C09FB"/>
    <w:rsid w:val="003C0D31"/>
    <w:rsid w:val="003C0DDE"/>
    <w:rsid w:val="003C0DDF"/>
    <w:rsid w:val="003C0F0C"/>
    <w:rsid w:val="003C1429"/>
    <w:rsid w:val="003C1481"/>
    <w:rsid w:val="003C1533"/>
    <w:rsid w:val="003C160A"/>
    <w:rsid w:val="003C1868"/>
    <w:rsid w:val="003C1882"/>
    <w:rsid w:val="003C1DF9"/>
    <w:rsid w:val="003C1F6C"/>
    <w:rsid w:val="003C263B"/>
    <w:rsid w:val="003C272C"/>
    <w:rsid w:val="003C2861"/>
    <w:rsid w:val="003C2BF1"/>
    <w:rsid w:val="003C2CAF"/>
    <w:rsid w:val="003C2E7A"/>
    <w:rsid w:val="003C2ED9"/>
    <w:rsid w:val="003C2FC5"/>
    <w:rsid w:val="003C30CB"/>
    <w:rsid w:val="003C3162"/>
    <w:rsid w:val="003C33A9"/>
    <w:rsid w:val="003C3615"/>
    <w:rsid w:val="003C3625"/>
    <w:rsid w:val="003C37C3"/>
    <w:rsid w:val="003C38FC"/>
    <w:rsid w:val="003C3A6F"/>
    <w:rsid w:val="003C3DAA"/>
    <w:rsid w:val="003C400C"/>
    <w:rsid w:val="003C4020"/>
    <w:rsid w:val="003C403E"/>
    <w:rsid w:val="003C40D8"/>
    <w:rsid w:val="003C43E1"/>
    <w:rsid w:val="003C4481"/>
    <w:rsid w:val="003C458D"/>
    <w:rsid w:val="003C479C"/>
    <w:rsid w:val="003C47E6"/>
    <w:rsid w:val="003C4943"/>
    <w:rsid w:val="003C4A39"/>
    <w:rsid w:val="003C4BB9"/>
    <w:rsid w:val="003C4CD0"/>
    <w:rsid w:val="003C4EA5"/>
    <w:rsid w:val="003C567A"/>
    <w:rsid w:val="003C577C"/>
    <w:rsid w:val="003C5856"/>
    <w:rsid w:val="003C5ADE"/>
    <w:rsid w:val="003C5C13"/>
    <w:rsid w:val="003C5D04"/>
    <w:rsid w:val="003C60E5"/>
    <w:rsid w:val="003C62B2"/>
    <w:rsid w:val="003C6314"/>
    <w:rsid w:val="003C654B"/>
    <w:rsid w:val="003C65CC"/>
    <w:rsid w:val="003C66C9"/>
    <w:rsid w:val="003C67AA"/>
    <w:rsid w:val="003C6B9D"/>
    <w:rsid w:val="003C6BCC"/>
    <w:rsid w:val="003C6D73"/>
    <w:rsid w:val="003C6FB0"/>
    <w:rsid w:val="003C6FC9"/>
    <w:rsid w:val="003C71F8"/>
    <w:rsid w:val="003C7207"/>
    <w:rsid w:val="003C724A"/>
    <w:rsid w:val="003C74B5"/>
    <w:rsid w:val="003C7724"/>
    <w:rsid w:val="003C7825"/>
    <w:rsid w:val="003C7884"/>
    <w:rsid w:val="003C7BC8"/>
    <w:rsid w:val="003C7D10"/>
    <w:rsid w:val="003C7E8E"/>
    <w:rsid w:val="003C7EA4"/>
    <w:rsid w:val="003D00E1"/>
    <w:rsid w:val="003D0548"/>
    <w:rsid w:val="003D05D0"/>
    <w:rsid w:val="003D0679"/>
    <w:rsid w:val="003D0701"/>
    <w:rsid w:val="003D07AC"/>
    <w:rsid w:val="003D09EA"/>
    <w:rsid w:val="003D0B30"/>
    <w:rsid w:val="003D0CEE"/>
    <w:rsid w:val="003D1019"/>
    <w:rsid w:val="003D10C4"/>
    <w:rsid w:val="003D13DC"/>
    <w:rsid w:val="003D1440"/>
    <w:rsid w:val="003D1453"/>
    <w:rsid w:val="003D146D"/>
    <w:rsid w:val="003D15CC"/>
    <w:rsid w:val="003D16B1"/>
    <w:rsid w:val="003D16DC"/>
    <w:rsid w:val="003D1789"/>
    <w:rsid w:val="003D1804"/>
    <w:rsid w:val="003D1894"/>
    <w:rsid w:val="003D1A4A"/>
    <w:rsid w:val="003D1EDD"/>
    <w:rsid w:val="003D2028"/>
    <w:rsid w:val="003D20CF"/>
    <w:rsid w:val="003D20D5"/>
    <w:rsid w:val="003D2220"/>
    <w:rsid w:val="003D2558"/>
    <w:rsid w:val="003D261A"/>
    <w:rsid w:val="003D2818"/>
    <w:rsid w:val="003D29F1"/>
    <w:rsid w:val="003D2AD1"/>
    <w:rsid w:val="003D325E"/>
    <w:rsid w:val="003D33A6"/>
    <w:rsid w:val="003D39C7"/>
    <w:rsid w:val="003D3AC6"/>
    <w:rsid w:val="003D3CA0"/>
    <w:rsid w:val="003D3CF6"/>
    <w:rsid w:val="003D402E"/>
    <w:rsid w:val="003D405A"/>
    <w:rsid w:val="003D446B"/>
    <w:rsid w:val="003D449B"/>
    <w:rsid w:val="003D44CE"/>
    <w:rsid w:val="003D4513"/>
    <w:rsid w:val="003D459B"/>
    <w:rsid w:val="003D4798"/>
    <w:rsid w:val="003D49F0"/>
    <w:rsid w:val="003D4B40"/>
    <w:rsid w:val="003D4B87"/>
    <w:rsid w:val="003D4B97"/>
    <w:rsid w:val="003D4C5C"/>
    <w:rsid w:val="003D4C93"/>
    <w:rsid w:val="003D4CB4"/>
    <w:rsid w:val="003D4EBD"/>
    <w:rsid w:val="003D5159"/>
    <w:rsid w:val="003D540B"/>
    <w:rsid w:val="003D547C"/>
    <w:rsid w:val="003D54A3"/>
    <w:rsid w:val="003D56C6"/>
    <w:rsid w:val="003D5847"/>
    <w:rsid w:val="003D584C"/>
    <w:rsid w:val="003D5872"/>
    <w:rsid w:val="003D5970"/>
    <w:rsid w:val="003D5F48"/>
    <w:rsid w:val="003D6059"/>
    <w:rsid w:val="003D63DA"/>
    <w:rsid w:val="003D64E9"/>
    <w:rsid w:val="003D6CFF"/>
    <w:rsid w:val="003D6DB2"/>
    <w:rsid w:val="003D7207"/>
    <w:rsid w:val="003D7296"/>
    <w:rsid w:val="003D76AF"/>
    <w:rsid w:val="003D77A7"/>
    <w:rsid w:val="003D7A2F"/>
    <w:rsid w:val="003D7B04"/>
    <w:rsid w:val="003D7C55"/>
    <w:rsid w:val="003D7CE0"/>
    <w:rsid w:val="003D7F35"/>
    <w:rsid w:val="003D7FA7"/>
    <w:rsid w:val="003E003B"/>
    <w:rsid w:val="003E00CD"/>
    <w:rsid w:val="003E0279"/>
    <w:rsid w:val="003E05E0"/>
    <w:rsid w:val="003E081B"/>
    <w:rsid w:val="003E1063"/>
    <w:rsid w:val="003E117E"/>
    <w:rsid w:val="003E123D"/>
    <w:rsid w:val="003E146E"/>
    <w:rsid w:val="003E1473"/>
    <w:rsid w:val="003E16F2"/>
    <w:rsid w:val="003E17AE"/>
    <w:rsid w:val="003E1886"/>
    <w:rsid w:val="003E1910"/>
    <w:rsid w:val="003E1A0A"/>
    <w:rsid w:val="003E1C1A"/>
    <w:rsid w:val="003E1C63"/>
    <w:rsid w:val="003E1DF0"/>
    <w:rsid w:val="003E2415"/>
    <w:rsid w:val="003E2609"/>
    <w:rsid w:val="003E263B"/>
    <w:rsid w:val="003E2720"/>
    <w:rsid w:val="003E278D"/>
    <w:rsid w:val="003E27E6"/>
    <w:rsid w:val="003E2B0A"/>
    <w:rsid w:val="003E2BE5"/>
    <w:rsid w:val="003E2CA3"/>
    <w:rsid w:val="003E3008"/>
    <w:rsid w:val="003E316E"/>
    <w:rsid w:val="003E3235"/>
    <w:rsid w:val="003E3246"/>
    <w:rsid w:val="003E33F2"/>
    <w:rsid w:val="003E3502"/>
    <w:rsid w:val="003E358D"/>
    <w:rsid w:val="003E376A"/>
    <w:rsid w:val="003E388E"/>
    <w:rsid w:val="003E3B91"/>
    <w:rsid w:val="003E3CCF"/>
    <w:rsid w:val="003E3D75"/>
    <w:rsid w:val="003E3FBD"/>
    <w:rsid w:val="003E429B"/>
    <w:rsid w:val="003E4312"/>
    <w:rsid w:val="003E43DD"/>
    <w:rsid w:val="003E4417"/>
    <w:rsid w:val="003E45B8"/>
    <w:rsid w:val="003E4633"/>
    <w:rsid w:val="003E46F6"/>
    <w:rsid w:val="003E4780"/>
    <w:rsid w:val="003E4BD8"/>
    <w:rsid w:val="003E4D56"/>
    <w:rsid w:val="003E4D7A"/>
    <w:rsid w:val="003E4E7C"/>
    <w:rsid w:val="003E4F0B"/>
    <w:rsid w:val="003E50DD"/>
    <w:rsid w:val="003E5169"/>
    <w:rsid w:val="003E5199"/>
    <w:rsid w:val="003E5268"/>
    <w:rsid w:val="003E5352"/>
    <w:rsid w:val="003E54A0"/>
    <w:rsid w:val="003E55B6"/>
    <w:rsid w:val="003E560E"/>
    <w:rsid w:val="003E576D"/>
    <w:rsid w:val="003E5EC5"/>
    <w:rsid w:val="003E602B"/>
    <w:rsid w:val="003E6130"/>
    <w:rsid w:val="003E655E"/>
    <w:rsid w:val="003E65C2"/>
    <w:rsid w:val="003E6647"/>
    <w:rsid w:val="003E671B"/>
    <w:rsid w:val="003E6867"/>
    <w:rsid w:val="003E6A1A"/>
    <w:rsid w:val="003E6C01"/>
    <w:rsid w:val="003E6CE7"/>
    <w:rsid w:val="003E6DB1"/>
    <w:rsid w:val="003E7153"/>
    <w:rsid w:val="003E71F6"/>
    <w:rsid w:val="003E73B6"/>
    <w:rsid w:val="003E74B9"/>
    <w:rsid w:val="003E7915"/>
    <w:rsid w:val="003E7930"/>
    <w:rsid w:val="003E7960"/>
    <w:rsid w:val="003E7ADD"/>
    <w:rsid w:val="003E7B37"/>
    <w:rsid w:val="003E7F32"/>
    <w:rsid w:val="003F0160"/>
    <w:rsid w:val="003F01E2"/>
    <w:rsid w:val="003F0719"/>
    <w:rsid w:val="003F07FF"/>
    <w:rsid w:val="003F0802"/>
    <w:rsid w:val="003F09ED"/>
    <w:rsid w:val="003F0B43"/>
    <w:rsid w:val="003F0C3C"/>
    <w:rsid w:val="003F11D3"/>
    <w:rsid w:val="003F1478"/>
    <w:rsid w:val="003F193D"/>
    <w:rsid w:val="003F1F92"/>
    <w:rsid w:val="003F21A5"/>
    <w:rsid w:val="003F22CB"/>
    <w:rsid w:val="003F25A6"/>
    <w:rsid w:val="003F27AE"/>
    <w:rsid w:val="003F2AD5"/>
    <w:rsid w:val="003F2D95"/>
    <w:rsid w:val="003F2E0A"/>
    <w:rsid w:val="003F3381"/>
    <w:rsid w:val="003F343F"/>
    <w:rsid w:val="003F37E3"/>
    <w:rsid w:val="003F387F"/>
    <w:rsid w:val="003F3B0E"/>
    <w:rsid w:val="003F3B1A"/>
    <w:rsid w:val="003F3BCD"/>
    <w:rsid w:val="003F3BF1"/>
    <w:rsid w:val="003F405E"/>
    <w:rsid w:val="003F40C1"/>
    <w:rsid w:val="003F4328"/>
    <w:rsid w:val="003F4675"/>
    <w:rsid w:val="003F467E"/>
    <w:rsid w:val="003F475F"/>
    <w:rsid w:val="003F4A26"/>
    <w:rsid w:val="003F4A43"/>
    <w:rsid w:val="003F4B66"/>
    <w:rsid w:val="003F4F6A"/>
    <w:rsid w:val="003F5165"/>
    <w:rsid w:val="003F537D"/>
    <w:rsid w:val="003F53E8"/>
    <w:rsid w:val="003F553E"/>
    <w:rsid w:val="003F577C"/>
    <w:rsid w:val="003F580E"/>
    <w:rsid w:val="003F5A9E"/>
    <w:rsid w:val="003F5BEF"/>
    <w:rsid w:val="003F5C72"/>
    <w:rsid w:val="003F5FE0"/>
    <w:rsid w:val="003F6274"/>
    <w:rsid w:val="003F62BE"/>
    <w:rsid w:val="003F63C9"/>
    <w:rsid w:val="003F64F1"/>
    <w:rsid w:val="003F676C"/>
    <w:rsid w:val="003F67EB"/>
    <w:rsid w:val="003F6ABE"/>
    <w:rsid w:val="003F6CDA"/>
    <w:rsid w:val="003F6D83"/>
    <w:rsid w:val="003F702C"/>
    <w:rsid w:val="003F7109"/>
    <w:rsid w:val="003F7188"/>
    <w:rsid w:val="003F7280"/>
    <w:rsid w:val="003F7695"/>
    <w:rsid w:val="003F7ABA"/>
    <w:rsid w:val="003F7C56"/>
    <w:rsid w:val="003F7F7B"/>
    <w:rsid w:val="003F7FC8"/>
    <w:rsid w:val="004001AF"/>
    <w:rsid w:val="00400390"/>
    <w:rsid w:val="00400516"/>
    <w:rsid w:val="00400534"/>
    <w:rsid w:val="0040063D"/>
    <w:rsid w:val="004006BB"/>
    <w:rsid w:val="004007AA"/>
    <w:rsid w:val="00400879"/>
    <w:rsid w:val="0040089A"/>
    <w:rsid w:val="00400A82"/>
    <w:rsid w:val="00400BCD"/>
    <w:rsid w:val="00400DD6"/>
    <w:rsid w:val="00400E65"/>
    <w:rsid w:val="00400FBE"/>
    <w:rsid w:val="0040117C"/>
    <w:rsid w:val="004011D0"/>
    <w:rsid w:val="00401233"/>
    <w:rsid w:val="004012BA"/>
    <w:rsid w:val="004012D6"/>
    <w:rsid w:val="004013E4"/>
    <w:rsid w:val="00401537"/>
    <w:rsid w:val="00401545"/>
    <w:rsid w:val="0040164E"/>
    <w:rsid w:val="00401826"/>
    <w:rsid w:val="00401968"/>
    <w:rsid w:val="00401A11"/>
    <w:rsid w:val="00401A6F"/>
    <w:rsid w:val="00401B6A"/>
    <w:rsid w:val="00401DA8"/>
    <w:rsid w:val="00401E2D"/>
    <w:rsid w:val="004020D7"/>
    <w:rsid w:val="0040217F"/>
    <w:rsid w:val="004028E7"/>
    <w:rsid w:val="004028F0"/>
    <w:rsid w:val="00402979"/>
    <w:rsid w:val="00402A8A"/>
    <w:rsid w:val="00402E08"/>
    <w:rsid w:val="0040303A"/>
    <w:rsid w:val="004031D8"/>
    <w:rsid w:val="00403236"/>
    <w:rsid w:val="00403369"/>
    <w:rsid w:val="004033DF"/>
    <w:rsid w:val="004033E7"/>
    <w:rsid w:val="004034CA"/>
    <w:rsid w:val="0040354E"/>
    <w:rsid w:val="00403627"/>
    <w:rsid w:val="004037C7"/>
    <w:rsid w:val="004039B1"/>
    <w:rsid w:val="00403A57"/>
    <w:rsid w:val="00403AA8"/>
    <w:rsid w:val="00403B8A"/>
    <w:rsid w:val="00404145"/>
    <w:rsid w:val="00404208"/>
    <w:rsid w:val="00404305"/>
    <w:rsid w:val="00404350"/>
    <w:rsid w:val="00404640"/>
    <w:rsid w:val="004046A6"/>
    <w:rsid w:val="0040486D"/>
    <w:rsid w:val="004048E7"/>
    <w:rsid w:val="00404C1A"/>
    <w:rsid w:val="00404C2B"/>
    <w:rsid w:val="00404E1F"/>
    <w:rsid w:val="00404F6B"/>
    <w:rsid w:val="0040518E"/>
    <w:rsid w:val="0040524E"/>
    <w:rsid w:val="004053B3"/>
    <w:rsid w:val="00405608"/>
    <w:rsid w:val="0040568C"/>
    <w:rsid w:val="00405699"/>
    <w:rsid w:val="0040578D"/>
    <w:rsid w:val="00405A26"/>
    <w:rsid w:val="00405A57"/>
    <w:rsid w:val="00405D2E"/>
    <w:rsid w:val="00405DD2"/>
    <w:rsid w:val="00406124"/>
    <w:rsid w:val="004062A8"/>
    <w:rsid w:val="00406308"/>
    <w:rsid w:val="00406351"/>
    <w:rsid w:val="0040648B"/>
    <w:rsid w:val="004064C7"/>
    <w:rsid w:val="004064DC"/>
    <w:rsid w:val="0040654D"/>
    <w:rsid w:val="00406600"/>
    <w:rsid w:val="00406619"/>
    <w:rsid w:val="004068FD"/>
    <w:rsid w:val="004069CD"/>
    <w:rsid w:val="00406A46"/>
    <w:rsid w:val="00406A84"/>
    <w:rsid w:val="00406C74"/>
    <w:rsid w:val="00406CF4"/>
    <w:rsid w:val="0040719F"/>
    <w:rsid w:val="00407496"/>
    <w:rsid w:val="004075E3"/>
    <w:rsid w:val="00407616"/>
    <w:rsid w:val="004076F9"/>
    <w:rsid w:val="00407EC4"/>
    <w:rsid w:val="00407F4E"/>
    <w:rsid w:val="00410006"/>
    <w:rsid w:val="00410051"/>
    <w:rsid w:val="004101B6"/>
    <w:rsid w:val="0041028F"/>
    <w:rsid w:val="004102B6"/>
    <w:rsid w:val="004104CE"/>
    <w:rsid w:val="004104FD"/>
    <w:rsid w:val="00410A01"/>
    <w:rsid w:val="00410B0C"/>
    <w:rsid w:val="00410DA4"/>
    <w:rsid w:val="00410E9A"/>
    <w:rsid w:val="00410EA4"/>
    <w:rsid w:val="004110CE"/>
    <w:rsid w:val="00411231"/>
    <w:rsid w:val="0041149F"/>
    <w:rsid w:val="004114B0"/>
    <w:rsid w:val="004114BD"/>
    <w:rsid w:val="004114DD"/>
    <w:rsid w:val="004114E4"/>
    <w:rsid w:val="004115E8"/>
    <w:rsid w:val="004117F7"/>
    <w:rsid w:val="00411980"/>
    <w:rsid w:val="00411A7E"/>
    <w:rsid w:val="00411BD7"/>
    <w:rsid w:val="00411C33"/>
    <w:rsid w:val="00411EC6"/>
    <w:rsid w:val="00411FA5"/>
    <w:rsid w:val="004121D8"/>
    <w:rsid w:val="00412233"/>
    <w:rsid w:val="004122BA"/>
    <w:rsid w:val="0041233E"/>
    <w:rsid w:val="004123CF"/>
    <w:rsid w:val="004124CF"/>
    <w:rsid w:val="00412664"/>
    <w:rsid w:val="0041268E"/>
    <w:rsid w:val="00412D84"/>
    <w:rsid w:val="0041300F"/>
    <w:rsid w:val="00413421"/>
    <w:rsid w:val="004137D8"/>
    <w:rsid w:val="00413843"/>
    <w:rsid w:val="00413923"/>
    <w:rsid w:val="00413A82"/>
    <w:rsid w:val="00413AF1"/>
    <w:rsid w:val="00413FFE"/>
    <w:rsid w:val="004140B0"/>
    <w:rsid w:val="004140ED"/>
    <w:rsid w:val="00414307"/>
    <w:rsid w:val="0041469C"/>
    <w:rsid w:val="004148DF"/>
    <w:rsid w:val="00414A0B"/>
    <w:rsid w:val="00414B53"/>
    <w:rsid w:val="00414BF7"/>
    <w:rsid w:val="00414CE2"/>
    <w:rsid w:val="00415011"/>
    <w:rsid w:val="00415154"/>
    <w:rsid w:val="00415865"/>
    <w:rsid w:val="004159B7"/>
    <w:rsid w:val="00415A82"/>
    <w:rsid w:val="00415BFC"/>
    <w:rsid w:val="00415C89"/>
    <w:rsid w:val="00415E04"/>
    <w:rsid w:val="00415EF2"/>
    <w:rsid w:val="0041601A"/>
    <w:rsid w:val="0041602E"/>
    <w:rsid w:val="00416267"/>
    <w:rsid w:val="00416269"/>
    <w:rsid w:val="00416669"/>
    <w:rsid w:val="004168AA"/>
    <w:rsid w:val="00416CAF"/>
    <w:rsid w:val="00416DE4"/>
    <w:rsid w:val="00416FBF"/>
    <w:rsid w:val="00416FF9"/>
    <w:rsid w:val="004170E5"/>
    <w:rsid w:val="00417614"/>
    <w:rsid w:val="004176B1"/>
    <w:rsid w:val="00417786"/>
    <w:rsid w:val="004179D6"/>
    <w:rsid w:val="00417A0F"/>
    <w:rsid w:val="00417A9D"/>
    <w:rsid w:val="004200F0"/>
    <w:rsid w:val="00420103"/>
    <w:rsid w:val="0042038E"/>
    <w:rsid w:val="00420467"/>
    <w:rsid w:val="004206E5"/>
    <w:rsid w:val="004208EB"/>
    <w:rsid w:val="00420949"/>
    <w:rsid w:val="004209B2"/>
    <w:rsid w:val="004209B3"/>
    <w:rsid w:val="004209ED"/>
    <w:rsid w:val="004209F4"/>
    <w:rsid w:val="00420DF9"/>
    <w:rsid w:val="00421195"/>
    <w:rsid w:val="0042170B"/>
    <w:rsid w:val="0042192D"/>
    <w:rsid w:val="00421B92"/>
    <w:rsid w:val="004220A6"/>
    <w:rsid w:val="00422859"/>
    <w:rsid w:val="00422C9B"/>
    <w:rsid w:val="00422D0A"/>
    <w:rsid w:val="00422D1C"/>
    <w:rsid w:val="00422D37"/>
    <w:rsid w:val="00422DB0"/>
    <w:rsid w:val="004230BD"/>
    <w:rsid w:val="004233BA"/>
    <w:rsid w:val="004233D1"/>
    <w:rsid w:val="00423768"/>
    <w:rsid w:val="004238A4"/>
    <w:rsid w:val="00423913"/>
    <w:rsid w:val="00423998"/>
    <w:rsid w:val="004239D7"/>
    <w:rsid w:val="00423D0B"/>
    <w:rsid w:val="00423DC0"/>
    <w:rsid w:val="00423F05"/>
    <w:rsid w:val="00423F0F"/>
    <w:rsid w:val="00423F61"/>
    <w:rsid w:val="004240CB"/>
    <w:rsid w:val="00424461"/>
    <w:rsid w:val="004245CA"/>
    <w:rsid w:val="004245ED"/>
    <w:rsid w:val="0042462F"/>
    <w:rsid w:val="004246D7"/>
    <w:rsid w:val="00424904"/>
    <w:rsid w:val="00424D23"/>
    <w:rsid w:val="00424E99"/>
    <w:rsid w:val="00424FDF"/>
    <w:rsid w:val="004253C7"/>
    <w:rsid w:val="004256E6"/>
    <w:rsid w:val="00425707"/>
    <w:rsid w:val="004259A0"/>
    <w:rsid w:val="00425A87"/>
    <w:rsid w:val="00425CC4"/>
    <w:rsid w:val="00425D20"/>
    <w:rsid w:val="00425DBE"/>
    <w:rsid w:val="00425DDB"/>
    <w:rsid w:val="00425E73"/>
    <w:rsid w:val="00426009"/>
    <w:rsid w:val="004260BF"/>
    <w:rsid w:val="0042622B"/>
    <w:rsid w:val="004263ED"/>
    <w:rsid w:val="00426536"/>
    <w:rsid w:val="00426825"/>
    <w:rsid w:val="004269A0"/>
    <w:rsid w:val="00426D0C"/>
    <w:rsid w:val="0042700C"/>
    <w:rsid w:val="0042720D"/>
    <w:rsid w:val="00427246"/>
    <w:rsid w:val="004272A6"/>
    <w:rsid w:val="00427441"/>
    <w:rsid w:val="004275EF"/>
    <w:rsid w:val="00427657"/>
    <w:rsid w:val="004277C1"/>
    <w:rsid w:val="00427998"/>
    <w:rsid w:val="004279D2"/>
    <w:rsid w:val="00427B19"/>
    <w:rsid w:val="00427C1F"/>
    <w:rsid w:val="00427C67"/>
    <w:rsid w:val="00427EA9"/>
    <w:rsid w:val="00430461"/>
    <w:rsid w:val="004304DC"/>
    <w:rsid w:val="00430609"/>
    <w:rsid w:val="004307A0"/>
    <w:rsid w:val="00430942"/>
    <w:rsid w:val="00430B91"/>
    <w:rsid w:val="00430BAF"/>
    <w:rsid w:val="00430DAB"/>
    <w:rsid w:val="0043103F"/>
    <w:rsid w:val="0043106C"/>
    <w:rsid w:val="0043126A"/>
    <w:rsid w:val="00431622"/>
    <w:rsid w:val="00431786"/>
    <w:rsid w:val="0043187F"/>
    <w:rsid w:val="004319EB"/>
    <w:rsid w:val="00431B0F"/>
    <w:rsid w:val="00431B57"/>
    <w:rsid w:val="00431CE0"/>
    <w:rsid w:val="00431D3A"/>
    <w:rsid w:val="00431E65"/>
    <w:rsid w:val="00431FCA"/>
    <w:rsid w:val="004324BD"/>
    <w:rsid w:val="0043257B"/>
    <w:rsid w:val="004326C9"/>
    <w:rsid w:val="00432A82"/>
    <w:rsid w:val="00432AC0"/>
    <w:rsid w:val="00432B02"/>
    <w:rsid w:val="00432C01"/>
    <w:rsid w:val="00432DAE"/>
    <w:rsid w:val="00432EC1"/>
    <w:rsid w:val="00432EC2"/>
    <w:rsid w:val="004330C3"/>
    <w:rsid w:val="004331DB"/>
    <w:rsid w:val="004332D1"/>
    <w:rsid w:val="00433774"/>
    <w:rsid w:val="0043379B"/>
    <w:rsid w:val="004337F6"/>
    <w:rsid w:val="004338C2"/>
    <w:rsid w:val="00433AB4"/>
    <w:rsid w:val="00433B0C"/>
    <w:rsid w:val="00434022"/>
    <w:rsid w:val="004344E8"/>
    <w:rsid w:val="00434517"/>
    <w:rsid w:val="004346A6"/>
    <w:rsid w:val="00434AFB"/>
    <w:rsid w:val="00435275"/>
    <w:rsid w:val="004354DE"/>
    <w:rsid w:val="004356BC"/>
    <w:rsid w:val="00435728"/>
    <w:rsid w:val="00435BAE"/>
    <w:rsid w:val="00435DFC"/>
    <w:rsid w:val="00435E73"/>
    <w:rsid w:val="00436115"/>
    <w:rsid w:val="004361B0"/>
    <w:rsid w:val="0043649E"/>
    <w:rsid w:val="004364CC"/>
    <w:rsid w:val="004366DB"/>
    <w:rsid w:val="00436826"/>
    <w:rsid w:val="00436831"/>
    <w:rsid w:val="004369CF"/>
    <w:rsid w:val="00436C5B"/>
    <w:rsid w:val="00436D4A"/>
    <w:rsid w:val="004371EF"/>
    <w:rsid w:val="00437693"/>
    <w:rsid w:val="004376B6"/>
    <w:rsid w:val="0043771B"/>
    <w:rsid w:val="0043774C"/>
    <w:rsid w:val="00437928"/>
    <w:rsid w:val="004379BC"/>
    <w:rsid w:val="00437D0B"/>
    <w:rsid w:val="00437E69"/>
    <w:rsid w:val="0044006C"/>
    <w:rsid w:val="004401D5"/>
    <w:rsid w:val="0044028F"/>
    <w:rsid w:val="004403B8"/>
    <w:rsid w:val="0044053F"/>
    <w:rsid w:val="004405E9"/>
    <w:rsid w:val="004407F2"/>
    <w:rsid w:val="0044081D"/>
    <w:rsid w:val="00440826"/>
    <w:rsid w:val="00440895"/>
    <w:rsid w:val="004409A7"/>
    <w:rsid w:val="004409F3"/>
    <w:rsid w:val="00440A36"/>
    <w:rsid w:val="00440CE6"/>
    <w:rsid w:val="00440E99"/>
    <w:rsid w:val="00440ED8"/>
    <w:rsid w:val="0044114E"/>
    <w:rsid w:val="00441168"/>
    <w:rsid w:val="0044141E"/>
    <w:rsid w:val="00441502"/>
    <w:rsid w:val="0044150A"/>
    <w:rsid w:val="00441591"/>
    <w:rsid w:val="00441895"/>
    <w:rsid w:val="00441AE6"/>
    <w:rsid w:val="00441DD9"/>
    <w:rsid w:val="00441E55"/>
    <w:rsid w:val="00441E9D"/>
    <w:rsid w:val="00441F0E"/>
    <w:rsid w:val="0044206E"/>
    <w:rsid w:val="004420D6"/>
    <w:rsid w:val="00442213"/>
    <w:rsid w:val="0044239E"/>
    <w:rsid w:val="0044249D"/>
    <w:rsid w:val="00442649"/>
    <w:rsid w:val="004426B9"/>
    <w:rsid w:val="00442C40"/>
    <w:rsid w:val="00442E2B"/>
    <w:rsid w:val="00442F2C"/>
    <w:rsid w:val="00443383"/>
    <w:rsid w:val="004433DA"/>
    <w:rsid w:val="00443889"/>
    <w:rsid w:val="00443995"/>
    <w:rsid w:val="00443ACC"/>
    <w:rsid w:val="00443DF4"/>
    <w:rsid w:val="00443EBC"/>
    <w:rsid w:val="00444325"/>
    <w:rsid w:val="0044447D"/>
    <w:rsid w:val="0044458B"/>
    <w:rsid w:val="004446F6"/>
    <w:rsid w:val="00444D19"/>
    <w:rsid w:val="00444D6B"/>
    <w:rsid w:val="00444DAA"/>
    <w:rsid w:val="00444F5B"/>
    <w:rsid w:val="0044503B"/>
    <w:rsid w:val="00445272"/>
    <w:rsid w:val="00445375"/>
    <w:rsid w:val="0044546F"/>
    <w:rsid w:val="00445515"/>
    <w:rsid w:val="004455E6"/>
    <w:rsid w:val="00445927"/>
    <w:rsid w:val="00445A3A"/>
    <w:rsid w:val="00445B88"/>
    <w:rsid w:val="00445E11"/>
    <w:rsid w:val="00445EB1"/>
    <w:rsid w:val="00446035"/>
    <w:rsid w:val="00446215"/>
    <w:rsid w:val="0044624F"/>
    <w:rsid w:val="004462A2"/>
    <w:rsid w:val="004462BA"/>
    <w:rsid w:val="004463D4"/>
    <w:rsid w:val="004463DD"/>
    <w:rsid w:val="004464D9"/>
    <w:rsid w:val="004464E2"/>
    <w:rsid w:val="00446562"/>
    <w:rsid w:val="0044680E"/>
    <w:rsid w:val="004468F1"/>
    <w:rsid w:val="00446A54"/>
    <w:rsid w:val="00446AF4"/>
    <w:rsid w:val="00446C16"/>
    <w:rsid w:val="00446F36"/>
    <w:rsid w:val="004472F3"/>
    <w:rsid w:val="00447308"/>
    <w:rsid w:val="00447438"/>
    <w:rsid w:val="0044771D"/>
    <w:rsid w:val="00447755"/>
    <w:rsid w:val="004477A6"/>
    <w:rsid w:val="004479EE"/>
    <w:rsid w:val="00447A8A"/>
    <w:rsid w:val="00447E79"/>
    <w:rsid w:val="00450014"/>
    <w:rsid w:val="0045007B"/>
    <w:rsid w:val="004501C6"/>
    <w:rsid w:val="0045027F"/>
    <w:rsid w:val="00450372"/>
    <w:rsid w:val="0045044C"/>
    <w:rsid w:val="004508D7"/>
    <w:rsid w:val="00450B16"/>
    <w:rsid w:val="00450D36"/>
    <w:rsid w:val="00450D55"/>
    <w:rsid w:val="00450E1B"/>
    <w:rsid w:val="00450F3F"/>
    <w:rsid w:val="00450FEA"/>
    <w:rsid w:val="0045103C"/>
    <w:rsid w:val="004510BF"/>
    <w:rsid w:val="004510CD"/>
    <w:rsid w:val="0045191B"/>
    <w:rsid w:val="00451A54"/>
    <w:rsid w:val="00451BD2"/>
    <w:rsid w:val="00451EEB"/>
    <w:rsid w:val="00451F33"/>
    <w:rsid w:val="004520B3"/>
    <w:rsid w:val="00452325"/>
    <w:rsid w:val="0045281B"/>
    <w:rsid w:val="00452843"/>
    <w:rsid w:val="00452A84"/>
    <w:rsid w:val="00452B4C"/>
    <w:rsid w:val="00452B94"/>
    <w:rsid w:val="00452CC8"/>
    <w:rsid w:val="00452DD3"/>
    <w:rsid w:val="00452EAA"/>
    <w:rsid w:val="0045304E"/>
    <w:rsid w:val="00453460"/>
    <w:rsid w:val="004534DE"/>
    <w:rsid w:val="0045353F"/>
    <w:rsid w:val="00453619"/>
    <w:rsid w:val="00453993"/>
    <w:rsid w:val="00453B73"/>
    <w:rsid w:val="00453BD0"/>
    <w:rsid w:val="00453D1B"/>
    <w:rsid w:val="00453D7E"/>
    <w:rsid w:val="00453F1C"/>
    <w:rsid w:val="0045418D"/>
    <w:rsid w:val="00454303"/>
    <w:rsid w:val="004543D3"/>
    <w:rsid w:val="0045445E"/>
    <w:rsid w:val="004547AC"/>
    <w:rsid w:val="00454AA8"/>
    <w:rsid w:val="00454CE0"/>
    <w:rsid w:val="00454FF9"/>
    <w:rsid w:val="004552AF"/>
    <w:rsid w:val="004555F0"/>
    <w:rsid w:val="00455612"/>
    <w:rsid w:val="0045566E"/>
    <w:rsid w:val="004557AB"/>
    <w:rsid w:val="00455979"/>
    <w:rsid w:val="00455AF1"/>
    <w:rsid w:val="0045605B"/>
    <w:rsid w:val="00456203"/>
    <w:rsid w:val="004564CA"/>
    <w:rsid w:val="004564E6"/>
    <w:rsid w:val="0045673C"/>
    <w:rsid w:val="004568DF"/>
    <w:rsid w:val="00456A46"/>
    <w:rsid w:val="00456B4C"/>
    <w:rsid w:val="00456BDF"/>
    <w:rsid w:val="00456BF9"/>
    <w:rsid w:val="00456F42"/>
    <w:rsid w:val="00457328"/>
    <w:rsid w:val="004573DB"/>
    <w:rsid w:val="00457490"/>
    <w:rsid w:val="004577B9"/>
    <w:rsid w:val="00457808"/>
    <w:rsid w:val="00457AE6"/>
    <w:rsid w:val="00457B10"/>
    <w:rsid w:val="00457BD3"/>
    <w:rsid w:val="00457D15"/>
    <w:rsid w:val="00457E9C"/>
    <w:rsid w:val="00457EAB"/>
    <w:rsid w:val="00457ED6"/>
    <w:rsid w:val="00457EDF"/>
    <w:rsid w:val="00457F85"/>
    <w:rsid w:val="004600FE"/>
    <w:rsid w:val="00460323"/>
    <w:rsid w:val="00460383"/>
    <w:rsid w:val="004604D6"/>
    <w:rsid w:val="00460A72"/>
    <w:rsid w:val="00460DDE"/>
    <w:rsid w:val="00461075"/>
    <w:rsid w:val="004611F5"/>
    <w:rsid w:val="004613B1"/>
    <w:rsid w:val="004614D5"/>
    <w:rsid w:val="0046175A"/>
    <w:rsid w:val="00461832"/>
    <w:rsid w:val="00461B70"/>
    <w:rsid w:val="00461BF2"/>
    <w:rsid w:val="00461ECF"/>
    <w:rsid w:val="004620A3"/>
    <w:rsid w:val="00462243"/>
    <w:rsid w:val="00462514"/>
    <w:rsid w:val="0046275A"/>
    <w:rsid w:val="004628D5"/>
    <w:rsid w:val="0046299D"/>
    <w:rsid w:val="00462A41"/>
    <w:rsid w:val="00462B9C"/>
    <w:rsid w:val="00462BA1"/>
    <w:rsid w:val="00462BB0"/>
    <w:rsid w:val="00463082"/>
    <w:rsid w:val="004634DA"/>
    <w:rsid w:val="004636E1"/>
    <w:rsid w:val="00463755"/>
    <w:rsid w:val="004639AE"/>
    <w:rsid w:val="00463CA9"/>
    <w:rsid w:val="004642ED"/>
    <w:rsid w:val="00464453"/>
    <w:rsid w:val="00464598"/>
    <w:rsid w:val="004645AB"/>
    <w:rsid w:val="00464854"/>
    <w:rsid w:val="00464887"/>
    <w:rsid w:val="00464B22"/>
    <w:rsid w:val="00464B37"/>
    <w:rsid w:val="00464DF1"/>
    <w:rsid w:val="00464E3D"/>
    <w:rsid w:val="0046526C"/>
    <w:rsid w:val="004653BD"/>
    <w:rsid w:val="0046596A"/>
    <w:rsid w:val="004659AB"/>
    <w:rsid w:val="00465BA2"/>
    <w:rsid w:val="00465C6F"/>
    <w:rsid w:val="00465F62"/>
    <w:rsid w:val="0046626F"/>
    <w:rsid w:val="004664CA"/>
    <w:rsid w:val="0046687B"/>
    <w:rsid w:val="00466A1C"/>
    <w:rsid w:val="00466A41"/>
    <w:rsid w:val="00466DDB"/>
    <w:rsid w:val="00466F9F"/>
    <w:rsid w:val="00467032"/>
    <w:rsid w:val="0046711F"/>
    <w:rsid w:val="00467716"/>
    <w:rsid w:val="004678AF"/>
    <w:rsid w:val="004678DA"/>
    <w:rsid w:val="00467B97"/>
    <w:rsid w:val="00467BD1"/>
    <w:rsid w:val="00467CC4"/>
    <w:rsid w:val="00467CEF"/>
    <w:rsid w:val="00467D3C"/>
    <w:rsid w:val="00467D92"/>
    <w:rsid w:val="00467F26"/>
    <w:rsid w:val="004700D5"/>
    <w:rsid w:val="004700F0"/>
    <w:rsid w:val="004701C2"/>
    <w:rsid w:val="00470202"/>
    <w:rsid w:val="0047028A"/>
    <w:rsid w:val="00470375"/>
    <w:rsid w:val="0047068D"/>
    <w:rsid w:val="004706F8"/>
    <w:rsid w:val="00470803"/>
    <w:rsid w:val="00470ACA"/>
    <w:rsid w:val="00470BA2"/>
    <w:rsid w:val="00470BA5"/>
    <w:rsid w:val="00470F1E"/>
    <w:rsid w:val="00470FF0"/>
    <w:rsid w:val="00471069"/>
    <w:rsid w:val="00471127"/>
    <w:rsid w:val="0047112E"/>
    <w:rsid w:val="00471294"/>
    <w:rsid w:val="00471716"/>
    <w:rsid w:val="004717FA"/>
    <w:rsid w:val="0047191F"/>
    <w:rsid w:val="00471CAB"/>
    <w:rsid w:val="00471D99"/>
    <w:rsid w:val="00471DAC"/>
    <w:rsid w:val="0047221B"/>
    <w:rsid w:val="00472725"/>
    <w:rsid w:val="00472A69"/>
    <w:rsid w:val="00472CD4"/>
    <w:rsid w:val="00473115"/>
    <w:rsid w:val="0047320F"/>
    <w:rsid w:val="00473239"/>
    <w:rsid w:val="004732C1"/>
    <w:rsid w:val="004732F8"/>
    <w:rsid w:val="0047371D"/>
    <w:rsid w:val="0047372E"/>
    <w:rsid w:val="00473AAA"/>
    <w:rsid w:val="00473D79"/>
    <w:rsid w:val="00473E0C"/>
    <w:rsid w:val="00473ED4"/>
    <w:rsid w:val="0047403D"/>
    <w:rsid w:val="00474342"/>
    <w:rsid w:val="004745A3"/>
    <w:rsid w:val="004745CD"/>
    <w:rsid w:val="00474756"/>
    <w:rsid w:val="00474886"/>
    <w:rsid w:val="004748BE"/>
    <w:rsid w:val="00474990"/>
    <w:rsid w:val="00474AA9"/>
    <w:rsid w:val="00474B28"/>
    <w:rsid w:val="00474B56"/>
    <w:rsid w:val="00474B5B"/>
    <w:rsid w:val="00474D4A"/>
    <w:rsid w:val="00474F9A"/>
    <w:rsid w:val="004751D3"/>
    <w:rsid w:val="00475305"/>
    <w:rsid w:val="00475388"/>
    <w:rsid w:val="004753A7"/>
    <w:rsid w:val="004753D5"/>
    <w:rsid w:val="00475654"/>
    <w:rsid w:val="0047569B"/>
    <w:rsid w:val="0047575B"/>
    <w:rsid w:val="004757BE"/>
    <w:rsid w:val="00475A68"/>
    <w:rsid w:val="00475B30"/>
    <w:rsid w:val="00475B37"/>
    <w:rsid w:val="00475BAF"/>
    <w:rsid w:val="00475C26"/>
    <w:rsid w:val="00475DC8"/>
    <w:rsid w:val="00475DFF"/>
    <w:rsid w:val="00475E95"/>
    <w:rsid w:val="00475F79"/>
    <w:rsid w:val="004760F5"/>
    <w:rsid w:val="0047631D"/>
    <w:rsid w:val="0047635F"/>
    <w:rsid w:val="00476412"/>
    <w:rsid w:val="004765AD"/>
    <w:rsid w:val="00476687"/>
    <w:rsid w:val="004769AA"/>
    <w:rsid w:val="00476AA9"/>
    <w:rsid w:val="00476F5D"/>
    <w:rsid w:val="0047720D"/>
    <w:rsid w:val="004772D7"/>
    <w:rsid w:val="0047744D"/>
    <w:rsid w:val="00477824"/>
    <w:rsid w:val="0047791C"/>
    <w:rsid w:val="00477985"/>
    <w:rsid w:val="00477AB4"/>
    <w:rsid w:val="00477C90"/>
    <w:rsid w:val="00477D90"/>
    <w:rsid w:val="0048001E"/>
    <w:rsid w:val="0048019E"/>
    <w:rsid w:val="0048033F"/>
    <w:rsid w:val="004804AF"/>
    <w:rsid w:val="0048062B"/>
    <w:rsid w:val="00480641"/>
    <w:rsid w:val="00480652"/>
    <w:rsid w:val="00480747"/>
    <w:rsid w:val="0048091B"/>
    <w:rsid w:val="00480A37"/>
    <w:rsid w:val="00480A65"/>
    <w:rsid w:val="00480A6D"/>
    <w:rsid w:val="00480D52"/>
    <w:rsid w:val="00480D5D"/>
    <w:rsid w:val="00480F40"/>
    <w:rsid w:val="00481039"/>
    <w:rsid w:val="004810E4"/>
    <w:rsid w:val="00481160"/>
    <w:rsid w:val="00481168"/>
    <w:rsid w:val="00481219"/>
    <w:rsid w:val="00481597"/>
    <w:rsid w:val="00481741"/>
    <w:rsid w:val="00481752"/>
    <w:rsid w:val="004819F5"/>
    <w:rsid w:val="00481B60"/>
    <w:rsid w:val="00481BC2"/>
    <w:rsid w:val="00481DAB"/>
    <w:rsid w:val="00481E66"/>
    <w:rsid w:val="00482052"/>
    <w:rsid w:val="004822EE"/>
    <w:rsid w:val="004823C6"/>
    <w:rsid w:val="004824BE"/>
    <w:rsid w:val="00482934"/>
    <w:rsid w:val="00482A55"/>
    <w:rsid w:val="00482A7D"/>
    <w:rsid w:val="00482B53"/>
    <w:rsid w:val="00482C9B"/>
    <w:rsid w:val="00482F7A"/>
    <w:rsid w:val="00483085"/>
    <w:rsid w:val="00483322"/>
    <w:rsid w:val="004835CC"/>
    <w:rsid w:val="00483884"/>
    <w:rsid w:val="00483940"/>
    <w:rsid w:val="00483F2F"/>
    <w:rsid w:val="0048400B"/>
    <w:rsid w:val="00484365"/>
    <w:rsid w:val="00484D34"/>
    <w:rsid w:val="00484FB3"/>
    <w:rsid w:val="00484FC6"/>
    <w:rsid w:val="0048511D"/>
    <w:rsid w:val="0048512B"/>
    <w:rsid w:val="00485158"/>
    <w:rsid w:val="0048517F"/>
    <w:rsid w:val="00485233"/>
    <w:rsid w:val="00485388"/>
    <w:rsid w:val="00485560"/>
    <w:rsid w:val="004857AF"/>
    <w:rsid w:val="00485831"/>
    <w:rsid w:val="00485A1C"/>
    <w:rsid w:val="00485BE9"/>
    <w:rsid w:val="00485D74"/>
    <w:rsid w:val="00485EA0"/>
    <w:rsid w:val="0048602E"/>
    <w:rsid w:val="0048628B"/>
    <w:rsid w:val="004863C7"/>
    <w:rsid w:val="00486575"/>
    <w:rsid w:val="0048662A"/>
    <w:rsid w:val="004866C2"/>
    <w:rsid w:val="00486811"/>
    <w:rsid w:val="0048682D"/>
    <w:rsid w:val="00486EA0"/>
    <w:rsid w:val="0048722D"/>
    <w:rsid w:val="0048745E"/>
    <w:rsid w:val="004876D5"/>
    <w:rsid w:val="00487804"/>
    <w:rsid w:val="00487853"/>
    <w:rsid w:val="00487923"/>
    <w:rsid w:val="00487A8F"/>
    <w:rsid w:val="00487BDC"/>
    <w:rsid w:val="00487D66"/>
    <w:rsid w:val="00487DD7"/>
    <w:rsid w:val="00487FC8"/>
    <w:rsid w:val="00487FDA"/>
    <w:rsid w:val="00490117"/>
    <w:rsid w:val="0049014C"/>
    <w:rsid w:val="004901D6"/>
    <w:rsid w:val="004901E0"/>
    <w:rsid w:val="004905F6"/>
    <w:rsid w:val="004906F6"/>
    <w:rsid w:val="00490952"/>
    <w:rsid w:val="00490AB0"/>
    <w:rsid w:val="00490D15"/>
    <w:rsid w:val="00491171"/>
    <w:rsid w:val="004912FA"/>
    <w:rsid w:val="0049156E"/>
    <w:rsid w:val="00491725"/>
    <w:rsid w:val="00491744"/>
    <w:rsid w:val="0049175C"/>
    <w:rsid w:val="00491B45"/>
    <w:rsid w:val="00491BED"/>
    <w:rsid w:val="00491C16"/>
    <w:rsid w:val="00491C86"/>
    <w:rsid w:val="00491D2A"/>
    <w:rsid w:val="00491D36"/>
    <w:rsid w:val="00492167"/>
    <w:rsid w:val="004921F0"/>
    <w:rsid w:val="00492228"/>
    <w:rsid w:val="0049229F"/>
    <w:rsid w:val="004922F2"/>
    <w:rsid w:val="00492404"/>
    <w:rsid w:val="00492418"/>
    <w:rsid w:val="004924BD"/>
    <w:rsid w:val="0049261E"/>
    <w:rsid w:val="004926CA"/>
    <w:rsid w:val="0049305D"/>
    <w:rsid w:val="004932A8"/>
    <w:rsid w:val="00493307"/>
    <w:rsid w:val="0049334F"/>
    <w:rsid w:val="0049355A"/>
    <w:rsid w:val="004935D5"/>
    <w:rsid w:val="0049394C"/>
    <w:rsid w:val="004939B0"/>
    <w:rsid w:val="00493C72"/>
    <w:rsid w:val="00493CE2"/>
    <w:rsid w:val="00493CFE"/>
    <w:rsid w:val="0049423B"/>
    <w:rsid w:val="0049430D"/>
    <w:rsid w:val="004944CD"/>
    <w:rsid w:val="004945CA"/>
    <w:rsid w:val="004947D3"/>
    <w:rsid w:val="00494A94"/>
    <w:rsid w:val="00494DDB"/>
    <w:rsid w:val="00494F92"/>
    <w:rsid w:val="0049500B"/>
    <w:rsid w:val="00495283"/>
    <w:rsid w:val="004953C2"/>
    <w:rsid w:val="004953E3"/>
    <w:rsid w:val="004954BD"/>
    <w:rsid w:val="0049560F"/>
    <w:rsid w:val="00495871"/>
    <w:rsid w:val="00495938"/>
    <w:rsid w:val="00495945"/>
    <w:rsid w:val="00495A47"/>
    <w:rsid w:val="00495D3E"/>
    <w:rsid w:val="00495E4E"/>
    <w:rsid w:val="00495EDF"/>
    <w:rsid w:val="00496105"/>
    <w:rsid w:val="004961A4"/>
    <w:rsid w:val="0049627A"/>
    <w:rsid w:val="004962A7"/>
    <w:rsid w:val="004962C3"/>
    <w:rsid w:val="0049634D"/>
    <w:rsid w:val="004966EB"/>
    <w:rsid w:val="004968B5"/>
    <w:rsid w:val="00496A55"/>
    <w:rsid w:val="00496A94"/>
    <w:rsid w:val="00496B83"/>
    <w:rsid w:val="00496BEC"/>
    <w:rsid w:val="00496C14"/>
    <w:rsid w:val="00496E04"/>
    <w:rsid w:val="00496E95"/>
    <w:rsid w:val="00496F40"/>
    <w:rsid w:val="00496FAD"/>
    <w:rsid w:val="00496FB1"/>
    <w:rsid w:val="004971A6"/>
    <w:rsid w:val="00497476"/>
    <w:rsid w:val="004974E0"/>
    <w:rsid w:val="0049758B"/>
    <w:rsid w:val="004975FE"/>
    <w:rsid w:val="0049770A"/>
    <w:rsid w:val="00497829"/>
    <w:rsid w:val="00497A33"/>
    <w:rsid w:val="00497A59"/>
    <w:rsid w:val="00497B70"/>
    <w:rsid w:val="00497C1F"/>
    <w:rsid w:val="00497C8E"/>
    <w:rsid w:val="00497E8B"/>
    <w:rsid w:val="004A033B"/>
    <w:rsid w:val="004A03E8"/>
    <w:rsid w:val="004A0A2D"/>
    <w:rsid w:val="004A0EAE"/>
    <w:rsid w:val="004A0EE1"/>
    <w:rsid w:val="004A12D2"/>
    <w:rsid w:val="004A166C"/>
    <w:rsid w:val="004A19F5"/>
    <w:rsid w:val="004A1A47"/>
    <w:rsid w:val="004A1C1F"/>
    <w:rsid w:val="004A1D3A"/>
    <w:rsid w:val="004A1D4A"/>
    <w:rsid w:val="004A1DAB"/>
    <w:rsid w:val="004A1E8A"/>
    <w:rsid w:val="004A1FA9"/>
    <w:rsid w:val="004A20E2"/>
    <w:rsid w:val="004A2190"/>
    <w:rsid w:val="004A298B"/>
    <w:rsid w:val="004A29AB"/>
    <w:rsid w:val="004A2C3B"/>
    <w:rsid w:val="004A2DE9"/>
    <w:rsid w:val="004A2F6F"/>
    <w:rsid w:val="004A300D"/>
    <w:rsid w:val="004A3035"/>
    <w:rsid w:val="004A3491"/>
    <w:rsid w:val="004A3792"/>
    <w:rsid w:val="004A37CF"/>
    <w:rsid w:val="004A38AE"/>
    <w:rsid w:val="004A3BF8"/>
    <w:rsid w:val="004A3F34"/>
    <w:rsid w:val="004A3FF3"/>
    <w:rsid w:val="004A40AB"/>
    <w:rsid w:val="004A44A9"/>
    <w:rsid w:val="004A47C8"/>
    <w:rsid w:val="004A48BA"/>
    <w:rsid w:val="004A490E"/>
    <w:rsid w:val="004A496F"/>
    <w:rsid w:val="004A4D41"/>
    <w:rsid w:val="004A4DEF"/>
    <w:rsid w:val="004A4FA5"/>
    <w:rsid w:val="004A5042"/>
    <w:rsid w:val="004A50D8"/>
    <w:rsid w:val="004A52C0"/>
    <w:rsid w:val="004A55AD"/>
    <w:rsid w:val="004A570C"/>
    <w:rsid w:val="004A5726"/>
    <w:rsid w:val="004A58B5"/>
    <w:rsid w:val="004A59C3"/>
    <w:rsid w:val="004A5A56"/>
    <w:rsid w:val="004A5B5A"/>
    <w:rsid w:val="004A5C35"/>
    <w:rsid w:val="004A5D75"/>
    <w:rsid w:val="004A5EF9"/>
    <w:rsid w:val="004A60A8"/>
    <w:rsid w:val="004A63BB"/>
    <w:rsid w:val="004A64FD"/>
    <w:rsid w:val="004A66D7"/>
    <w:rsid w:val="004A6793"/>
    <w:rsid w:val="004A6B2D"/>
    <w:rsid w:val="004A6EB2"/>
    <w:rsid w:val="004A6F5E"/>
    <w:rsid w:val="004A73AF"/>
    <w:rsid w:val="004A7731"/>
    <w:rsid w:val="004A7747"/>
    <w:rsid w:val="004A7769"/>
    <w:rsid w:val="004A781B"/>
    <w:rsid w:val="004A78C4"/>
    <w:rsid w:val="004A79A8"/>
    <w:rsid w:val="004A7A0F"/>
    <w:rsid w:val="004A7A11"/>
    <w:rsid w:val="004A7A7A"/>
    <w:rsid w:val="004A7C5B"/>
    <w:rsid w:val="004A7D1E"/>
    <w:rsid w:val="004B04E2"/>
    <w:rsid w:val="004B0735"/>
    <w:rsid w:val="004B07BC"/>
    <w:rsid w:val="004B081B"/>
    <w:rsid w:val="004B081C"/>
    <w:rsid w:val="004B08F2"/>
    <w:rsid w:val="004B095F"/>
    <w:rsid w:val="004B0BBA"/>
    <w:rsid w:val="004B0CEC"/>
    <w:rsid w:val="004B0CF2"/>
    <w:rsid w:val="004B0F9E"/>
    <w:rsid w:val="004B12F8"/>
    <w:rsid w:val="004B14A8"/>
    <w:rsid w:val="004B150D"/>
    <w:rsid w:val="004B1545"/>
    <w:rsid w:val="004B1758"/>
    <w:rsid w:val="004B1773"/>
    <w:rsid w:val="004B1818"/>
    <w:rsid w:val="004B185D"/>
    <w:rsid w:val="004B18D3"/>
    <w:rsid w:val="004B1910"/>
    <w:rsid w:val="004B1A7D"/>
    <w:rsid w:val="004B1C42"/>
    <w:rsid w:val="004B1CE2"/>
    <w:rsid w:val="004B1D6E"/>
    <w:rsid w:val="004B1F4D"/>
    <w:rsid w:val="004B233E"/>
    <w:rsid w:val="004B2429"/>
    <w:rsid w:val="004B25C1"/>
    <w:rsid w:val="004B2636"/>
    <w:rsid w:val="004B2764"/>
    <w:rsid w:val="004B27DC"/>
    <w:rsid w:val="004B29A4"/>
    <w:rsid w:val="004B2B21"/>
    <w:rsid w:val="004B2C1C"/>
    <w:rsid w:val="004B2F67"/>
    <w:rsid w:val="004B2F7D"/>
    <w:rsid w:val="004B2F9A"/>
    <w:rsid w:val="004B31CA"/>
    <w:rsid w:val="004B3259"/>
    <w:rsid w:val="004B3337"/>
    <w:rsid w:val="004B3388"/>
    <w:rsid w:val="004B341C"/>
    <w:rsid w:val="004B344C"/>
    <w:rsid w:val="004B3A5C"/>
    <w:rsid w:val="004B3B4B"/>
    <w:rsid w:val="004B3B5E"/>
    <w:rsid w:val="004B3C11"/>
    <w:rsid w:val="004B3E82"/>
    <w:rsid w:val="004B408E"/>
    <w:rsid w:val="004B413C"/>
    <w:rsid w:val="004B430E"/>
    <w:rsid w:val="004B43DA"/>
    <w:rsid w:val="004B43DB"/>
    <w:rsid w:val="004B46CA"/>
    <w:rsid w:val="004B4A32"/>
    <w:rsid w:val="004B4D7C"/>
    <w:rsid w:val="004B5154"/>
    <w:rsid w:val="004B5339"/>
    <w:rsid w:val="004B55C5"/>
    <w:rsid w:val="004B5611"/>
    <w:rsid w:val="004B5821"/>
    <w:rsid w:val="004B5F65"/>
    <w:rsid w:val="004B5FE5"/>
    <w:rsid w:val="004B604F"/>
    <w:rsid w:val="004B61EC"/>
    <w:rsid w:val="004B629D"/>
    <w:rsid w:val="004B62B2"/>
    <w:rsid w:val="004B64AC"/>
    <w:rsid w:val="004B6618"/>
    <w:rsid w:val="004B664C"/>
    <w:rsid w:val="004B67AC"/>
    <w:rsid w:val="004B6848"/>
    <w:rsid w:val="004B6F48"/>
    <w:rsid w:val="004B7355"/>
    <w:rsid w:val="004B736A"/>
    <w:rsid w:val="004B7750"/>
    <w:rsid w:val="004B7A19"/>
    <w:rsid w:val="004B7ADA"/>
    <w:rsid w:val="004B7B86"/>
    <w:rsid w:val="004B7D2A"/>
    <w:rsid w:val="004B7DDC"/>
    <w:rsid w:val="004C0018"/>
    <w:rsid w:val="004C02BD"/>
    <w:rsid w:val="004C02C9"/>
    <w:rsid w:val="004C0818"/>
    <w:rsid w:val="004C08C8"/>
    <w:rsid w:val="004C08EE"/>
    <w:rsid w:val="004C0913"/>
    <w:rsid w:val="004C0A49"/>
    <w:rsid w:val="004C0BDB"/>
    <w:rsid w:val="004C0BE8"/>
    <w:rsid w:val="004C126E"/>
    <w:rsid w:val="004C1326"/>
    <w:rsid w:val="004C13B9"/>
    <w:rsid w:val="004C141D"/>
    <w:rsid w:val="004C1448"/>
    <w:rsid w:val="004C15D8"/>
    <w:rsid w:val="004C1932"/>
    <w:rsid w:val="004C1B03"/>
    <w:rsid w:val="004C1B3C"/>
    <w:rsid w:val="004C1FC3"/>
    <w:rsid w:val="004C2070"/>
    <w:rsid w:val="004C21FB"/>
    <w:rsid w:val="004C22BA"/>
    <w:rsid w:val="004C231C"/>
    <w:rsid w:val="004C2590"/>
    <w:rsid w:val="004C2595"/>
    <w:rsid w:val="004C25E4"/>
    <w:rsid w:val="004C2676"/>
    <w:rsid w:val="004C2707"/>
    <w:rsid w:val="004C278E"/>
    <w:rsid w:val="004C28E6"/>
    <w:rsid w:val="004C2CEC"/>
    <w:rsid w:val="004C2DCD"/>
    <w:rsid w:val="004C2E5A"/>
    <w:rsid w:val="004C34C8"/>
    <w:rsid w:val="004C363B"/>
    <w:rsid w:val="004C38DD"/>
    <w:rsid w:val="004C3AA5"/>
    <w:rsid w:val="004C3AF5"/>
    <w:rsid w:val="004C3B35"/>
    <w:rsid w:val="004C4144"/>
    <w:rsid w:val="004C488F"/>
    <w:rsid w:val="004C4A50"/>
    <w:rsid w:val="004C4B00"/>
    <w:rsid w:val="004C4B7B"/>
    <w:rsid w:val="004C51AA"/>
    <w:rsid w:val="004C5448"/>
    <w:rsid w:val="004C55A6"/>
    <w:rsid w:val="004C55DA"/>
    <w:rsid w:val="004C5740"/>
    <w:rsid w:val="004C586C"/>
    <w:rsid w:val="004C58BB"/>
    <w:rsid w:val="004C5A31"/>
    <w:rsid w:val="004C5A60"/>
    <w:rsid w:val="004C5A8C"/>
    <w:rsid w:val="004C5E89"/>
    <w:rsid w:val="004C61BA"/>
    <w:rsid w:val="004C6422"/>
    <w:rsid w:val="004C692E"/>
    <w:rsid w:val="004C6990"/>
    <w:rsid w:val="004C6AAC"/>
    <w:rsid w:val="004C6BFD"/>
    <w:rsid w:val="004C6D0A"/>
    <w:rsid w:val="004C70B5"/>
    <w:rsid w:val="004C7219"/>
    <w:rsid w:val="004C7222"/>
    <w:rsid w:val="004C732D"/>
    <w:rsid w:val="004C7434"/>
    <w:rsid w:val="004C7570"/>
    <w:rsid w:val="004C7599"/>
    <w:rsid w:val="004C76BD"/>
    <w:rsid w:val="004C7941"/>
    <w:rsid w:val="004C79ED"/>
    <w:rsid w:val="004C7A52"/>
    <w:rsid w:val="004C7DDE"/>
    <w:rsid w:val="004D021D"/>
    <w:rsid w:val="004D0362"/>
    <w:rsid w:val="004D06AD"/>
    <w:rsid w:val="004D0711"/>
    <w:rsid w:val="004D09FF"/>
    <w:rsid w:val="004D0B1C"/>
    <w:rsid w:val="004D0E00"/>
    <w:rsid w:val="004D1107"/>
    <w:rsid w:val="004D12C5"/>
    <w:rsid w:val="004D1450"/>
    <w:rsid w:val="004D15DD"/>
    <w:rsid w:val="004D17A3"/>
    <w:rsid w:val="004D1886"/>
    <w:rsid w:val="004D198B"/>
    <w:rsid w:val="004D199F"/>
    <w:rsid w:val="004D19BB"/>
    <w:rsid w:val="004D19E6"/>
    <w:rsid w:val="004D1B20"/>
    <w:rsid w:val="004D1B37"/>
    <w:rsid w:val="004D1C75"/>
    <w:rsid w:val="004D1F11"/>
    <w:rsid w:val="004D1F46"/>
    <w:rsid w:val="004D1FD5"/>
    <w:rsid w:val="004D2014"/>
    <w:rsid w:val="004D2521"/>
    <w:rsid w:val="004D2741"/>
    <w:rsid w:val="004D27CD"/>
    <w:rsid w:val="004D2B60"/>
    <w:rsid w:val="004D2C2F"/>
    <w:rsid w:val="004D2D64"/>
    <w:rsid w:val="004D2E60"/>
    <w:rsid w:val="004D2E6F"/>
    <w:rsid w:val="004D2FC6"/>
    <w:rsid w:val="004D303A"/>
    <w:rsid w:val="004D3102"/>
    <w:rsid w:val="004D32D3"/>
    <w:rsid w:val="004D3ACC"/>
    <w:rsid w:val="004D3BF9"/>
    <w:rsid w:val="004D3E3C"/>
    <w:rsid w:val="004D3F7B"/>
    <w:rsid w:val="004D3FBC"/>
    <w:rsid w:val="004D409B"/>
    <w:rsid w:val="004D42DA"/>
    <w:rsid w:val="004D44FE"/>
    <w:rsid w:val="004D4543"/>
    <w:rsid w:val="004D465C"/>
    <w:rsid w:val="004D4BA3"/>
    <w:rsid w:val="004D4BDA"/>
    <w:rsid w:val="004D4F1B"/>
    <w:rsid w:val="004D510C"/>
    <w:rsid w:val="004D52D4"/>
    <w:rsid w:val="004D57C8"/>
    <w:rsid w:val="004D59D2"/>
    <w:rsid w:val="004D5A39"/>
    <w:rsid w:val="004D5A72"/>
    <w:rsid w:val="004D5F5B"/>
    <w:rsid w:val="004D5FE5"/>
    <w:rsid w:val="004D605C"/>
    <w:rsid w:val="004D60F7"/>
    <w:rsid w:val="004D63C8"/>
    <w:rsid w:val="004D65BA"/>
    <w:rsid w:val="004D65DB"/>
    <w:rsid w:val="004D663A"/>
    <w:rsid w:val="004D68D2"/>
    <w:rsid w:val="004D69CB"/>
    <w:rsid w:val="004D6E68"/>
    <w:rsid w:val="004D6E9F"/>
    <w:rsid w:val="004D6EED"/>
    <w:rsid w:val="004D717B"/>
    <w:rsid w:val="004D72EF"/>
    <w:rsid w:val="004D7513"/>
    <w:rsid w:val="004D7E23"/>
    <w:rsid w:val="004E01C6"/>
    <w:rsid w:val="004E02BF"/>
    <w:rsid w:val="004E0390"/>
    <w:rsid w:val="004E05DC"/>
    <w:rsid w:val="004E0846"/>
    <w:rsid w:val="004E0985"/>
    <w:rsid w:val="004E0CC7"/>
    <w:rsid w:val="004E0F8E"/>
    <w:rsid w:val="004E1067"/>
    <w:rsid w:val="004E1120"/>
    <w:rsid w:val="004E1259"/>
    <w:rsid w:val="004E12DC"/>
    <w:rsid w:val="004E1458"/>
    <w:rsid w:val="004E148E"/>
    <w:rsid w:val="004E1717"/>
    <w:rsid w:val="004E1AAE"/>
    <w:rsid w:val="004E1B47"/>
    <w:rsid w:val="004E1C2A"/>
    <w:rsid w:val="004E1F80"/>
    <w:rsid w:val="004E2087"/>
    <w:rsid w:val="004E228F"/>
    <w:rsid w:val="004E22A2"/>
    <w:rsid w:val="004E22B0"/>
    <w:rsid w:val="004E235F"/>
    <w:rsid w:val="004E2581"/>
    <w:rsid w:val="004E2907"/>
    <w:rsid w:val="004E2976"/>
    <w:rsid w:val="004E2B28"/>
    <w:rsid w:val="004E2BE9"/>
    <w:rsid w:val="004E2C01"/>
    <w:rsid w:val="004E3136"/>
    <w:rsid w:val="004E32AE"/>
    <w:rsid w:val="004E332B"/>
    <w:rsid w:val="004E33A6"/>
    <w:rsid w:val="004E3A57"/>
    <w:rsid w:val="004E3B84"/>
    <w:rsid w:val="004E3C14"/>
    <w:rsid w:val="004E3E59"/>
    <w:rsid w:val="004E3F59"/>
    <w:rsid w:val="004E4112"/>
    <w:rsid w:val="004E4193"/>
    <w:rsid w:val="004E435D"/>
    <w:rsid w:val="004E4490"/>
    <w:rsid w:val="004E4813"/>
    <w:rsid w:val="004E4AA0"/>
    <w:rsid w:val="004E4BA4"/>
    <w:rsid w:val="004E4CC8"/>
    <w:rsid w:val="004E4DC5"/>
    <w:rsid w:val="004E4ECE"/>
    <w:rsid w:val="004E52AA"/>
    <w:rsid w:val="004E53CE"/>
    <w:rsid w:val="004E55B3"/>
    <w:rsid w:val="004E5616"/>
    <w:rsid w:val="004E576C"/>
    <w:rsid w:val="004E59BD"/>
    <w:rsid w:val="004E59EF"/>
    <w:rsid w:val="004E5BF4"/>
    <w:rsid w:val="004E5E04"/>
    <w:rsid w:val="004E5EE0"/>
    <w:rsid w:val="004E6205"/>
    <w:rsid w:val="004E62C7"/>
    <w:rsid w:val="004E637F"/>
    <w:rsid w:val="004E6573"/>
    <w:rsid w:val="004E6696"/>
    <w:rsid w:val="004E6807"/>
    <w:rsid w:val="004E6905"/>
    <w:rsid w:val="004E6AE9"/>
    <w:rsid w:val="004E6AFE"/>
    <w:rsid w:val="004E6B39"/>
    <w:rsid w:val="004E6BF1"/>
    <w:rsid w:val="004E6CF0"/>
    <w:rsid w:val="004E6E09"/>
    <w:rsid w:val="004E6FDB"/>
    <w:rsid w:val="004E7068"/>
    <w:rsid w:val="004E7566"/>
    <w:rsid w:val="004E7635"/>
    <w:rsid w:val="004E7844"/>
    <w:rsid w:val="004E79EC"/>
    <w:rsid w:val="004E7AEF"/>
    <w:rsid w:val="004E7CBB"/>
    <w:rsid w:val="004E7DF9"/>
    <w:rsid w:val="004F000A"/>
    <w:rsid w:val="004F03D5"/>
    <w:rsid w:val="004F0400"/>
    <w:rsid w:val="004F043D"/>
    <w:rsid w:val="004F072F"/>
    <w:rsid w:val="004F0863"/>
    <w:rsid w:val="004F08AC"/>
    <w:rsid w:val="004F0936"/>
    <w:rsid w:val="004F0CC0"/>
    <w:rsid w:val="004F0F5C"/>
    <w:rsid w:val="004F0F5E"/>
    <w:rsid w:val="004F1029"/>
    <w:rsid w:val="004F104E"/>
    <w:rsid w:val="004F1433"/>
    <w:rsid w:val="004F150F"/>
    <w:rsid w:val="004F1516"/>
    <w:rsid w:val="004F19D3"/>
    <w:rsid w:val="004F1C53"/>
    <w:rsid w:val="004F1C94"/>
    <w:rsid w:val="004F1DEB"/>
    <w:rsid w:val="004F1EB5"/>
    <w:rsid w:val="004F227C"/>
    <w:rsid w:val="004F2299"/>
    <w:rsid w:val="004F2314"/>
    <w:rsid w:val="004F2545"/>
    <w:rsid w:val="004F2657"/>
    <w:rsid w:val="004F27E8"/>
    <w:rsid w:val="004F2869"/>
    <w:rsid w:val="004F2A18"/>
    <w:rsid w:val="004F2B61"/>
    <w:rsid w:val="004F2D2B"/>
    <w:rsid w:val="004F2D75"/>
    <w:rsid w:val="004F2E38"/>
    <w:rsid w:val="004F3024"/>
    <w:rsid w:val="004F30B5"/>
    <w:rsid w:val="004F316A"/>
    <w:rsid w:val="004F3442"/>
    <w:rsid w:val="004F38A8"/>
    <w:rsid w:val="004F3955"/>
    <w:rsid w:val="004F3DF6"/>
    <w:rsid w:val="004F4096"/>
    <w:rsid w:val="004F4233"/>
    <w:rsid w:val="004F462D"/>
    <w:rsid w:val="004F4667"/>
    <w:rsid w:val="004F46F2"/>
    <w:rsid w:val="004F49A9"/>
    <w:rsid w:val="004F4A85"/>
    <w:rsid w:val="004F4B29"/>
    <w:rsid w:val="004F4B48"/>
    <w:rsid w:val="004F4B6E"/>
    <w:rsid w:val="004F4BF8"/>
    <w:rsid w:val="004F4C05"/>
    <w:rsid w:val="004F4C0C"/>
    <w:rsid w:val="004F4ED1"/>
    <w:rsid w:val="004F4FA2"/>
    <w:rsid w:val="004F50B7"/>
    <w:rsid w:val="004F537D"/>
    <w:rsid w:val="004F5435"/>
    <w:rsid w:val="004F561F"/>
    <w:rsid w:val="004F5792"/>
    <w:rsid w:val="004F57F2"/>
    <w:rsid w:val="004F5903"/>
    <w:rsid w:val="004F5A08"/>
    <w:rsid w:val="004F5CEC"/>
    <w:rsid w:val="004F5DCF"/>
    <w:rsid w:val="004F5E64"/>
    <w:rsid w:val="004F5F33"/>
    <w:rsid w:val="004F605C"/>
    <w:rsid w:val="004F621A"/>
    <w:rsid w:val="004F62F8"/>
    <w:rsid w:val="004F64A6"/>
    <w:rsid w:val="004F64CA"/>
    <w:rsid w:val="004F665F"/>
    <w:rsid w:val="004F6CB5"/>
    <w:rsid w:val="004F6F87"/>
    <w:rsid w:val="004F7093"/>
    <w:rsid w:val="004F71BA"/>
    <w:rsid w:val="004F7219"/>
    <w:rsid w:val="004F722F"/>
    <w:rsid w:val="004F731B"/>
    <w:rsid w:val="004F74A2"/>
    <w:rsid w:val="004F766B"/>
    <w:rsid w:val="004F76BF"/>
    <w:rsid w:val="004F7918"/>
    <w:rsid w:val="004F7A05"/>
    <w:rsid w:val="004F7AEA"/>
    <w:rsid w:val="004F7C60"/>
    <w:rsid w:val="004F7E5D"/>
    <w:rsid w:val="004F7FAC"/>
    <w:rsid w:val="004F7FE1"/>
    <w:rsid w:val="004F7FE5"/>
    <w:rsid w:val="00500250"/>
    <w:rsid w:val="005002DB"/>
    <w:rsid w:val="00500357"/>
    <w:rsid w:val="005004DF"/>
    <w:rsid w:val="00500639"/>
    <w:rsid w:val="00500889"/>
    <w:rsid w:val="0050097B"/>
    <w:rsid w:val="00500ADA"/>
    <w:rsid w:val="00500DDD"/>
    <w:rsid w:val="00500EDF"/>
    <w:rsid w:val="00500FC0"/>
    <w:rsid w:val="005012E0"/>
    <w:rsid w:val="0050136C"/>
    <w:rsid w:val="0050138A"/>
    <w:rsid w:val="005014F7"/>
    <w:rsid w:val="00501537"/>
    <w:rsid w:val="00501860"/>
    <w:rsid w:val="005019FA"/>
    <w:rsid w:val="00501A1A"/>
    <w:rsid w:val="00501C5D"/>
    <w:rsid w:val="00501D51"/>
    <w:rsid w:val="00501F0C"/>
    <w:rsid w:val="00502036"/>
    <w:rsid w:val="00502227"/>
    <w:rsid w:val="00502736"/>
    <w:rsid w:val="005027A1"/>
    <w:rsid w:val="005027B6"/>
    <w:rsid w:val="00502810"/>
    <w:rsid w:val="005028B6"/>
    <w:rsid w:val="005028FC"/>
    <w:rsid w:val="00502C7F"/>
    <w:rsid w:val="00502CA7"/>
    <w:rsid w:val="00502E7F"/>
    <w:rsid w:val="005032A7"/>
    <w:rsid w:val="005032C1"/>
    <w:rsid w:val="005034E8"/>
    <w:rsid w:val="00503568"/>
    <w:rsid w:val="005037B6"/>
    <w:rsid w:val="005038E7"/>
    <w:rsid w:val="005039A0"/>
    <w:rsid w:val="00503A05"/>
    <w:rsid w:val="00503A14"/>
    <w:rsid w:val="00503AC2"/>
    <w:rsid w:val="00503B01"/>
    <w:rsid w:val="00503B29"/>
    <w:rsid w:val="00503B94"/>
    <w:rsid w:val="00503C1A"/>
    <w:rsid w:val="00503CBA"/>
    <w:rsid w:val="00503E36"/>
    <w:rsid w:val="00504113"/>
    <w:rsid w:val="00504337"/>
    <w:rsid w:val="005046EE"/>
    <w:rsid w:val="00504784"/>
    <w:rsid w:val="0050484D"/>
    <w:rsid w:val="005048C4"/>
    <w:rsid w:val="00504951"/>
    <w:rsid w:val="00504CBD"/>
    <w:rsid w:val="00504D65"/>
    <w:rsid w:val="00505164"/>
    <w:rsid w:val="00505202"/>
    <w:rsid w:val="00505214"/>
    <w:rsid w:val="00505294"/>
    <w:rsid w:val="00505398"/>
    <w:rsid w:val="0050583A"/>
    <w:rsid w:val="0050589E"/>
    <w:rsid w:val="005058D0"/>
    <w:rsid w:val="0050592D"/>
    <w:rsid w:val="00505BFF"/>
    <w:rsid w:val="00505C51"/>
    <w:rsid w:val="00505E1A"/>
    <w:rsid w:val="00505F44"/>
    <w:rsid w:val="00505FE1"/>
    <w:rsid w:val="00506187"/>
    <w:rsid w:val="0050625C"/>
    <w:rsid w:val="0050673F"/>
    <w:rsid w:val="005067AB"/>
    <w:rsid w:val="00506935"/>
    <w:rsid w:val="00506A6A"/>
    <w:rsid w:val="00506A78"/>
    <w:rsid w:val="00506CCE"/>
    <w:rsid w:val="00506D37"/>
    <w:rsid w:val="0050713D"/>
    <w:rsid w:val="0050715E"/>
    <w:rsid w:val="00507236"/>
    <w:rsid w:val="00507239"/>
    <w:rsid w:val="0050728D"/>
    <w:rsid w:val="00507792"/>
    <w:rsid w:val="005077E8"/>
    <w:rsid w:val="005078F4"/>
    <w:rsid w:val="00507960"/>
    <w:rsid w:val="00507E49"/>
    <w:rsid w:val="00507F82"/>
    <w:rsid w:val="005101C3"/>
    <w:rsid w:val="0051030C"/>
    <w:rsid w:val="00510821"/>
    <w:rsid w:val="005108BA"/>
    <w:rsid w:val="005109F5"/>
    <w:rsid w:val="00510B53"/>
    <w:rsid w:val="00510C20"/>
    <w:rsid w:val="00510F3D"/>
    <w:rsid w:val="00510FAF"/>
    <w:rsid w:val="00511168"/>
    <w:rsid w:val="00511311"/>
    <w:rsid w:val="00511538"/>
    <w:rsid w:val="00511768"/>
    <w:rsid w:val="00511942"/>
    <w:rsid w:val="00511DD8"/>
    <w:rsid w:val="00511E45"/>
    <w:rsid w:val="005120FF"/>
    <w:rsid w:val="005121A4"/>
    <w:rsid w:val="0051258D"/>
    <w:rsid w:val="0051271D"/>
    <w:rsid w:val="005127DA"/>
    <w:rsid w:val="005128C6"/>
    <w:rsid w:val="00512962"/>
    <w:rsid w:val="005129C7"/>
    <w:rsid w:val="00512DAC"/>
    <w:rsid w:val="00512E79"/>
    <w:rsid w:val="00512F49"/>
    <w:rsid w:val="00513173"/>
    <w:rsid w:val="00513249"/>
    <w:rsid w:val="0051358D"/>
    <w:rsid w:val="00513A70"/>
    <w:rsid w:val="00513BE7"/>
    <w:rsid w:val="00513C05"/>
    <w:rsid w:val="00513D5C"/>
    <w:rsid w:val="00513DD5"/>
    <w:rsid w:val="00514035"/>
    <w:rsid w:val="005141B8"/>
    <w:rsid w:val="005147FC"/>
    <w:rsid w:val="00514970"/>
    <w:rsid w:val="00514BCB"/>
    <w:rsid w:val="00514BD0"/>
    <w:rsid w:val="00514D7F"/>
    <w:rsid w:val="00514F19"/>
    <w:rsid w:val="00514F2E"/>
    <w:rsid w:val="00514FD1"/>
    <w:rsid w:val="005150D7"/>
    <w:rsid w:val="0051528B"/>
    <w:rsid w:val="005152D9"/>
    <w:rsid w:val="0051536B"/>
    <w:rsid w:val="005158E5"/>
    <w:rsid w:val="005159AB"/>
    <w:rsid w:val="00515A01"/>
    <w:rsid w:val="00515F39"/>
    <w:rsid w:val="00515FA0"/>
    <w:rsid w:val="00515FF5"/>
    <w:rsid w:val="0051638F"/>
    <w:rsid w:val="0051676F"/>
    <w:rsid w:val="00516921"/>
    <w:rsid w:val="0051692E"/>
    <w:rsid w:val="00516B8D"/>
    <w:rsid w:val="00516C34"/>
    <w:rsid w:val="00516D9D"/>
    <w:rsid w:val="005171B2"/>
    <w:rsid w:val="00517281"/>
    <w:rsid w:val="00517462"/>
    <w:rsid w:val="0051763E"/>
    <w:rsid w:val="005176A5"/>
    <w:rsid w:val="005179D8"/>
    <w:rsid w:val="00517C39"/>
    <w:rsid w:val="00517CA9"/>
    <w:rsid w:val="00517E51"/>
    <w:rsid w:val="005200E0"/>
    <w:rsid w:val="0052018F"/>
    <w:rsid w:val="00520221"/>
    <w:rsid w:val="00520256"/>
    <w:rsid w:val="00520609"/>
    <w:rsid w:val="005208FA"/>
    <w:rsid w:val="005209AE"/>
    <w:rsid w:val="005209BC"/>
    <w:rsid w:val="00520C19"/>
    <w:rsid w:val="00520F87"/>
    <w:rsid w:val="005212B1"/>
    <w:rsid w:val="0052136B"/>
    <w:rsid w:val="00521385"/>
    <w:rsid w:val="005215BC"/>
    <w:rsid w:val="0052172D"/>
    <w:rsid w:val="00521881"/>
    <w:rsid w:val="00521A4D"/>
    <w:rsid w:val="00521BB0"/>
    <w:rsid w:val="00521E89"/>
    <w:rsid w:val="0052238D"/>
    <w:rsid w:val="0052257B"/>
    <w:rsid w:val="0052264B"/>
    <w:rsid w:val="005228E7"/>
    <w:rsid w:val="00522A38"/>
    <w:rsid w:val="00522BB6"/>
    <w:rsid w:val="00522C33"/>
    <w:rsid w:val="00522C58"/>
    <w:rsid w:val="00522D53"/>
    <w:rsid w:val="00522F4C"/>
    <w:rsid w:val="00522FB5"/>
    <w:rsid w:val="00523025"/>
    <w:rsid w:val="00523303"/>
    <w:rsid w:val="005233AE"/>
    <w:rsid w:val="0052357A"/>
    <w:rsid w:val="0052387E"/>
    <w:rsid w:val="005239EF"/>
    <w:rsid w:val="00523C5C"/>
    <w:rsid w:val="00523DF0"/>
    <w:rsid w:val="0052408C"/>
    <w:rsid w:val="00524094"/>
    <w:rsid w:val="00524475"/>
    <w:rsid w:val="005244C9"/>
    <w:rsid w:val="00524582"/>
    <w:rsid w:val="0052474D"/>
    <w:rsid w:val="00524822"/>
    <w:rsid w:val="0052499E"/>
    <w:rsid w:val="00524B91"/>
    <w:rsid w:val="0052555B"/>
    <w:rsid w:val="0052577B"/>
    <w:rsid w:val="00525782"/>
    <w:rsid w:val="005257BD"/>
    <w:rsid w:val="00525961"/>
    <w:rsid w:val="00525A99"/>
    <w:rsid w:val="00525C03"/>
    <w:rsid w:val="00525C68"/>
    <w:rsid w:val="00525D01"/>
    <w:rsid w:val="00525DC8"/>
    <w:rsid w:val="00525E0D"/>
    <w:rsid w:val="00526053"/>
    <w:rsid w:val="00526091"/>
    <w:rsid w:val="005260B4"/>
    <w:rsid w:val="005261F2"/>
    <w:rsid w:val="005261F9"/>
    <w:rsid w:val="005263AC"/>
    <w:rsid w:val="00526526"/>
    <w:rsid w:val="0052659B"/>
    <w:rsid w:val="0052679E"/>
    <w:rsid w:val="00526E0C"/>
    <w:rsid w:val="00527172"/>
    <w:rsid w:val="0052742C"/>
    <w:rsid w:val="0052756C"/>
    <w:rsid w:val="005277B1"/>
    <w:rsid w:val="00527889"/>
    <w:rsid w:val="00527915"/>
    <w:rsid w:val="00527D48"/>
    <w:rsid w:val="00527E82"/>
    <w:rsid w:val="00527EFC"/>
    <w:rsid w:val="0053011D"/>
    <w:rsid w:val="00530437"/>
    <w:rsid w:val="00530522"/>
    <w:rsid w:val="005306B3"/>
    <w:rsid w:val="00530A76"/>
    <w:rsid w:val="00530C5D"/>
    <w:rsid w:val="00530C6C"/>
    <w:rsid w:val="00530DC3"/>
    <w:rsid w:val="00530E95"/>
    <w:rsid w:val="005310DB"/>
    <w:rsid w:val="0053148F"/>
    <w:rsid w:val="0053149A"/>
    <w:rsid w:val="00531526"/>
    <w:rsid w:val="00531615"/>
    <w:rsid w:val="0053179F"/>
    <w:rsid w:val="00531867"/>
    <w:rsid w:val="00531874"/>
    <w:rsid w:val="0053188A"/>
    <w:rsid w:val="005318DD"/>
    <w:rsid w:val="00531AA9"/>
    <w:rsid w:val="00531C10"/>
    <w:rsid w:val="00531DD2"/>
    <w:rsid w:val="00531DFF"/>
    <w:rsid w:val="00531FF8"/>
    <w:rsid w:val="00532084"/>
    <w:rsid w:val="00532101"/>
    <w:rsid w:val="005321E2"/>
    <w:rsid w:val="005323E2"/>
    <w:rsid w:val="00532587"/>
    <w:rsid w:val="00532839"/>
    <w:rsid w:val="0053293B"/>
    <w:rsid w:val="00532DDD"/>
    <w:rsid w:val="00532E9D"/>
    <w:rsid w:val="00532F21"/>
    <w:rsid w:val="00533014"/>
    <w:rsid w:val="00533131"/>
    <w:rsid w:val="005331BF"/>
    <w:rsid w:val="00533259"/>
    <w:rsid w:val="005332F6"/>
    <w:rsid w:val="0053355C"/>
    <w:rsid w:val="0053360C"/>
    <w:rsid w:val="00533677"/>
    <w:rsid w:val="00533792"/>
    <w:rsid w:val="005337A9"/>
    <w:rsid w:val="005337C0"/>
    <w:rsid w:val="005337C5"/>
    <w:rsid w:val="00533A1D"/>
    <w:rsid w:val="00533A3D"/>
    <w:rsid w:val="00533AE4"/>
    <w:rsid w:val="00533B54"/>
    <w:rsid w:val="00533CEB"/>
    <w:rsid w:val="00533D24"/>
    <w:rsid w:val="00533E89"/>
    <w:rsid w:val="00533F91"/>
    <w:rsid w:val="0053444F"/>
    <w:rsid w:val="005345D3"/>
    <w:rsid w:val="005347C1"/>
    <w:rsid w:val="0053488D"/>
    <w:rsid w:val="00534A43"/>
    <w:rsid w:val="00534E46"/>
    <w:rsid w:val="00534F05"/>
    <w:rsid w:val="00534F34"/>
    <w:rsid w:val="005351B2"/>
    <w:rsid w:val="005352E6"/>
    <w:rsid w:val="00535412"/>
    <w:rsid w:val="00535513"/>
    <w:rsid w:val="0053565D"/>
    <w:rsid w:val="00535690"/>
    <w:rsid w:val="00535B4E"/>
    <w:rsid w:val="00535E57"/>
    <w:rsid w:val="00535F49"/>
    <w:rsid w:val="00536094"/>
    <w:rsid w:val="005361D3"/>
    <w:rsid w:val="00536275"/>
    <w:rsid w:val="00536293"/>
    <w:rsid w:val="00536483"/>
    <w:rsid w:val="0053649D"/>
    <w:rsid w:val="005364E0"/>
    <w:rsid w:val="00536A20"/>
    <w:rsid w:val="00536B49"/>
    <w:rsid w:val="00536BBD"/>
    <w:rsid w:val="00536C3C"/>
    <w:rsid w:val="005372DE"/>
    <w:rsid w:val="00537393"/>
    <w:rsid w:val="0053745E"/>
    <w:rsid w:val="005375BC"/>
    <w:rsid w:val="005376EC"/>
    <w:rsid w:val="00537993"/>
    <w:rsid w:val="00537AE4"/>
    <w:rsid w:val="00537E26"/>
    <w:rsid w:val="0054028E"/>
    <w:rsid w:val="005402BB"/>
    <w:rsid w:val="005403B9"/>
    <w:rsid w:val="005406BF"/>
    <w:rsid w:val="005406CA"/>
    <w:rsid w:val="0054081D"/>
    <w:rsid w:val="00540E42"/>
    <w:rsid w:val="005410D9"/>
    <w:rsid w:val="0054142D"/>
    <w:rsid w:val="00541537"/>
    <w:rsid w:val="00541568"/>
    <w:rsid w:val="0054166B"/>
    <w:rsid w:val="005417CD"/>
    <w:rsid w:val="0054186E"/>
    <w:rsid w:val="00541899"/>
    <w:rsid w:val="005419D2"/>
    <w:rsid w:val="00541A92"/>
    <w:rsid w:val="00541C28"/>
    <w:rsid w:val="00541C71"/>
    <w:rsid w:val="00541D43"/>
    <w:rsid w:val="00541DAC"/>
    <w:rsid w:val="00541E57"/>
    <w:rsid w:val="00541E5D"/>
    <w:rsid w:val="00542664"/>
    <w:rsid w:val="00542951"/>
    <w:rsid w:val="005430D4"/>
    <w:rsid w:val="00543254"/>
    <w:rsid w:val="005432C6"/>
    <w:rsid w:val="00543392"/>
    <w:rsid w:val="0054342E"/>
    <w:rsid w:val="0054358A"/>
    <w:rsid w:val="00543726"/>
    <w:rsid w:val="00543745"/>
    <w:rsid w:val="005437AE"/>
    <w:rsid w:val="00543836"/>
    <w:rsid w:val="00543922"/>
    <w:rsid w:val="00543CB4"/>
    <w:rsid w:val="00543CE0"/>
    <w:rsid w:val="00543E5E"/>
    <w:rsid w:val="00543E6C"/>
    <w:rsid w:val="00544190"/>
    <w:rsid w:val="005441E2"/>
    <w:rsid w:val="00544811"/>
    <w:rsid w:val="00544873"/>
    <w:rsid w:val="005448CE"/>
    <w:rsid w:val="00544B1C"/>
    <w:rsid w:val="00544B2A"/>
    <w:rsid w:val="00544C73"/>
    <w:rsid w:val="00544DFF"/>
    <w:rsid w:val="00545613"/>
    <w:rsid w:val="005459A6"/>
    <w:rsid w:val="00545A95"/>
    <w:rsid w:val="00545F99"/>
    <w:rsid w:val="00545FE0"/>
    <w:rsid w:val="00546088"/>
    <w:rsid w:val="005460B1"/>
    <w:rsid w:val="005460B8"/>
    <w:rsid w:val="00546106"/>
    <w:rsid w:val="00546405"/>
    <w:rsid w:val="00546409"/>
    <w:rsid w:val="00546586"/>
    <w:rsid w:val="00546CBB"/>
    <w:rsid w:val="00546CF1"/>
    <w:rsid w:val="00547141"/>
    <w:rsid w:val="005474AA"/>
    <w:rsid w:val="005476B9"/>
    <w:rsid w:val="0054776F"/>
    <w:rsid w:val="005477B7"/>
    <w:rsid w:val="00547855"/>
    <w:rsid w:val="005479F3"/>
    <w:rsid w:val="00547CE6"/>
    <w:rsid w:val="00547E69"/>
    <w:rsid w:val="00547EC5"/>
    <w:rsid w:val="00550367"/>
    <w:rsid w:val="005504C1"/>
    <w:rsid w:val="00550580"/>
    <w:rsid w:val="005505C3"/>
    <w:rsid w:val="00550987"/>
    <w:rsid w:val="00550A22"/>
    <w:rsid w:val="00550A7E"/>
    <w:rsid w:val="00551189"/>
    <w:rsid w:val="005511AF"/>
    <w:rsid w:val="00551390"/>
    <w:rsid w:val="00551736"/>
    <w:rsid w:val="00551783"/>
    <w:rsid w:val="005517C5"/>
    <w:rsid w:val="00551960"/>
    <w:rsid w:val="0055199F"/>
    <w:rsid w:val="00551A71"/>
    <w:rsid w:val="00551E86"/>
    <w:rsid w:val="0055209B"/>
    <w:rsid w:val="005521A0"/>
    <w:rsid w:val="005524A6"/>
    <w:rsid w:val="00552770"/>
    <w:rsid w:val="0055286F"/>
    <w:rsid w:val="00552AE9"/>
    <w:rsid w:val="00552C80"/>
    <w:rsid w:val="00552D6A"/>
    <w:rsid w:val="00552EF1"/>
    <w:rsid w:val="00552F30"/>
    <w:rsid w:val="00552F5C"/>
    <w:rsid w:val="0055315A"/>
    <w:rsid w:val="00553205"/>
    <w:rsid w:val="00553245"/>
    <w:rsid w:val="005532EF"/>
    <w:rsid w:val="0055347A"/>
    <w:rsid w:val="00553791"/>
    <w:rsid w:val="00553949"/>
    <w:rsid w:val="00553B0C"/>
    <w:rsid w:val="00553CB5"/>
    <w:rsid w:val="00553CD9"/>
    <w:rsid w:val="00553D4A"/>
    <w:rsid w:val="00553E0F"/>
    <w:rsid w:val="00553E13"/>
    <w:rsid w:val="00553F19"/>
    <w:rsid w:val="00554234"/>
    <w:rsid w:val="00554684"/>
    <w:rsid w:val="00554711"/>
    <w:rsid w:val="0055479D"/>
    <w:rsid w:val="00554DCC"/>
    <w:rsid w:val="00554F1A"/>
    <w:rsid w:val="00555156"/>
    <w:rsid w:val="005551D6"/>
    <w:rsid w:val="0055526A"/>
    <w:rsid w:val="005552BD"/>
    <w:rsid w:val="005555CD"/>
    <w:rsid w:val="00555660"/>
    <w:rsid w:val="00555726"/>
    <w:rsid w:val="00555C5C"/>
    <w:rsid w:val="00555D31"/>
    <w:rsid w:val="0055628F"/>
    <w:rsid w:val="005563A7"/>
    <w:rsid w:val="00556601"/>
    <w:rsid w:val="0055660E"/>
    <w:rsid w:val="005566F3"/>
    <w:rsid w:val="005567FE"/>
    <w:rsid w:val="005569C2"/>
    <w:rsid w:val="00556A06"/>
    <w:rsid w:val="00556BBD"/>
    <w:rsid w:val="00556D9C"/>
    <w:rsid w:val="00557025"/>
    <w:rsid w:val="0055713D"/>
    <w:rsid w:val="005572F4"/>
    <w:rsid w:val="00557300"/>
    <w:rsid w:val="00557466"/>
    <w:rsid w:val="00557538"/>
    <w:rsid w:val="00557572"/>
    <w:rsid w:val="0055784D"/>
    <w:rsid w:val="00557A4C"/>
    <w:rsid w:val="00557C3C"/>
    <w:rsid w:val="00557D7F"/>
    <w:rsid w:val="00557F19"/>
    <w:rsid w:val="0056018D"/>
    <w:rsid w:val="005603E4"/>
    <w:rsid w:val="00560559"/>
    <w:rsid w:val="005607A5"/>
    <w:rsid w:val="005608A2"/>
    <w:rsid w:val="00560A37"/>
    <w:rsid w:val="00560BA0"/>
    <w:rsid w:val="00560BA6"/>
    <w:rsid w:val="00560BD7"/>
    <w:rsid w:val="00560D21"/>
    <w:rsid w:val="00560D5A"/>
    <w:rsid w:val="00560DD6"/>
    <w:rsid w:val="00560EB5"/>
    <w:rsid w:val="005611A4"/>
    <w:rsid w:val="0056122C"/>
    <w:rsid w:val="005613C0"/>
    <w:rsid w:val="00561892"/>
    <w:rsid w:val="00561973"/>
    <w:rsid w:val="00561BB3"/>
    <w:rsid w:val="00561CC4"/>
    <w:rsid w:val="00561E23"/>
    <w:rsid w:val="00561EC6"/>
    <w:rsid w:val="00561FF9"/>
    <w:rsid w:val="00562180"/>
    <w:rsid w:val="005621FD"/>
    <w:rsid w:val="0056234B"/>
    <w:rsid w:val="005623E0"/>
    <w:rsid w:val="00562480"/>
    <w:rsid w:val="00562614"/>
    <w:rsid w:val="0056263A"/>
    <w:rsid w:val="005627CC"/>
    <w:rsid w:val="005628BA"/>
    <w:rsid w:val="00562E3D"/>
    <w:rsid w:val="00562E64"/>
    <w:rsid w:val="005634AB"/>
    <w:rsid w:val="00563538"/>
    <w:rsid w:val="005638AA"/>
    <w:rsid w:val="00563C57"/>
    <w:rsid w:val="00563D58"/>
    <w:rsid w:val="0056418B"/>
    <w:rsid w:val="00564580"/>
    <w:rsid w:val="00564649"/>
    <w:rsid w:val="00564693"/>
    <w:rsid w:val="00564765"/>
    <w:rsid w:val="00564DFF"/>
    <w:rsid w:val="00564E25"/>
    <w:rsid w:val="00564E7B"/>
    <w:rsid w:val="00565104"/>
    <w:rsid w:val="005652B9"/>
    <w:rsid w:val="00565398"/>
    <w:rsid w:val="00565798"/>
    <w:rsid w:val="005657DA"/>
    <w:rsid w:val="0056582E"/>
    <w:rsid w:val="00565AA3"/>
    <w:rsid w:val="00565AC2"/>
    <w:rsid w:val="00565B42"/>
    <w:rsid w:val="00565BC5"/>
    <w:rsid w:val="00565E09"/>
    <w:rsid w:val="00565E0A"/>
    <w:rsid w:val="00565F17"/>
    <w:rsid w:val="005660C8"/>
    <w:rsid w:val="00566173"/>
    <w:rsid w:val="0056622A"/>
    <w:rsid w:val="00566279"/>
    <w:rsid w:val="0056630B"/>
    <w:rsid w:val="0056651A"/>
    <w:rsid w:val="005666A3"/>
    <w:rsid w:val="0056688E"/>
    <w:rsid w:val="005668E6"/>
    <w:rsid w:val="005669DF"/>
    <w:rsid w:val="00566A6F"/>
    <w:rsid w:val="00566A84"/>
    <w:rsid w:val="00566BA7"/>
    <w:rsid w:val="00566CAE"/>
    <w:rsid w:val="00566D8E"/>
    <w:rsid w:val="00566F73"/>
    <w:rsid w:val="005670E1"/>
    <w:rsid w:val="00567191"/>
    <w:rsid w:val="00567260"/>
    <w:rsid w:val="005672A9"/>
    <w:rsid w:val="0056730E"/>
    <w:rsid w:val="005674AB"/>
    <w:rsid w:val="0056771E"/>
    <w:rsid w:val="00567724"/>
    <w:rsid w:val="00567852"/>
    <w:rsid w:val="005679F0"/>
    <w:rsid w:val="00567AC9"/>
    <w:rsid w:val="00567AD0"/>
    <w:rsid w:val="00567D6C"/>
    <w:rsid w:val="00567E1A"/>
    <w:rsid w:val="00567EF6"/>
    <w:rsid w:val="00567EFC"/>
    <w:rsid w:val="00570069"/>
    <w:rsid w:val="00570545"/>
    <w:rsid w:val="005706EC"/>
    <w:rsid w:val="00570953"/>
    <w:rsid w:val="00570AF4"/>
    <w:rsid w:val="00570B35"/>
    <w:rsid w:val="00570CB4"/>
    <w:rsid w:val="00570D49"/>
    <w:rsid w:val="00570FAC"/>
    <w:rsid w:val="005711E5"/>
    <w:rsid w:val="0057130D"/>
    <w:rsid w:val="005714BB"/>
    <w:rsid w:val="005715D1"/>
    <w:rsid w:val="005717F5"/>
    <w:rsid w:val="00571C88"/>
    <w:rsid w:val="00571E44"/>
    <w:rsid w:val="00571E83"/>
    <w:rsid w:val="00571F1D"/>
    <w:rsid w:val="00572073"/>
    <w:rsid w:val="0057211B"/>
    <w:rsid w:val="0057226D"/>
    <w:rsid w:val="005723F0"/>
    <w:rsid w:val="0057250C"/>
    <w:rsid w:val="00572599"/>
    <w:rsid w:val="00572676"/>
    <w:rsid w:val="005726D8"/>
    <w:rsid w:val="00572703"/>
    <w:rsid w:val="005727D6"/>
    <w:rsid w:val="00572836"/>
    <w:rsid w:val="00572996"/>
    <w:rsid w:val="00572A7B"/>
    <w:rsid w:val="00572A9B"/>
    <w:rsid w:val="00572CCE"/>
    <w:rsid w:val="00572D74"/>
    <w:rsid w:val="00572DF1"/>
    <w:rsid w:val="00572F11"/>
    <w:rsid w:val="00573256"/>
    <w:rsid w:val="005732D9"/>
    <w:rsid w:val="005734DA"/>
    <w:rsid w:val="0057358D"/>
    <w:rsid w:val="005738D4"/>
    <w:rsid w:val="00573ED4"/>
    <w:rsid w:val="00574180"/>
    <w:rsid w:val="005741FF"/>
    <w:rsid w:val="005746FC"/>
    <w:rsid w:val="0057489F"/>
    <w:rsid w:val="00574C7A"/>
    <w:rsid w:val="00574E46"/>
    <w:rsid w:val="00574EDF"/>
    <w:rsid w:val="00574FCB"/>
    <w:rsid w:val="0057558F"/>
    <w:rsid w:val="005755F4"/>
    <w:rsid w:val="00575677"/>
    <w:rsid w:val="00575732"/>
    <w:rsid w:val="005757C4"/>
    <w:rsid w:val="0057587D"/>
    <w:rsid w:val="005759CF"/>
    <w:rsid w:val="00575B0F"/>
    <w:rsid w:val="00575D3C"/>
    <w:rsid w:val="00575ED2"/>
    <w:rsid w:val="00576040"/>
    <w:rsid w:val="00576091"/>
    <w:rsid w:val="005761D9"/>
    <w:rsid w:val="005762B8"/>
    <w:rsid w:val="00576359"/>
    <w:rsid w:val="005763CA"/>
    <w:rsid w:val="005763E8"/>
    <w:rsid w:val="005764BF"/>
    <w:rsid w:val="0057661F"/>
    <w:rsid w:val="0057672A"/>
    <w:rsid w:val="0057673D"/>
    <w:rsid w:val="00576864"/>
    <w:rsid w:val="00576A1B"/>
    <w:rsid w:val="00576C34"/>
    <w:rsid w:val="005770E8"/>
    <w:rsid w:val="00577271"/>
    <w:rsid w:val="0057742B"/>
    <w:rsid w:val="0057749F"/>
    <w:rsid w:val="005775E9"/>
    <w:rsid w:val="005776FA"/>
    <w:rsid w:val="005778D4"/>
    <w:rsid w:val="00577A38"/>
    <w:rsid w:val="00577B66"/>
    <w:rsid w:val="00577D27"/>
    <w:rsid w:val="00577D6D"/>
    <w:rsid w:val="00577DC8"/>
    <w:rsid w:val="00577E28"/>
    <w:rsid w:val="005804D8"/>
    <w:rsid w:val="00580604"/>
    <w:rsid w:val="00580701"/>
    <w:rsid w:val="005807DA"/>
    <w:rsid w:val="0058082A"/>
    <w:rsid w:val="00580977"/>
    <w:rsid w:val="00580A48"/>
    <w:rsid w:val="00580B79"/>
    <w:rsid w:val="00580BA5"/>
    <w:rsid w:val="00580BE3"/>
    <w:rsid w:val="00581055"/>
    <w:rsid w:val="005810B7"/>
    <w:rsid w:val="0058124C"/>
    <w:rsid w:val="00581266"/>
    <w:rsid w:val="005812A2"/>
    <w:rsid w:val="005814DC"/>
    <w:rsid w:val="00581868"/>
    <w:rsid w:val="00581A67"/>
    <w:rsid w:val="00581B35"/>
    <w:rsid w:val="00581C2F"/>
    <w:rsid w:val="00581DCF"/>
    <w:rsid w:val="00581E7F"/>
    <w:rsid w:val="00581EA6"/>
    <w:rsid w:val="00581EFE"/>
    <w:rsid w:val="00582039"/>
    <w:rsid w:val="005820DD"/>
    <w:rsid w:val="0058227D"/>
    <w:rsid w:val="005824E8"/>
    <w:rsid w:val="00582508"/>
    <w:rsid w:val="00582512"/>
    <w:rsid w:val="0058274C"/>
    <w:rsid w:val="00582797"/>
    <w:rsid w:val="005828AA"/>
    <w:rsid w:val="005829A1"/>
    <w:rsid w:val="00582AED"/>
    <w:rsid w:val="00582B1F"/>
    <w:rsid w:val="00582C5B"/>
    <w:rsid w:val="00582D75"/>
    <w:rsid w:val="00582DD2"/>
    <w:rsid w:val="00583095"/>
    <w:rsid w:val="00583175"/>
    <w:rsid w:val="0058324C"/>
    <w:rsid w:val="005833D8"/>
    <w:rsid w:val="00583503"/>
    <w:rsid w:val="00583895"/>
    <w:rsid w:val="005838AF"/>
    <w:rsid w:val="00583980"/>
    <w:rsid w:val="00583A34"/>
    <w:rsid w:val="00583AEE"/>
    <w:rsid w:val="00583BA8"/>
    <w:rsid w:val="00583E8B"/>
    <w:rsid w:val="00583FDE"/>
    <w:rsid w:val="0058412D"/>
    <w:rsid w:val="00584217"/>
    <w:rsid w:val="00584420"/>
    <w:rsid w:val="005849EA"/>
    <w:rsid w:val="00584A36"/>
    <w:rsid w:val="00584B3A"/>
    <w:rsid w:val="00584BE2"/>
    <w:rsid w:val="00584BE3"/>
    <w:rsid w:val="00584C56"/>
    <w:rsid w:val="0058508F"/>
    <w:rsid w:val="0058509F"/>
    <w:rsid w:val="00585333"/>
    <w:rsid w:val="0058539F"/>
    <w:rsid w:val="005856FB"/>
    <w:rsid w:val="0058577F"/>
    <w:rsid w:val="00585909"/>
    <w:rsid w:val="00585D41"/>
    <w:rsid w:val="00585E22"/>
    <w:rsid w:val="00586071"/>
    <w:rsid w:val="00586151"/>
    <w:rsid w:val="005863AE"/>
    <w:rsid w:val="00586420"/>
    <w:rsid w:val="00586492"/>
    <w:rsid w:val="005864B0"/>
    <w:rsid w:val="005865D0"/>
    <w:rsid w:val="0058664B"/>
    <w:rsid w:val="00586A8E"/>
    <w:rsid w:val="00586B0E"/>
    <w:rsid w:val="00586BA4"/>
    <w:rsid w:val="00586DC1"/>
    <w:rsid w:val="00586F86"/>
    <w:rsid w:val="00586FBF"/>
    <w:rsid w:val="0058722B"/>
    <w:rsid w:val="0058725E"/>
    <w:rsid w:val="005872B2"/>
    <w:rsid w:val="005873FF"/>
    <w:rsid w:val="005875FD"/>
    <w:rsid w:val="00587636"/>
    <w:rsid w:val="005876F0"/>
    <w:rsid w:val="00587C1B"/>
    <w:rsid w:val="00587C67"/>
    <w:rsid w:val="00587C9F"/>
    <w:rsid w:val="00587DB6"/>
    <w:rsid w:val="0059029F"/>
    <w:rsid w:val="00590322"/>
    <w:rsid w:val="005904C3"/>
    <w:rsid w:val="00590699"/>
    <w:rsid w:val="005906AE"/>
    <w:rsid w:val="005907A5"/>
    <w:rsid w:val="005909A6"/>
    <w:rsid w:val="00590A73"/>
    <w:rsid w:val="00590B40"/>
    <w:rsid w:val="00590C47"/>
    <w:rsid w:val="00590FD9"/>
    <w:rsid w:val="0059100D"/>
    <w:rsid w:val="005912F1"/>
    <w:rsid w:val="005917A6"/>
    <w:rsid w:val="00591A02"/>
    <w:rsid w:val="00591B7C"/>
    <w:rsid w:val="00591DCA"/>
    <w:rsid w:val="00591FA1"/>
    <w:rsid w:val="00592055"/>
    <w:rsid w:val="005922DF"/>
    <w:rsid w:val="005922E4"/>
    <w:rsid w:val="00592443"/>
    <w:rsid w:val="005925C2"/>
    <w:rsid w:val="00592A39"/>
    <w:rsid w:val="00592ADC"/>
    <w:rsid w:val="00592CA3"/>
    <w:rsid w:val="00592D52"/>
    <w:rsid w:val="00592D5B"/>
    <w:rsid w:val="00592D99"/>
    <w:rsid w:val="00592DC5"/>
    <w:rsid w:val="00592E9D"/>
    <w:rsid w:val="00592F0D"/>
    <w:rsid w:val="005932AB"/>
    <w:rsid w:val="005932F6"/>
    <w:rsid w:val="0059337A"/>
    <w:rsid w:val="005933CA"/>
    <w:rsid w:val="005934E2"/>
    <w:rsid w:val="005935A8"/>
    <w:rsid w:val="0059380B"/>
    <w:rsid w:val="005939EB"/>
    <w:rsid w:val="0059442D"/>
    <w:rsid w:val="005944B3"/>
    <w:rsid w:val="005944C2"/>
    <w:rsid w:val="0059458A"/>
    <w:rsid w:val="00594698"/>
    <w:rsid w:val="005946E7"/>
    <w:rsid w:val="0059479E"/>
    <w:rsid w:val="00594874"/>
    <w:rsid w:val="00594987"/>
    <w:rsid w:val="00594B03"/>
    <w:rsid w:val="00594C98"/>
    <w:rsid w:val="00594F76"/>
    <w:rsid w:val="0059501B"/>
    <w:rsid w:val="005953C9"/>
    <w:rsid w:val="005954A4"/>
    <w:rsid w:val="005955F4"/>
    <w:rsid w:val="005957B9"/>
    <w:rsid w:val="00595B2C"/>
    <w:rsid w:val="00595D13"/>
    <w:rsid w:val="00595D73"/>
    <w:rsid w:val="00595E31"/>
    <w:rsid w:val="00595F53"/>
    <w:rsid w:val="00595FE2"/>
    <w:rsid w:val="005961A1"/>
    <w:rsid w:val="0059634A"/>
    <w:rsid w:val="005963B4"/>
    <w:rsid w:val="005963EB"/>
    <w:rsid w:val="005964D7"/>
    <w:rsid w:val="0059660D"/>
    <w:rsid w:val="00596626"/>
    <w:rsid w:val="0059691C"/>
    <w:rsid w:val="00596A2B"/>
    <w:rsid w:val="00596AC4"/>
    <w:rsid w:val="00596BE5"/>
    <w:rsid w:val="00596C33"/>
    <w:rsid w:val="00596E72"/>
    <w:rsid w:val="005970CF"/>
    <w:rsid w:val="0059746D"/>
    <w:rsid w:val="005975A6"/>
    <w:rsid w:val="005975F3"/>
    <w:rsid w:val="00597755"/>
    <w:rsid w:val="005977C8"/>
    <w:rsid w:val="005978FB"/>
    <w:rsid w:val="00597931"/>
    <w:rsid w:val="005979FB"/>
    <w:rsid w:val="00597B4F"/>
    <w:rsid w:val="00597CDF"/>
    <w:rsid w:val="00597D4D"/>
    <w:rsid w:val="00597D84"/>
    <w:rsid w:val="00597D89"/>
    <w:rsid w:val="00597E11"/>
    <w:rsid w:val="00597E96"/>
    <w:rsid w:val="005A00CB"/>
    <w:rsid w:val="005A00F7"/>
    <w:rsid w:val="005A0224"/>
    <w:rsid w:val="005A02BE"/>
    <w:rsid w:val="005A033D"/>
    <w:rsid w:val="005A03F9"/>
    <w:rsid w:val="005A08B8"/>
    <w:rsid w:val="005A097D"/>
    <w:rsid w:val="005A0A8E"/>
    <w:rsid w:val="005A0A9F"/>
    <w:rsid w:val="005A0B82"/>
    <w:rsid w:val="005A0BD5"/>
    <w:rsid w:val="005A0C40"/>
    <w:rsid w:val="005A0C88"/>
    <w:rsid w:val="005A0CED"/>
    <w:rsid w:val="005A0DC1"/>
    <w:rsid w:val="005A0EAF"/>
    <w:rsid w:val="005A111E"/>
    <w:rsid w:val="005A1120"/>
    <w:rsid w:val="005A11DF"/>
    <w:rsid w:val="005A1245"/>
    <w:rsid w:val="005A15F2"/>
    <w:rsid w:val="005A18A1"/>
    <w:rsid w:val="005A1933"/>
    <w:rsid w:val="005A1A64"/>
    <w:rsid w:val="005A1D16"/>
    <w:rsid w:val="005A266F"/>
    <w:rsid w:val="005A2AD7"/>
    <w:rsid w:val="005A2B94"/>
    <w:rsid w:val="005A2C40"/>
    <w:rsid w:val="005A2FAB"/>
    <w:rsid w:val="005A3614"/>
    <w:rsid w:val="005A3694"/>
    <w:rsid w:val="005A38F6"/>
    <w:rsid w:val="005A3A76"/>
    <w:rsid w:val="005A3AE4"/>
    <w:rsid w:val="005A3AED"/>
    <w:rsid w:val="005A3FC8"/>
    <w:rsid w:val="005A40FF"/>
    <w:rsid w:val="005A4715"/>
    <w:rsid w:val="005A4893"/>
    <w:rsid w:val="005A5461"/>
    <w:rsid w:val="005A5677"/>
    <w:rsid w:val="005A56FB"/>
    <w:rsid w:val="005A5A5D"/>
    <w:rsid w:val="005A5ACF"/>
    <w:rsid w:val="005A5DA7"/>
    <w:rsid w:val="005A5F96"/>
    <w:rsid w:val="005A6276"/>
    <w:rsid w:val="005A635C"/>
    <w:rsid w:val="005A63DE"/>
    <w:rsid w:val="005A6558"/>
    <w:rsid w:val="005A66CB"/>
    <w:rsid w:val="005A6755"/>
    <w:rsid w:val="005A679F"/>
    <w:rsid w:val="005A698E"/>
    <w:rsid w:val="005A69A9"/>
    <w:rsid w:val="005A6B64"/>
    <w:rsid w:val="005A6DCB"/>
    <w:rsid w:val="005A6FD1"/>
    <w:rsid w:val="005A70B8"/>
    <w:rsid w:val="005A7305"/>
    <w:rsid w:val="005A732D"/>
    <w:rsid w:val="005A74A5"/>
    <w:rsid w:val="005A74CF"/>
    <w:rsid w:val="005A7650"/>
    <w:rsid w:val="005A76DE"/>
    <w:rsid w:val="005A796C"/>
    <w:rsid w:val="005A79E9"/>
    <w:rsid w:val="005A7C62"/>
    <w:rsid w:val="005A7D0A"/>
    <w:rsid w:val="005A7DB8"/>
    <w:rsid w:val="005B0140"/>
    <w:rsid w:val="005B01F6"/>
    <w:rsid w:val="005B04C8"/>
    <w:rsid w:val="005B0740"/>
    <w:rsid w:val="005B079A"/>
    <w:rsid w:val="005B0AC8"/>
    <w:rsid w:val="005B0C50"/>
    <w:rsid w:val="005B12F3"/>
    <w:rsid w:val="005B169A"/>
    <w:rsid w:val="005B16BD"/>
    <w:rsid w:val="005B1B86"/>
    <w:rsid w:val="005B1C1E"/>
    <w:rsid w:val="005B1C37"/>
    <w:rsid w:val="005B1C3C"/>
    <w:rsid w:val="005B1DD9"/>
    <w:rsid w:val="005B1E5A"/>
    <w:rsid w:val="005B1ECC"/>
    <w:rsid w:val="005B20B4"/>
    <w:rsid w:val="005B21BD"/>
    <w:rsid w:val="005B221A"/>
    <w:rsid w:val="005B2403"/>
    <w:rsid w:val="005B25B7"/>
    <w:rsid w:val="005B290D"/>
    <w:rsid w:val="005B2962"/>
    <w:rsid w:val="005B30CE"/>
    <w:rsid w:val="005B3190"/>
    <w:rsid w:val="005B31A8"/>
    <w:rsid w:val="005B32AE"/>
    <w:rsid w:val="005B35B4"/>
    <w:rsid w:val="005B3735"/>
    <w:rsid w:val="005B3B8E"/>
    <w:rsid w:val="005B3FC2"/>
    <w:rsid w:val="005B4218"/>
    <w:rsid w:val="005B4339"/>
    <w:rsid w:val="005B4703"/>
    <w:rsid w:val="005B47B4"/>
    <w:rsid w:val="005B4883"/>
    <w:rsid w:val="005B48E8"/>
    <w:rsid w:val="005B4AD2"/>
    <w:rsid w:val="005B4CC0"/>
    <w:rsid w:val="005B4CD6"/>
    <w:rsid w:val="005B4FB2"/>
    <w:rsid w:val="005B515C"/>
    <w:rsid w:val="005B52F4"/>
    <w:rsid w:val="005B5376"/>
    <w:rsid w:val="005B5395"/>
    <w:rsid w:val="005B5479"/>
    <w:rsid w:val="005B550B"/>
    <w:rsid w:val="005B550F"/>
    <w:rsid w:val="005B5575"/>
    <w:rsid w:val="005B55CF"/>
    <w:rsid w:val="005B5941"/>
    <w:rsid w:val="005B59E8"/>
    <w:rsid w:val="005B5CDB"/>
    <w:rsid w:val="005B5D0F"/>
    <w:rsid w:val="005B5DDF"/>
    <w:rsid w:val="005B6028"/>
    <w:rsid w:val="005B606A"/>
    <w:rsid w:val="005B6778"/>
    <w:rsid w:val="005B6A13"/>
    <w:rsid w:val="005B6A74"/>
    <w:rsid w:val="005B6EDD"/>
    <w:rsid w:val="005B70F3"/>
    <w:rsid w:val="005B7668"/>
    <w:rsid w:val="005B7ECA"/>
    <w:rsid w:val="005C0096"/>
    <w:rsid w:val="005C05C0"/>
    <w:rsid w:val="005C05D8"/>
    <w:rsid w:val="005C0E8A"/>
    <w:rsid w:val="005C10FE"/>
    <w:rsid w:val="005C13AE"/>
    <w:rsid w:val="005C13FC"/>
    <w:rsid w:val="005C1525"/>
    <w:rsid w:val="005C1644"/>
    <w:rsid w:val="005C1716"/>
    <w:rsid w:val="005C1EEB"/>
    <w:rsid w:val="005C2050"/>
    <w:rsid w:val="005C2191"/>
    <w:rsid w:val="005C2450"/>
    <w:rsid w:val="005C24DF"/>
    <w:rsid w:val="005C24EA"/>
    <w:rsid w:val="005C24F7"/>
    <w:rsid w:val="005C268B"/>
    <w:rsid w:val="005C29E4"/>
    <w:rsid w:val="005C2A03"/>
    <w:rsid w:val="005C2C46"/>
    <w:rsid w:val="005C2D29"/>
    <w:rsid w:val="005C2D32"/>
    <w:rsid w:val="005C2DB5"/>
    <w:rsid w:val="005C2E04"/>
    <w:rsid w:val="005C2F96"/>
    <w:rsid w:val="005C3497"/>
    <w:rsid w:val="005C3576"/>
    <w:rsid w:val="005C35A0"/>
    <w:rsid w:val="005C36C3"/>
    <w:rsid w:val="005C377B"/>
    <w:rsid w:val="005C395E"/>
    <w:rsid w:val="005C39B9"/>
    <w:rsid w:val="005C3B20"/>
    <w:rsid w:val="005C3B25"/>
    <w:rsid w:val="005C3B3E"/>
    <w:rsid w:val="005C3BA9"/>
    <w:rsid w:val="005C3D7C"/>
    <w:rsid w:val="005C3F1A"/>
    <w:rsid w:val="005C3F35"/>
    <w:rsid w:val="005C3F90"/>
    <w:rsid w:val="005C3F9C"/>
    <w:rsid w:val="005C43FF"/>
    <w:rsid w:val="005C44F2"/>
    <w:rsid w:val="005C4659"/>
    <w:rsid w:val="005C47EC"/>
    <w:rsid w:val="005C4871"/>
    <w:rsid w:val="005C48DB"/>
    <w:rsid w:val="005C4EFB"/>
    <w:rsid w:val="005C4FA6"/>
    <w:rsid w:val="005C51D5"/>
    <w:rsid w:val="005C5411"/>
    <w:rsid w:val="005C54DA"/>
    <w:rsid w:val="005C5771"/>
    <w:rsid w:val="005C578E"/>
    <w:rsid w:val="005C5917"/>
    <w:rsid w:val="005C5936"/>
    <w:rsid w:val="005C59F3"/>
    <w:rsid w:val="005C5A86"/>
    <w:rsid w:val="005C5B8A"/>
    <w:rsid w:val="005C5C42"/>
    <w:rsid w:val="005C5F04"/>
    <w:rsid w:val="005C6051"/>
    <w:rsid w:val="005C61FE"/>
    <w:rsid w:val="005C6296"/>
    <w:rsid w:val="005C646B"/>
    <w:rsid w:val="005C67A5"/>
    <w:rsid w:val="005C67F2"/>
    <w:rsid w:val="005C6A46"/>
    <w:rsid w:val="005C6A8F"/>
    <w:rsid w:val="005C6C4F"/>
    <w:rsid w:val="005C6F2A"/>
    <w:rsid w:val="005C7062"/>
    <w:rsid w:val="005C70B9"/>
    <w:rsid w:val="005C714E"/>
    <w:rsid w:val="005C730C"/>
    <w:rsid w:val="005C7317"/>
    <w:rsid w:val="005C742F"/>
    <w:rsid w:val="005C745A"/>
    <w:rsid w:val="005C79B5"/>
    <w:rsid w:val="005C7E82"/>
    <w:rsid w:val="005D00FB"/>
    <w:rsid w:val="005D04B8"/>
    <w:rsid w:val="005D04FD"/>
    <w:rsid w:val="005D0592"/>
    <w:rsid w:val="005D05AB"/>
    <w:rsid w:val="005D05CE"/>
    <w:rsid w:val="005D065A"/>
    <w:rsid w:val="005D0840"/>
    <w:rsid w:val="005D0ACB"/>
    <w:rsid w:val="005D0B67"/>
    <w:rsid w:val="005D0E8C"/>
    <w:rsid w:val="005D0F43"/>
    <w:rsid w:val="005D13A4"/>
    <w:rsid w:val="005D13C4"/>
    <w:rsid w:val="005D13D3"/>
    <w:rsid w:val="005D1562"/>
    <w:rsid w:val="005D17DF"/>
    <w:rsid w:val="005D1806"/>
    <w:rsid w:val="005D186C"/>
    <w:rsid w:val="005D1A9F"/>
    <w:rsid w:val="005D1ADA"/>
    <w:rsid w:val="005D1D05"/>
    <w:rsid w:val="005D1FC8"/>
    <w:rsid w:val="005D202D"/>
    <w:rsid w:val="005D20AF"/>
    <w:rsid w:val="005D20F6"/>
    <w:rsid w:val="005D249E"/>
    <w:rsid w:val="005D28A7"/>
    <w:rsid w:val="005D293E"/>
    <w:rsid w:val="005D2D69"/>
    <w:rsid w:val="005D332A"/>
    <w:rsid w:val="005D349D"/>
    <w:rsid w:val="005D3820"/>
    <w:rsid w:val="005D3A5A"/>
    <w:rsid w:val="005D3AB2"/>
    <w:rsid w:val="005D3E78"/>
    <w:rsid w:val="005D3F3C"/>
    <w:rsid w:val="005D3F64"/>
    <w:rsid w:val="005D40B5"/>
    <w:rsid w:val="005D4161"/>
    <w:rsid w:val="005D4197"/>
    <w:rsid w:val="005D473B"/>
    <w:rsid w:val="005D481B"/>
    <w:rsid w:val="005D483C"/>
    <w:rsid w:val="005D48D0"/>
    <w:rsid w:val="005D4A93"/>
    <w:rsid w:val="005D4D1A"/>
    <w:rsid w:val="005D4D23"/>
    <w:rsid w:val="005D4D4B"/>
    <w:rsid w:val="005D4EBC"/>
    <w:rsid w:val="005D4FAC"/>
    <w:rsid w:val="005D5167"/>
    <w:rsid w:val="005D5187"/>
    <w:rsid w:val="005D52BE"/>
    <w:rsid w:val="005D52ED"/>
    <w:rsid w:val="005D5332"/>
    <w:rsid w:val="005D546E"/>
    <w:rsid w:val="005D557F"/>
    <w:rsid w:val="005D5674"/>
    <w:rsid w:val="005D5781"/>
    <w:rsid w:val="005D57BD"/>
    <w:rsid w:val="005D5851"/>
    <w:rsid w:val="005D5B52"/>
    <w:rsid w:val="005D5B9F"/>
    <w:rsid w:val="005D5F5B"/>
    <w:rsid w:val="005D63C9"/>
    <w:rsid w:val="005D63F7"/>
    <w:rsid w:val="005D67C4"/>
    <w:rsid w:val="005D67DF"/>
    <w:rsid w:val="005D6A9C"/>
    <w:rsid w:val="005D6ADD"/>
    <w:rsid w:val="005D6B55"/>
    <w:rsid w:val="005D6B62"/>
    <w:rsid w:val="005D6CE1"/>
    <w:rsid w:val="005D6FA3"/>
    <w:rsid w:val="005D737C"/>
    <w:rsid w:val="005D75FC"/>
    <w:rsid w:val="005D7A2B"/>
    <w:rsid w:val="005D7E34"/>
    <w:rsid w:val="005E0019"/>
    <w:rsid w:val="005E017B"/>
    <w:rsid w:val="005E02E6"/>
    <w:rsid w:val="005E030C"/>
    <w:rsid w:val="005E0374"/>
    <w:rsid w:val="005E0432"/>
    <w:rsid w:val="005E0685"/>
    <w:rsid w:val="005E0704"/>
    <w:rsid w:val="005E090E"/>
    <w:rsid w:val="005E095A"/>
    <w:rsid w:val="005E0D56"/>
    <w:rsid w:val="005E0EA8"/>
    <w:rsid w:val="005E10A1"/>
    <w:rsid w:val="005E12DB"/>
    <w:rsid w:val="005E13EB"/>
    <w:rsid w:val="005E143C"/>
    <w:rsid w:val="005E195C"/>
    <w:rsid w:val="005E1A21"/>
    <w:rsid w:val="005E1A7F"/>
    <w:rsid w:val="005E1AF8"/>
    <w:rsid w:val="005E1C9F"/>
    <w:rsid w:val="005E1E4C"/>
    <w:rsid w:val="005E1F94"/>
    <w:rsid w:val="005E24B6"/>
    <w:rsid w:val="005E254D"/>
    <w:rsid w:val="005E25DE"/>
    <w:rsid w:val="005E2673"/>
    <w:rsid w:val="005E26E1"/>
    <w:rsid w:val="005E291E"/>
    <w:rsid w:val="005E2ACD"/>
    <w:rsid w:val="005E2BDF"/>
    <w:rsid w:val="005E2CEF"/>
    <w:rsid w:val="005E2EA1"/>
    <w:rsid w:val="005E2FB2"/>
    <w:rsid w:val="005E2FE9"/>
    <w:rsid w:val="005E307D"/>
    <w:rsid w:val="005E31A5"/>
    <w:rsid w:val="005E33B9"/>
    <w:rsid w:val="005E35DF"/>
    <w:rsid w:val="005E365D"/>
    <w:rsid w:val="005E36E6"/>
    <w:rsid w:val="005E3785"/>
    <w:rsid w:val="005E391F"/>
    <w:rsid w:val="005E3941"/>
    <w:rsid w:val="005E3C0A"/>
    <w:rsid w:val="005E428D"/>
    <w:rsid w:val="005E4484"/>
    <w:rsid w:val="005E45DE"/>
    <w:rsid w:val="005E48BD"/>
    <w:rsid w:val="005E4B6F"/>
    <w:rsid w:val="005E4D5B"/>
    <w:rsid w:val="005E4EDA"/>
    <w:rsid w:val="005E4EEB"/>
    <w:rsid w:val="005E54B1"/>
    <w:rsid w:val="005E56D8"/>
    <w:rsid w:val="005E59A2"/>
    <w:rsid w:val="005E5A32"/>
    <w:rsid w:val="005E5E4F"/>
    <w:rsid w:val="005E5F51"/>
    <w:rsid w:val="005E5FE9"/>
    <w:rsid w:val="005E6000"/>
    <w:rsid w:val="005E622B"/>
    <w:rsid w:val="005E6598"/>
    <w:rsid w:val="005E6780"/>
    <w:rsid w:val="005E6AEC"/>
    <w:rsid w:val="005E6DBB"/>
    <w:rsid w:val="005E6FC0"/>
    <w:rsid w:val="005E718A"/>
    <w:rsid w:val="005E7438"/>
    <w:rsid w:val="005E74A4"/>
    <w:rsid w:val="005E7505"/>
    <w:rsid w:val="005E7BA7"/>
    <w:rsid w:val="005E7BF2"/>
    <w:rsid w:val="005E7E20"/>
    <w:rsid w:val="005F0200"/>
    <w:rsid w:val="005F03DB"/>
    <w:rsid w:val="005F050F"/>
    <w:rsid w:val="005F0638"/>
    <w:rsid w:val="005F07D5"/>
    <w:rsid w:val="005F085E"/>
    <w:rsid w:val="005F0A5B"/>
    <w:rsid w:val="005F0CCA"/>
    <w:rsid w:val="005F0D9E"/>
    <w:rsid w:val="005F0DDC"/>
    <w:rsid w:val="005F121F"/>
    <w:rsid w:val="005F1278"/>
    <w:rsid w:val="005F130A"/>
    <w:rsid w:val="005F1675"/>
    <w:rsid w:val="005F169D"/>
    <w:rsid w:val="005F17B0"/>
    <w:rsid w:val="005F1A03"/>
    <w:rsid w:val="005F1C8F"/>
    <w:rsid w:val="005F1E62"/>
    <w:rsid w:val="005F1E63"/>
    <w:rsid w:val="005F200D"/>
    <w:rsid w:val="005F2175"/>
    <w:rsid w:val="005F2333"/>
    <w:rsid w:val="005F2573"/>
    <w:rsid w:val="005F26BE"/>
    <w:rsid w:val="005F278A"/>
    <w:rsid w:val="005F27E0"/>
    <w:rsid w:val="005F28D4"/>
    <w:rsid w:val="005F296D"/>
    <w:rsid w:val="005F2BC7"/>
    <w:rsid w:val="005F2DDA"/>
    <w:rsid w:val="005F32AA"/>
    <w:rsid w:val="005F3368"/>
    <w:rsid w:val="005F379B"/>
    <w:rsid w:val="005F37E0"/>
    <w:rsid w:val="005F3871"/>
    <w:rsid w:val="005F3CFC"/>
    <w:rsid w:val="005F3D39"/>
    <w:rsid w:val="005F3E48"/>
    <w:rsid w:val="005F3ED0"/>
    <w:rsid w:val="005F405E"/>
    <w:rsid w:val="005F4647"/>
    <w:rsid w:val="005F49EC"/>
    <w:rsid w:val="005F4C43"/>
    <w:rsid w:val="005F4C82"/>
    <w:rsid w:val="005F4CB9"/>
    <w:rsid w:val="005F4CBA"/>
    <w:rsid w:val="005F4DB3"/>
    <w:rsid w:val="005F4F5E"/>
    <w:rsid w:val="005F5587"/>
    <w:rsid w:val="005F5645"/>
    <w:rsid w:val="005F564C"/>
    <w:rsid w:val="005F56DF"/>
    <w:rsid w:val="005F56F6"/>
    <w:rsid w:val="005F5849"/>
    <w:rsid w:val="005F5AAA"/>
    <w:rsid w:val="005F5F68"/>
    <w:rsid w:val="005F6089"/>
    <w:rsid w:val="005F64DB"/>
    <w:rsid w:val="005F6533"/>
    <w:rsid w:val="005F654B"/>
    <w:rsid w:val="005F6893"/>
    <w:rsid w:val="005F698D"/>
    <w:rsid w:val="005F6E9B"/>
    <w:rsid w:val="005F6F23"/>
    <w:rsid w:val="005F6F7E"/>
    <w:rsid w:val="005F707A"/>
    <w:rsid w:val="005F725F"/>
    <w:rsid w:val="005F728A"/>
    <w:rsid w:val="005F73DA"/>
    <w:rsid w:val="005F7499"/>
    <w:rsid w:val="005F78A9"/>
    <w:rsid w:val="005F7A4F"/>
    <w:rsid w:val="005F7C43"/>
    <w:rsid w:val="005F7D6B"/>
    <w:rsid w:val="005F7FAC"/>
    <w:rsid w:val="00600099"/>
    <w:rsid w:val="0060048C"/>
    <w:rsid w:val="00600557"/>
    <w:rsid w:val="006009CE"/>
    <w:rsid w:val="00600C46"/>
    <w:rsid w:val="00600E4A"/>
    <w:rsid w:val="00600FE4"/>
    <w:rsid w:val="006010E4"/>
    <w:rsid w:val="00601358"/>
    <w:rsid w:val="006014DF"/>
    <w:rsid w:val="006015AA"/>
    <w:rsid w:val="006015E4"/>
    <w:rsid w:val="0060168C"/>
    <w:rsid w:val="006017FC"/>
    <w:rsid w:val="00601986"/>
    <w:rsid w:val="00601D8F"/>
    <w:rsid w:val="00601FC8"/>
    <w:rsid w:val="00602271"/>
    <w:rsid w:val="00602D3A"/>
    <w:rsid w:val="00602EB9"/>
    <w:rsid w:val="00603184"/>
    <w:rsid w:val="006031B7"/>
    <w:rsid w:val="0060334F"/>
    <w:rsid w:val="006033FF"/>
    <w:rsid w:val="0060353E"/>
    <w:rsid w:val="00603631"/>
    <w:rsid w:val="00603852"/>
    <w:rsid w:val="0060389D"/>
    <w:rsid w:val="00603A49"/>
    <w:rsid w:val="00603A96"/>
    <w:rsid w:val="00603C6C"/>
    <w:rsid w:val="00603E9D"/>
    <w:rsid w:val="00603F95"/>
    <w:rsid w:val="006041D1"/>
    <w:rsid w:val="0060439B"/>
    <w:rsid w:val="00604406"/>
    <w:rsid w:val="00604835"/>
    <w:rsid w:val="006049BB"/>
    <w:rsid w:val="00604DF3"/>
    <w:rsid w:val="0060502A"/>
    <w:rsid w:val="00605198"/>
    <w:rsid w:val="006052EA"/>
    <w:rsid w:val="00605303"/>
    <w:rsid w:val="006055EA"/>
    <w:rsid w:val="00605736"/>
    <w:rsid w:val="0060593E"/>
    <w:rsid w:val="0060595C"/>
    <w:rsid w:val="00605A54"/>
    <w:rsid w:val="00605A60"/>
    <w:rsid w:val="00605AF0"/>
    <w:rsid w:val="00605B76"/>
    <w:rsid w:val="00605C06"/>
    <w:rsid w:val="00605CCA"/>
    <w:rsid w:val="00605F8E"/>
    <w:rsid w:val="006060C4"/>
    <w:rsid w:val="00606223"/>
    <w:rsid w:val="00606269"/>
    <w:rsid w:val="0060630C"/>
    <w:rsid w:val="0060649A"/>
    <w:rsid w:val="00606553"/>
    <w:rsid w:val="00606A49"/>
    <w:rsid w:val="00606DE9"/>
    <w:rsid w:val="00606F53"/>
    <w:rsid w:val="00607207"/>
    <w:rsid w:val="006074A5"/>
    <w:rsid w:val="006078E0"/>
    <w:rsid w:val="006078EE"/>
    <w:rsid w:val="00607C63"/>
    <w:rsid w:val="00607FB7"/>
    <w:rsid w:val="00610096"/>
    <w:rsid w:val="00610A21"/>
    <w:rsid w:val="00610A95"/>
    <w:rsid w:val="00610D52"/>
    <w:rsid w:val="00610DDC"/>
    <w:rsid w:val="00610E93"/>
    <w:rsid w:val="00610FE0"/>
    <w:rsid w:val="006110C1"/>
    <w:rsid w:val="006111E7"/>
    <w:rsid w:val="00611354"/>
    <w:rsid w:val="006116D9"/>
    <w:rsid w:val="006118B1"/>
    <w:rsid w:val="006119B9"/>
    <w:rsid w:val="00611C19"/>
    <w:rsid w:val="00611E04"/>
    <w:rsid w:val="006121D3"/>
    <w:rsid w:val="0061220C"/>
    <w:rsid w:val="00612275"/>
    <w:rsid w:val="006122A1"/>
    <w:rsid w:val="00612489"/>
    <w:rsid w:val="006125E6"/>
    <w:rsid w:val="00612670"/>
    <w:rsid w:val="006126A3"/>
    <w:rsid w:val="0061285E"/>
    <w:rsid w:val="006129D9"/>
    <w:rsid w:val="00612E0F"/>
    <w:rsid w:val="0061302F"/>
    <w:rsid w:val="00613180"/>
    <w:rsid w:val="006131DA"/>
    <w:rsid w:val="0061339F"/>
    <w:rsid w:val="00613461"/>
    <w:rsid w:val="0061359A"/>
    <w:rsid w:val="006135ED"/>
    <w:rsid w:val="00613662"/>
    <w:rsid w:val="006137BB"/>
    <w:rsid w:val="006137C4"/>
    <w:rsid w:val="006137F8"/>
    <w:rsid w:val="00613928"/>
    <w:rsid w:val="00613A4B"/>
    <w:rsid w:val="00613ADB"/>
    <w:rsid w:val="00613B78"/>
    <w:rsid w:val="00613D3F"/>
    <w:rsid w:val="00613D9F"/>
    <w:rsid w:val="00613DFA"/>
    <w:rsid w:val="00614253"/>
    <w:rsid w:val="006144A6"/>
    <w:rsid w:val="00614503"/>
    <w:rsid w:val="006145DC"/>
    <w:rsid w:val="0061464A"/>
    <w:rsid w:val="0061473B"/>
    <w:rsid w:val="00614778"/>
    <w:rsid w:val="006149A5"/>
    <w:rsid w:val="00614C60"/>
    <w:rsid w:val="00614CDE"/>
    <w:rsid w:val="00614F80"/>
    <w:rsid w:val="00614FD5"/>
    <w:rsid w:val="00615302"/>
    <w:rsid w:val="0061562E"/>
    <w:rsid w:val="00615886"/>
    <w:rsid w:val="006158F6"/>
    <w:rsid w:val="00615925"/>
    <w:rsid w:val="0061593F"/>
    <w:rsid w:val="00615A21"/>
    <w:rsid w:val="00615BF6"/>
    <w:rsid w:val="00615BF9"/>
    <w:rsid w:val="00615CDF"/>
    <w:rsid w:val="00615D3C"/>
    <w:rsid w:val="0061615C"/>
    <w:rsid w:val="006161CE"/>
    <w:rsid w:val="006162A0"/>
    <w:rsid w:val="006164EC"/>
    <w:rsid w:val="00616518"/>
    <w:rsid w:val="00616767"/>
    <w:rsid w:val="00616A30"/>
    <w:rsid w:val="00616E18"/>
    <w:rsid w:val="0061700E"/>
    <w:rsid w:val="00617066"/>
    <w:rsid w:val="00617439"/>
    <w:rsid w:val="0061751C"/>
    <w:rsid w:val="00617529"/>
    <w:rsid w:val="00617695"/>
    <w:rsid w:val="00617751"/>
    <w:rsid w:val="006177E0"/>
    <w:rsid w:val="00617B95"/>
    <w:rsid w:val="00617BD3"/>
    <w:rsid w:val="00617FCB"/>
    <w:rsid w:val="0062003E"/>
    <w:rsid w:val="0062024F"/>
    <w:rsid w:val="0062055B"/>
    <w:rsid w:val="006205E8"/>
    <w:rsid w:val="00620A6F"/>
    <w:rsid w:val="00620E4F"/>
    <w:rsid w:val="00621084"/>
    <w:rsid w:val="00621235"/>
    <w:rsid w:val="006212CE"/>
    <w:rsid w:val="00621966"/>
    <w:rsid w:val="00621BCC"/>
    <w:rsid w:val="00621C0C"/>
    <w:rsid w:val="00621C90"/>
    <w:rsid w:val="0062206E"/>
    <w:rsid w:val="0062239B"/>
    <w:rsid w:val="006224D1"/>
    <w:rsid w:val="006226A4"/>
    <w:rsid w:val="00622720"/>
    <w:rsid w:val="00622752"/>
    <w:rsid w:val="0062279E"/>
    <w:rsid w:val="00622B23"/>
    <w:rsid w:val="00622C91"/>
    <w:rsid w:val="00622D03"/>
    <w:rsid w:val="00622D49"/>
    <w:rsid w:val="00622DBC"/>
    <w:rsid w:val="00622F41"/>
    <w:rsid w:val="00622F7E"/>
    <w:rsid w:val="0062302B"/>
    <w:rsid w:val="00623335"/>
    <w:rsid w:val="0062345A"/>
    <w:rsid w:val="006234AB"/>
    <w:rsid w:val="006234AD"/>
    <w:rsid w:val="0062358C"/>
    <w:rsid w:val="00623710"/>
    <w:rsid w:val="006237B0"/>
    <w:rsid w:val="00623D12"/>
    <w:rsid w:val="00623F58"/>
    <w:rsid w:val="00624080"/>
    <w:rsid w:val="00624355"/>
    <w:rsid w:val="0062439C"/>
    <w:rsid w:val="00624474"/>
    <w:rsid w:val="00624563"/>
    <w:rsid w:val="00624670"/>
    <w:rsid w:val="0062472B"/>
    <w:rsid w:val="00624D1B"/>
    <w:rsid w:val="00624E0A"/>
    <w:rsid w:val="00624FC8"/>
    <w:rsid w:val="0062504F"/>
    <w:rsid w:val="00625088"/>
    <w:rsid w:val="006256F8"/>
    <w:rsid w:val="00625A84"/>
    <w:rsid w:val="00625AB9"/>
    <w:rsid w:val="00625D3A"/>
    <w:rsid w:val="00625D3C"/>
    <w:rsid w:val="00626020"/>
    <w:rsid w:val="0062607C"/>
    <w:rsid w:val="00626320"/>
    <w:rsid w:val="00626398"/>
    <w:rsid w:val="00626E5A"/>
    <w:rsid w:val="00626EB9"/>
    <w:rsid w:val="0062738B"/>
    <w:rsid w:val="00627421"/>
    <w:rsid w:val="0062757C"/>
    <w:rsid w:val="00627A6B"/>
    <w:rsid w:val="00627CB3"/>
    <w:rsid w:val="00627DEE"/>
    <w:rsid w:val="00627F57"/>
    <w:rsid w:val="0063023E"/>
    <w:rsid w:val="00630317"/>
    <w:rsid w:val="0063041B"/>
    <w:rsid w:val="00630597"/>
    <w:rsid w:val="00630671"/>
    <w:rsid w:val="006306E8"/>
    <w:rsid w:val="00630967"/>
    <w:rsid w:val="00630CAD"/>
    <w:rsid w:val="00630DEC"/>
    <w:rsid w:val="00631062"/>
    <w:rsid w:val="0063106B"/>
    <w:rsid w:val="006310DB"/>
    <w:rsid w:val="006311A0"/>
    <w:rsid w:val="006311C3"/>
    <w:rsid w:val="006311DE"/>
    <w:rsid w:val="006311FD"/>
    <w:rsid w:val="0063130D"/>
    <w:rsid w:val="0063135F"/>
    <w:rsid w:val="006316BB"/>
    <w:rsid w:val="006316F3"/>
    <w:rsid w:val="006317FD"/>
    <w:rsid w:val="00631819"/>
    <w:rsid w:val="00631894"/>
    <w:rsid w:val="00631A8B"/>
    <w:rsid w:val="00631ABE"/>
    <w:rsid w:val="00631B3A"/>
    <w:rsid w:val="00631B9C"/>
    <w:rsid w:val="00631C1B"/>
    <w:rsid w:val="00631E9F"/>
    <w:rsid w:val="00631FD6"/>
    <w:rsid w:val="006321D5"/>
    <w:rsid w:val="0063241E"/>
    <w:rsid w:val="006327F7"/>
    <w:rsid w:val="006329B8"/>
    <w:rsid w:val="006329E5"/>
    <w:rsid w:val="00632A0B"/>
    <w:rsid w:val="00632A4B"/>
    <w:rsid w:val="00633060"/>
    <w:rsid w:val="00633288"/>
    <w:rsid w:val="00633466"/>
    <w:rsid w:val="0063399A"/>
    <w:rsid w:val="00633D39"/>
    <w:rsid w:val="00633DC1"/>
    <w:rsid w:val="006341EE"/>
    <w:rsid w:val="0063427D"/>
    <w:rsid w:val="00634423"/>
    <w:rsid w:val="0063452D"/>
    <w:rsid w:val="006348EA"/>
    <w:rsid w:val="00634D2F"/>
    <w:rsid w:val="00634F02"/>
    <w:rsid w:val="00634F1F"/>
    <w:rsid w:val="00635004"/>
    <w:rsid w:val="00635059"/>
    <w:rsid w:val="00635072"/>
    <w:rsid w:val="0063528A"/>
    <w:rsid w:val="0063556B"/>
    <w:rsid w:val="006358D8"/>
    <w:rsid w:val="00635984"/>
    <w:rsid w:val="00635988"/>
    <w:rsid w:val="00635A2B"/>
    <w:rsid w:val="00635CA9"/>
    <w:rsid w:val="00635EB0"/>
    <w:rsid w:val="00635FD3"/>
    <w:rsid w:val="00636034"/>
    <w:rsid w:val="006361A0"/>
    <w:rsid w:val="006362A3"/>
    <w:rsid w:val="0063637C"/>
    <w:rsid w:val="0063653B"/>
    <w:rsid w:val="006365F1"/>
    <w:rsid w:val="0063660D"/>
    <w:rsid w:val="00636633"/>
    <w:rsid w:val="006367D3"/>
    <w:rsid w:val="00636807"/>
    <w:rsid w:val="006369CB"/>
    <w:rsid w:val="00636B03"/>
    <w:rsid w:val="00636FB9"/>
    <w:rsid w:val="00636FF8"/>
    <w:rsid w:val="006372F6"/>
    <w:rsid w:val="0063730A"/>
    <w:rsid w:val="006373E4"/>
    <w:rsid w:val="006374A8"/>
    <w:rsid w:val="0063780D"/>
    <w:rsid w:val="0063782C"/>
    <w:rsid w:val="0063786E"/>
    <w:rsid w:val="0063790C"/>
    <w:rsid w:val="00637964"/>
    <w:rsid w:val="00637990"/>
    <w:rsid w:val="006379C3"/>
    <w:rsid w:val="006379F3"/>
    <w:rsid w:val="00637CC9"/>
    <w:rsid w:val="00637D54"/>
    <w:rsid w:val="00637EE4"/>
    <w:rsid w:val="00637FF2"/>
    <w:rsid w:val="00640187"/>
    <w:rsid w:val="006402EA"/>
    <w:rsid w:val="0064040E"/>
    <w:rsid w:val="0064041A"/>
    <w:rsid w:val="00640460"/>
    <w:rsid w:val="00640923"/>
    <w:rsid w:val="00640962"/>
    <w:rsid w:val="006409AB"/>
    <w:rsid w:val="00640A8B"/>
    <w:rsid w:val="00640B54"/>
    <w:rsid w:val="00640EC5"/>
    <w:rsid w:val="00640ED9"/>
    <w:rsid w:val="00641661"/>
    <w:rsid w:val="006416AC"/>
    <w:rsid w:val="0064171F"/>
    <w:rsid w:val="00641758"/>
    <w:rsid w:val="006418CE"/>
    <w:rsid w:val="00641A03"/>
    <w:rsid w:val="00641AC7"/>
    <w:rsid w:val="00641B5F"/>
    <w:rsid w:val="00641C77"/>
    <w:rsid w:val="00641CA8"/>
    <w:rsid w:val="00641EBB"/>
    <w:rsid w:val="00641FAA"/>
    <w:rsid w:val="00642157"/>
    <w:rsid w:val="00642281"/>
    <w:rsid w:val="00642416"/>
    <w:rsid w:val="00642748"/>
    <w:rsid w:val="0064283F"/>
    <w:rsid w:val="006428E5"/>
    <w:rsid w:val="00642B1A"/>
    <w:rsid w:val="00642DD2"/>
    <w:rsid w:val="0064309C"/>
    <w:rsid w:val="006431EE"/>
    <w:rsid w:val="00643215"/>
    <w:rsid w:val="0064335C"/>
    <w:rsid w:val="00643381"/>
    <w:rsid w:val="00643454"/>
    <w:rsid w:val="006434C3"/>
    <w:rsid w:val="006434E8"/>
    <w:rsid w:val="00643513"/>
    <w:rsid w:val="00643679"/>
    <w:rsid w:val="006436B6"/>
    <w:rsid w:val="00643AFD"/>
    <w:rsid w:val="00643B2D"/>
    <w:rsid w:val="00643B2E"/>
    <w:rsid w:val="00643CBA"/>
    <w:rsid w:val="00643D1B"/>
    <w:rsid w:val="00643D25"/>
    <w:rsid w:val="00643FAB"/>
    <w:rsid w:val="00644028"/>
    <w:rsid w:val="00644067"/>
    <w:rsid w:val="00644270"/>
    <w:rsid w:val="00644281"/>
    <w:rsid w:val="00644456"/>
    <w:rsid w:val="0064473F"/>
    <w:rsid w:val="006448F9"/>
    <w:rsid w:val="00644A55"/>
    <w:rsid w:val="00644A97"/>
    <w:rsid w:val="00644AA2"/>
    <w:rsid w:val="00644AB1"/>
    <w:rsid w:val="00644AC9"/>
    <w:rsid w:val="00644BCB"/>
    <w:rsid w:val="00644BFC"/>
    <w:rsid w:val="00644DDA"/>
    <w:rsid w:val="006456E4"/>
    <w:rsid w:val="00645A2C"/>
    <w:rsid w:val="00645C2E"/>
    <w:rsid w:val="00645C7F"/>
    <w:rsid w:val="00645CD8"/>
    <w:rsid w:val="00645EA8"/>
    <w:rsid w:val="006460B5"/>
    <w:rsid w:val="006460F0"/>
    <w:rsid w:val="006461FD"/>
    <w:rsid w:val="0064629D"/>
    <w:rsid w:val="006463D5"/>
    <w:rsid w:val="006464CE"/>
    <w:rsid w:val="00646599"/>
    <w:rsid w:val="00646653"/>
    <w:rsid w:val="006468C0"/>
    <w:rsid w:val="00646AEF"/>
    <w:rsid w:val="00646C56"/>
    <w:rsid w:val="00646CA5"/>
    <w:rsid w:val="00646DB2"/>
    <w:rsid w:val="006471F6"/>
    <w:rsid w:val="00647383"/>
    <w:rsid w:val="00647576"/>
    <w:rsid w:val="0064757A"/>
    <w:rsid w:val="006475A5"/>
    <w:rsid w:val="0064763F"/>
    <w:rsid w:val="0064769D"/>
    <w:rsid w:val="006476A9"/>
    <w:rsid w:val="00647780"/>
    <w:rsid w:val="006479AC"/>
    <w:rsid w:val="00647C80"/>
    <w:rsid w:val="00647C87"/>
    <w:rsid w:val="00647D0D"/>
    <w:rsid w:val="00647E3F"/>
    <w:rsid w:val="00647E49"/>
    <w:rsid w:val="00647E8D"/>
    <w:rsid w:val="00647F7E"/>
    <w:rsid w:val="00650067"/>
    <w:rsid w:val="0065007E"/>
    <w:rsid w:val="006500AA"/>
    <w:rsid w:val="00650132"/>
    <w:rsid w:val="00650672"/>
    <w:rsid w:val="006506A1"/>
    <w:rsid w:val="00650742"/>
    <w:rsid w:val="00650898"/>
    <w:rsid w:val="00650ADE"/>
    <w:rsid w:val="00650D88"/>
    <w:rsid w:val="00650E26"/>
    <w:rsid w:val="00650EC1"/>
    <w:rsid w:val="006511B3"/>
    <w:rsid w:val="006514B3"/>
    <w:rsid w:val="0065171C"/>
    <w:rsid w:val="0065174F"/>
    <w:rsid w:val="00651A40"/>
    <w:rsid w:val="00651C86"/>
    <w:rsid w:val="00651E8D"/>
    <w:rsid w:val="00652239"/>
    <w:rsid w:val="0065232C"/>
    <w:rsid w:val="00652408"/>
    <w:rsid w:val="006524AB"/>
    <w:rsid w:val="0065271A"/>
    <w:rsid w:val="0065278C"/>
    <w:rsid w:val="00652B15"/>
    <w:rsid w:val="00652BF5"/>
    <w:rsid w:val="00652C7B"/>
    <w:rsid w:val="00653039"/>
    <w:rsid w:val="006533AB"/>
    <w:rsid w:val="006534EA"/>
    <w:rsid w:val="00653718"/>
    <w:rsid w:val="00653900"/>
    <w:rsid w:val="00653972"/>
    <w:rsid w:val="00653BE1"/>
    <w:rsid w:val="00653E2D"/>
    <w:rsid w:val="00654148"/>
    <w:rsid w:val="006547DC"/>
    <w:rsid w:val="00654814"/>
    <w:rsid w:val="00654B43"/>
    <w:rsid w:val="00654CA7"/>
    <w:rsid w:val="00654EEB"/>
    <w:rsid w:val="00655238"/>
    <w:rsid w:val="00655250"/>
    <w:rsid w:val="006552BE"/>
    <w:rsid w:val="006554AD"/>
    <w:rsid w:val="00655D03"/>
    <w:rsid w:val="00656006"/>
    <w:rsid w:val="006562FF"/>
    <w:rsid w:val="00656409"/>
    <w:rsid w:val="0065677C"/>
    <w:rsid w:val="006568E1"/>
    <w:rsid w:val="00656BA9"/>
    <w:rsid w:val="00656D28"/>
    <w:rsid w:val="00656F86"/>
    <w:rsid w:val="006572CA"/>
    <w:rsid w:val="0065768C"/>
    <w:rsid w:val="006576D7"/>
    <w:rsid w:val="00657738"/>
    <w:rsid w:val="006577E9"/>
    <w:rsid w:val="00657B51"/>
    <w:rsid w:val="00657BC7"/>
    <w:rsid w:val="00657EAD"/>
    <w:rsid w:val="00657EB1"/>
    <w:rsid w:val="00660046"/>
    <w:rsid w:val="00660089"/>
    <w:rsid w:val="006607E4"/>
    <w:rsid w:val="0066090B"/>
    <w:rsid w:val="0066098C"/>
    <w:rsid w:val="00660A03"/>
    <w:rsid w:val="00660BC7"/>
    <w:rsid w:val="00660BDE"/>
    <w:rsid w:val="00660D55"/>
    <w:rsid w:val="006611B3"/>
    <w:rsid w:val="00661307"/>
    <w:rsid w:val="0066154D"/>
    <w:rsid w:val="00661690"/>
    <w:rsid w:val="00661775"/>
    <w:rsid w:val="00661906"/>
    <w:rsid w:val="00661977"/>
    <w:rsid w:val="00661C0D"/>
    <w:rsid w:val="0066207D"/>
    <w:rsid w:val="00662439"/>
    <w:rsid w:val="006626DE"/>
    <w:rsid w:val="006629A1"/>
    <w:rsid w:val="00662ACA"/>
    <w:rsid w:val="00662CF0"/>
    <w:rsid w:val="00662D9F"/>
    <w:rsid w:val="00662E6B"/>
    <w:rsid w:val="00662E70"/>
    <w:rsid w:val="00662FD1"/>
    <w:rsid w:val="006631D3"/>
    <w:rsid w:val="00663253"/>
    <w:rsid w:val="006634F4"/>
    <w:rsid w:val="00663639"/>
    <w:rsid w:val="006636E5"/>
    <w:rsid w:val="0066387D"/>
    <w:rsid w:val="006638CA"/>
    <w:rsid w:val="00664078"/>
    <w:rsid w:val="006640DA"/>
    <w:rsid w:val="0066446B"/>
    <w:rsid w:val="00664628"/>
    <w:rsid w:val="00664688"/>
    <w:rsid w:val="006647E8"/>
    <w:rsid w:val="00664817"/>
    <w:rsid w:val="00664843"/>
    <w:rsid w:val="00664A28"/>
    <w:rsid w:val="00664AB9"/>
    <w:rsid w:val="00664E68"/>
    <w:rsid w:val="00664EA8"/>
    <w:rsid w:val="0066509F"/>
    <w:rsid w:val="0066540A"/>
    <w:rsid w:val="00665576"/>
    <w:rsid w:val="00665608"/>
    <w:rsid w:val="006656E9"/>
    <w:rsid w:val="00665997"/>
    <w:rsid w:val="00665B0A"/>
    <w:rsid w:val="00665B42"/>
    <w:rsid w:val="00665CBE"/>
    <w:rsid w:val="00665D18"/>
    <w:rsid w:val="00665FD2"/>
    <w:rsid w:val="00666090"/>
    <w:rsid w:val="00666154"/>
    <w:rsid w:val="0066618B"/>
    <w:rsid w:val="006662B3"/>
    <w:rsid w:val="00666477"/>
    <w:rsid w:val="00666773"/>
    <w:rsid w:val="006667F6"/>
    <w:rsid w:val="006669CD"/>
    <w:rsid w:val="00666B3C"/>
    <w:rsid w:val="00666B4C"/>
    <w:rsid w:val="00666C64"/>
    <w:rsid w:val="00666C94"/>
    <w:rsid w:val="00667077"/>
    <w:rsid w:val="006670CD"/>
    <w:rsid w:val="00667BE3"/>
    <w:rsid w:val="00667C2B"/>
    <w:rsid w:val="00667D59"/>
    <w:rsid w:val="00667EBE"/>
    <w:rsid w:val="00667F55"/>
    <w:rsid w:val="00667FA5"/>
    <w:rsid w:val="00670044"/>
    <w:rsid w:val="00670062"/>
    <w:rsid w:val="00670429"/>
    <w:rsid w:val="006705AB"/>
    <w:rsid w:val="006708B7"/>
    <w:rsid w:val="006708D1"/>
    <w:rsid w:val="0067099A"/>
    <w:rsid w:val="00670FC8"/>
    <w:rsid w:val="006712AE"/>
    <w:rsid w:val="006714A6"/>
    <w:rsid w:val="00671530"/>
    <w:rsid w:val="006715B9"/>
    <w:rsid w:val="006715EB"/>
    <w:rsid w:val="0067164D"/>
    <w:rsid w:val="006719EC"/>
    <w:rsid w:val="00671A74"/>
    <w:rsid w:val="00671AA9"/>
    <w:rsid w:val="00671D36"/>
    <w:rsid w:val="00671D79"/>
    <w:rsid w:val="00671DA1"/>
    <w:rsid w:val="00671E52"/>
    <w:rsid w:val="00672237"/>
    <w:rsid w:val="00672246"/>
    <w:rsid w:val="00672402"/>
    <w:rsid w:val="006725E2"/>
    <w:rsid w:val="00672AAF"/>
    <w:rsid w:val="00672C81"/>
    <w:rsid w:val="00672D08"/>
    <w:rsid w:val="00672F23"/>
    <w:rsid w:val="0067301E"/>
    <w:rsid w:val="006730B2"/>
    <w:rsid w:val="006732A2"/>
    <w:rsid w:val="006732CE"/>
    <w:rsid w:val="00673336"/>
    <w:rsid w:val="0067351C"/>
    <w:rsid w:val="00673A34"/>
    <w:rsid w:val="00673A4C"/>
    <w:rsid w:val="00673A89"/>
    <w:rsid w:val="00673AE8"/>
    <w:rsid w:val="00673B29"/>
    <w:rsid w:val="00673D92"/>
    <w:rsid w:val="00673FFA"/>
    <w:rsid w:val="00674008"/>
    <w:rsid w:val="00674055"/>
    <w:rsid w:val="00674074"/>
    <w:rsid w:val="0067424D"/>
    <w:rsid w:val="0067439A"/>
    <w:rsid w:val="00674502"/>
    <w:rsid w:val="00674641"/>
    <w:rsid w:val="006747A2"/>
    <w:rsid w:val="00674812"/>
    <w:rsid w:val="00674B03"/>
    <w:rsid w:val="00674CDC"/>
    <w:rsid w:val="00674E40"/>
    <w:rsid w:val="00675276"/>
    <w:rsid w:val="00675558"/>
    <w:rsid w:val="0067575D"/>
    <w:rsid w:val="0067588A"/>
    <w:rsid w:val="00675C22"/>
    <w:rsid w:val="00675D7F"/>
    <w:rsid w:val="00675D82"/>
    <w:rsid w:val="00675D86"/>
    <w:rsid w:val="00676100"/>
    <w:rsid w:val="006761C3"/>
    <w:rsid w:val="006761EB"/>
    <w:rsid w:val="00676258"/>
    <w:rsid w:val="00676469"/>
    <w:rsid w:val="0067646D"/>
    <w:rsid w:val="00676513"/>
    <w:rsid w:val="006765B7"/>
    <w:rsid w:val="0067664B"/>
    <w:rsid w:val="006766FB"/>
    <w:rsid w:val="00676BD7"/>
    <w:rsid w:val="00676C38"/>
    <w:rsid w:val="00676E8D"/>
    <w:rsid w:val="00676FA8"/>
    <w:rsid w:val="00676FCC"/>
    <w:rsid w:val="0067748C"/>
    <w:rsid w:val="006774FB"/>
    <w:rsid w:val="006779A0"/>
    <w:rsid w:val="006800FB"/>
    <w:rsid w:val="00680636"/>
    <w:rsid w:val="00680B58"/>
    <w:rsid w:val="00680BA0"/>
    <w:rsid w:val="00680D48"/>
    <w:rsid w:val="00680DC0"/>
    <w:rsid w:val="00680E37"/>
    <w:rsid w:val="00680FBF"/>
    <w:rsid w:val="00681443"/>
    <w:rsid w:val="006816D6"/>
    <w:rsid w:val="00681766"/>
    <w:rsid w:val="0068180E"/>
    <w:rsid w:val="00681895"/>
    <w:rsid w:val="00681D96"/>
    <w:rsid w:val="00681ECD"/>
    <w:rsid w:val="00682155"/>
    <w:rsid w:val="0068225B"/>
    <w:rsid w:val="006822D8"/>
    <w:rsid w:val="00682476"/>
    <w:rsid w:val="0068254A"/>
    <w:rsid w:val="006826D8"/>
    <w:rsid w:val="00682750"/>
    <w:rsid w:val="006829E5"/>
    <w:rsid w:val="00682A01"/>
    <w:rsid w:val="00682AC1"/>
    <w:rsid w:val="00682BFF"/>
    <w:rsid w:val="00682DC3"/>
    <w:rsid w:val="00683500"/>
    <w:rsid w:val="00683565"/>
    <w:rsid w:val="006836F2"/>
    <w:rsid w:val="00683868"/>
    <w:rsid w:val="006838BD"/>
    <w:rsid w:val="00683A17"/>
    <w:rsid w:val="00683A1A"/>
    <w:rsid w:val="00683C17"/>
    <w:rsid w:val="00683D62"/>
    <w:rsid w:val="006842E6"/>
    <w:rsid w:val="006843A6"/>
    <w:rsid w:val="006844B7"/>
    <w:rsid w:val="0068463B"/>
    <w:rsid w:val="00684833"/>
    <w:rsid w:val="006849BD"/>
    <w:rsid w:val="00684B39"/>
    <w:rsid w:val="00684D70"/>
    <w:rsid w:val="00684ED1"/>
    <w:rsid w:val="00684FA6"/>
    <w:rsid w:val="006851D2"/>
    <w:rsid w:val="006851EF"/>
    <w:rsid w:val="00685239"/>
    <w:rsid w:val="00685513"/>
    <w:rsid w:val="006859D4"/>
    <w:rsid w:val="00685BA5"/>
    <w:rsid w:val="006862F3"/>
    <w:rsid w:val="0068633C"/>
    <w:rsid w:val="0068639C"/>
    <w:rsid w:val="006865EA"/>
    <w:rsid w:val="00686C34"/>
    <w:rsid w:val="00686FE9"/>
    <w:rsid w:val="00687138"/>
    <w:rsid w:val="0068718F"/>
    <w:rsid w:val="00687AEA"/>
    <w:rsid w:val="006900F9"/>
    <w:rsid w:val="00690173"/>
    <w:rsid w:val="0069025A"/>
    <w:rsid w:val="006902C6"/>
    <w:rsid w:val="0069031D"/>
    <w:rsid w:val="0069057A"/>
    <w:rsid w:val="006909E5"/>
    <w:rsid w:val="00690B0A"/>
    <w:rsid w:val="00690E69"/>
    <w:rsid w:val="00690F0D"/>
    <w:rsid w:val="00691008"/>
    <w:rsid w:val="00691105"/>
    <w:rsid w:val="0069143D"/>
    <w:rsid w:val="0069160A"/>
    <w:rsid w:val="00691758"/>
    <w:rsid w:val="00691928"/>
    <w:rsid w:val="0069196A"/>
    <w:rsid w:val="00691B71"/>
    <w:rsid w:val="00691C0E"/>
    <w:rsid w:val="00691C41"/>
    <w:rsid w:val="00691CD3"/>
    <w:rsid w:val="00691E96"/>
    <w:rsid w:val="00691EA1"/>
    <w:rsid w:val="00691FAC"/>
    <w:rsid w:val="006920F1"/>
    <w:rsid w:val="0069214C"/>
    <w:rsid w:val="006922FB"/>
    <w:rsid w:val="00692385"/>
    <w:rsid w:val="00692400"/>
    <w:rsid w:val="00692614"/>
    <w:rsid w:val="006926AC"/>
    <w:rsid w:val="006926E6"/>
    <w:rsid w:val="00692821"/>
    <w:rsid w:val="00692C0E"/>
    <w:rsid w:val="00692DCD"/>
    <w:rsid w:val="00692F9F"/>
    <w:rsid w:val="0069302E"/>
    <w:rsid w:val="006931DE"/>
    <w:rsid w:val="0069355A"/>
    <w:rsid w:val="00693A6C"/>
    <w:rsid w:val="00693ADF"/>
    <w:rsid w:val="00694152"/>
    <w:rsid w:val="00694298"/>
    <w:rsid w:val="006943B6"/>
    <w:rsid w:val="0069453E"/>
    <w:rsid w:val="00694763"/>
    <w:rsid w:val="006947AE"/>
    <w:rsid w:val="006948D6"/>
    <w:rsid w:val="00694AC4"/>
    <w:rsid w:val="00694C78"/>
    <w:rsid w:val="00694C8C"/>
    <w:rsid w:val="00694E9C"/>
    <w:rsid w:val="00695398"/>
    <w:rsid w:val="00695477"/>
    <w:rsid w:val="0069552E"/>
    <w:rsid w:val="00695706"/>
    <w:rsid w:val="00695794"/>
    <w:rsid w:val="00695920"/>
    <w:rsid w:val="00695BE8"/>
    <w:rsid w:val="00695CE5"/>
    <w:rsid w:val="00695F35"/>
    <w:rsid w:val="00695F44"/>
    <w:rsid w:val="0069602A"/>
    <w:rsid w:val="006960EE"/>
    <w:rsid w:val="0069624B"/>
    <w:rsid w:val="0069654E"/>
    <w:rsid w:val="00696963"/>
    <w:rsid w:val="00696CC4"/>
    <w:rsid w:val="006971C0"/>
    <w:rsid w:val="006971DC"/>
    <w:rsid w:val="006972E1"/>
    <w:rsid w:val="006972F8"/>
    <w:rsid w:val="006973FA"/>
    <w:rsid w:val="00697515"/>
    <w:rsid w:val="006975E8"/>
    <w:rsid w:val="00697683"/>
    <w:rsid w:val="00697912"/>
    <w:rsid w:val="00697B53"/>
    <w:rsid w:val="00697C21"/>
    <w:rsid w:val="00697C45"/>
    <w:rsid w:val="00697D32"/>
    <w:rsid w:val="00697E21"/>
    <w:rsid w:val="006A02A5"/>
    <w:rsid w:val="006A0575"/>
    <w:rsid w:val="006A09EC"/>
    <w:rsid w:val="006A0CDC"/>
    <w:rsid w:val="006A0EE6"/>
    <w:rsid w:val="006A107E"/>
    <w:rsid w:val="006A1297"/>
    <w:rsid w:val="006A13A7"/>
    <w:rsid w:val="006A181E"/>
    <w:rsid w:val="006A192B"/>
    <w:rsid w:val="006A1BBC"/>
    <w:rsid w:val="006A1BC0"/>
    <w:rsid w:val="006A1D9F"/>
    <w:rsid w:val="006A203D"/>
    <w:rsid w:val="006A20C8"/>
    <w:rsid w:val="006A218C"/>
    <w:rsid w:val="006A2331"/>
    <w:rsid w:val="006A243B"/>
    <w:rsid w:val="006A24A8"/>
    <w:rsid w:val="006A2913"/>
    <w:rsid w:val="006A2995"/>
    <w:rsid w:val="006A2CA3"/>
    <w:rsid w:val="006A2F19"/>
    <w:rsid w:val="006A3211"/>
    <w:rsid w:val="006A34E1"/>
    <w:rsid w:val="006A37E2"/>
    <w:rsid w:val="006A3ACB"/>
    <w:rsid w:val="006A3CE6"/>
    <w:rsid w:val="006A3F60"/>
    <w:rsid w:val="006A4127"/>
    <w:rsid w:val="006A4779"/>
    <w:rsid w:val="006A4823"/>
    <w:rsid w:val="006A48A4"/>
    <w:rsid w:val="006A4ADD"/>
    <w:rsid w:val="006A4B68"/>
    <w:rsid w:val="006A4C2A"/>
    <w:rsid w:val="006A4D51"/>
    <w:rsid w:val="006A4DE6"/>
    <w:rsid w:val="006A5060"/>
    <w:rsid w:val="006A51EF"/>
    <w:rsid w:val="006A5333"/>
    <w:rsid w:val="006A5841"/>
    <w:rsid w:val="006A5892"/>
    <w:rsid w:val="006A5C65"/>
    <w:rsid w:val="006A5C82"/>
    <w:rsid w:val="006A602C"/>
    <w:rsid w:val="006A60C5"/>
    <w:rsid w:val="006A6409"/>
    <w:rsid w:val="006A6511"/>
    <w:rsid w:val="006A65FC"/>
    <w:rsid w:val="006A6666"/>
    <w:rsid w:val="006A67EE"/>
    <w:rsid w:val="006A6A6B"/>
    <w:rsid w:val="006A6AE4"/>
    <w:rsid w:val="006A6C0B"/>
    <w:rsid w:val="006A6D8C"/>
    <w:rsid w:val="006A6F58"/>
    <w:rsid w:val="006A6FDD"/>
    <w:rsid w:val="006A70CC"/>
    <w:rsid w:val="006A72BD"/>
    <w:rsid w:val="006A73DA"/>
    <w:rsid w:val="006A75FB"/>
    <w:rsid w:val="006A76CB"/>
    <w:rsid w:val="006A7A4E"/>
    <w:rsid w:val="006A7A78"/>
    <w:rsid w:val="006A7BF3"/>
    <w:rsid w:val="006A7C05"/>
    <w:rsid w:val="006A7EB5"/>
    <w:rsid w:val="006B0334"/>
    <w:rsid w:val="006B04FA"/>
    <w:rsid w:val="006B0527"/>
    <w:rsid w:val="006B08F7"/>
    <w:rsid w:val="006B0A8A"/>
    <w:rsid w:val="006B0B74"/>
    <w:rsid w:val="006B0C5B"/>
    <w:rsid w:val="006B0DAD"/>
    <w:rsid w:val="006B0F65"/>
    <w:rsid w:val="006B0FD3"/>
    <w:rsid w:val="006B10DA"/>
    <w:rsid w:val="006B1130"/>
    <w:rsid w:val="006B1236"/>
    <w:rsid w:val="006B1424"/>
    <w:rsid w:val="006B14C0"/>
    <w:rsid w:val="006B14EB"/>
    <w:rsid w:val="006B1BE8"/>
    <w:rsid w:val="006B1D50"/>
    <w:rsid w:val="006B1DB9"/>
    <w:rsid w:val="006B1F66"/>
    <w:rsid w:val="006B207C"/>
    <w:rsid w:val="006B2130"/>
    <w:rsid w:val="006B21A5"/>
    <w:rsid w:val="006B2331"/>
    <w:rsid w:val="006B2348"/>
    <w:rsid w:val="006B242E"/>
    <w:rsid w:val="006B2516"/>
    <w:rsid w:val="006B260D"/>
    <w:rsid w:val="006B26C6"/>
    <w:rsid w:val="006B2BBC"/>
    <w:rsid w:val="006B3048"/>
    <w:rsid w:val="006B307C"/>
    <w:rsid w:val="006B325F"/>
    <w:rsid w:val="006B3549"/>
    <w:rsid w:val="006B36FF"/>
    <w:rsid w:val="006B3716"/>
    <w:rsid w:val="006B37A8"/>
    <w:rsid w:val="006B37AD"/>
    <w:rsid w:val="006B3A38"/>
    <w:rsid w:val="006B3A53"/>
    <w:rsid w:val="006B3A8B"/>
    <w:rsid w:val="006B3B27"/>
    <w:rsid w:val="006B3BE3"/>
    <w:rsid w:val="006B3D08"/>
    <w:rsid w:val="006B3D6A"/>
    <w:rsid w:val="006B3DE8"/>
    <w:rsid w:val="006B4172"/>
    <w:rsid w:val="006B4287"/>
    <w:rsid w:val="006B435A"/>
    <w:rsid w:val="006B444F"/>
    <w:rsid w:val="006B4470"/>
    <w:rsid w:val="006B465D"/>
    <w:rsid w:val="006B46FB"/>
    <w:rsid w:val="006B4709"/>
    <w:rsid w:val="006B4859"/>
    <w:rsid w:val="006B4A30"/>
    <w:rsid w:val="006B4A80"/>
    <w:rsid w:val="006B4DC5"/>
    <w:rsid w:val="006B4EA4"/>
    <w:rsid w:val="006B52F1"/>
    <w:rsid w:val="006B543E"/>
    <w:rsid w:val="006B57BB"/>
    <w:rsid w:val="006B5A35"/>
    <w:rsid w:val="006B5AC4"/>
    <w:rsid w:val="006B5B1B"/>
    <w:rsid w:val="006B5C59"/>
    <w:rsid w:val="006B5D52"/>
    <w:rsid w:val="006B6165"/>
    <w:rsid w:val="006B61A4"/>
    <w:rsid w:val="006B62BD"/>
    <w:rsid w:val="006B68B4"/>
    <w:rsid w:val="006B6BA7"/>
    <w:rsid w:val="006B6BCD"/>
    <w:rsid w:val="006B6D65"/>
    <w:rsid w:val="006B6FC5"/>
    <w:rsid w:val="006B70E8"/>
    <w:rsid w:val="006B7325"/>
    <w:rsid w:val="006B73BB"/>
    <w:rsid w:val="006B748C"/>
    <w:rsid w:val="006B74D9"/>
    <w:rsid w:val="006B777D"/>
    <w:rsid w:val="006B77B9"/>
    <w:rsid w:val="006B78EF"/>
    <w:rsid w:val="006B7A53"/>
    <w:rsid w:val="006B7BD5"/>
    <w:rsid w:val="006B7C71"/>
    <w:rsid w:val="006B7D4A"/>
    <w:rsid w:val="006B7DEE"/>
    <w:rsid w:val="006B7F64"/>
    <w:rsid w:val="006C0482"/>
    <w:rsid w:val="006C0846"/>
    <w:rsid w:val="006C089E"/>
    <w:rsid w:val="006C08CE"/>
    <w:rsid w:val="006C0B48"/>
    <w:rsid w:val="006C0C17"/>
    <w:rsid w:val="006C0D64"/>
    <w:rsid w:val="006C0DC3"/>
    <w:rsid w:val="006C12D6"/>
    <w:rsid w:val="006C135C"/>
    <w:rsid w:val="006C13EE"/>
    <w:rsid w:val="006C1506"/>
    <w:rsid w:val="006C1656"/>
    <w:rsid w:val="006C16B9"/>
    <w:rsid w:val="006C191F"/>
    <w:rsid w:val="006C1922"/>
    <w:rsid w:val="006C1C22"/>
    <w:rsid w:val="006C1F3E"/>
    <w:rsid w:val="006C21C3"/>
    <w:rsid w:val="006C22F4"/>
    <w:rsid w:val="006C24D5"/>
    <w:rsid w:val="006C261B"/>
    <w:rsid w:val="006C286B"/>
    <w:rsid w:val="006C28CA"/>
    <w:rsid w:val="006C28F4"/>
    <w:rsid w:val="006C293A"/>
    <w:rsid w:val="006C2A07"/>
    <w:rsid w:val="006C2A77"/>
    <w:rsid w:val="006C2C58"/>
    <w:rsid w:val="006C2C60"/>
    <w:rsid w:val="006C2D6B"/>
    <w:rsid w:val="006C2FA8"/>
    <w:rsid w:val="006C2FB2"/>
    <w:rsid w:val="006C3232"/>
    <w:rsid w:val="006C34A8"/>
    <w:rsid w:val="006C34F5"/>
    <w:rsid w:val="006C34FA"/>
    <w:rsid w:val="006C35DB"/>
    <w:rsid w:val="006C37A5"/>
    <w:rsid w:val="006C38D0"/>
    <w:rsid w:val="006C3A0A"/>
    <w:rsid w:val="006C3D71"/>
    <w:rsid w:val="006C3DD7"/>
    <w:rsid w:val="006C3E3E"/>
    <w:rsid w:val="006C3F54"/>
    <w:rsid w:val="006C40DF"/>
    <w:rsid w:val="006C422A"/>
    <w:rsid w:val="006C431F"/>
    <w:rsid w:val="006C4771"/>
    <w:rsid w:val="006C47FF"/>
    <w:rsid w:val="006C49AE"/>
    <w:rsid w:val="006C4A5C"/>
    <w:rsid w:val="006C4CB9"/>
    <w:rsid w:val="006C4D9D"/>
    <w:rsid w:val="006C4ECC"/>
    <w:rsid w:val="006C4F0E"/>
    <w:rsid w:val="006C4FC3"/>
    <w:rsid w:val="006C4FDC"/>
    <w:rsid w:val="006C51CB"/>
    <w:rsid w:val="006C520F"/>
    <w:rsid w:val="006C53DA"/>
    <w:rsid w:val="006C5A75"/>
    <w:rsid w:val="006C5BB4"/>
    <w:rsid w:val="006C5DA0"/>
    <w:rsid w:val="006C5F65"/>
    <w:rsid w:val="006C5F89"/>
    <w:rsid w:val="006C5FF3"/>
    <w:rsid w:val="006C6177"/>
    <w:rsid w:val="006C624A"/>
    <w:rsid w:val="006C69B8"/>
    <w:rsid w:val="006C6E53"/>
    <w:rsid w:val="006C6EBD"/>
    <w:rsid w:val="006C7033"/>
    <w:rsid w:val="006C7262"/>
    <w:rsid w:val="006C73F8"/>
    <w:rsid w:val="006C764B"/>
    <w:rsid w:val="006C7714"/>
    <w:rsid w:val="006C77A6"/>
    <w:rsid w:val="006C783F"/>
    <w:rsid w:val="006C78CB"/>
    <w:rsid w:val="006C7A9D"/>
    <w:rsid w:val="006C7C12"/>
    <w:rsid w:val="006C7E45"/>
    <w:rsid w:val="006D01FF"/>
    <w:rsid w:val="006D0283"/>
    <w:rsid w:val="006D03BC"/>
    <w:rsid w:val="006D05A2"/>
    <w:rsid w:val="006D05FD"/>
    <w:rsid w:val="006D0636"/>
    <w:rsid w:val="006D0D43"/>
    <w:rsid w:val="006D0DC5"/>
    <w:rsid w:val="006D1145"/>
    <w:rsid w:val="006D1346"/>
    <w:rsid w:val="006D13E6"/>
    <w:rsid w:val="006D145A"/>
    <w:rsid w:val="006D1655"/>
    <w:rsid w:val="006D16E3"/>
    <w:rsid w:val="006D1754"/>
    <w:rsid w:val="006D1783"/>
    <w:rsid w:val="006D190B"/>
    <w:rsid w:val="006D1CA4"/>
    <w:rsid w:val="006D200B"/>
    <w:rsid w:val="006D215F"/>
    <w:rsid w:val="006D236B"/>
    <w:rsid w:val="006D2380"/>
    <w:rsid w:val="006D26BE"/>
    <w:rsid w:val="006D28E7"/>
    <w:rsid w:val="006D2AF1"/>
    <w:rsid w:val="006D2B54"/>
    <w:rsid w:val="006D2BD1"/>
    <w:rsid w:val="006D2D2C"/>
    <w:rsid w:val="006D2D99"/>
    <w:rsid w:val="006D2F8E"/>
    <w:rsid w:val="006D305D"/>
    <w:rsid w:val="006D3197"/>
    <w:rsid w:val="006D3307"/>
    <w:rsid w:val="006D39A7"/>
    <w:rsid w:val="006D3AE3"/>
    <w:rsid w:val="006D3BC5"/>
    <w:rsid w:val="006D3CC6"/>
    <w:rsid w:val="006D3CEA"/>
    <w:rsid w:val="006D3D05"/>
    <w:rsid w:val="006D3F58"/>
    <w:rsid w:val="006D4147"/>
    <w:rsid w:val="006D416D"/>
    <w:rsid w:val="006D445E"/>
    <w:rsid w:val="006D44C0"/>
    <w:rsid w:val="006D45BD"/>
    <w:rsid w:val="006D4703"/>
    <w:rsid w:val="006D4842"/>
    <w:rsid w:val="006D4A99"/>
    <w:rsid w:val="006D4A9D"/>
    <w:rsid w:val="006D4B41"/>
    <w:rsid w:val="006D4C15"/>
    <w:rsid w:val="006D4C2D"/>
    <w:rsid w:val="006D4CCF"/>
    <w:rsid w:val="006D5516"/>
    <w:rsid w:val="006D5636"/>
    <w:rsid w:val="006D56F0"/>
    <w:rsid w:val="006D58CA"/>
    <w:rsid w:val="006D5A63"/>
    <w:rsid w:val="006D5D49"/>
    <w:rsid w:val="006D5DA9"/>
    <w:rsid w:val="006D5F60"/>
    <w:rsid w:val="006D6036"/>
    <w:rsid w:val="006D6373"/>
    <w:rsid w:val="006D64BF"/>
    <w:rsid w:val="006D64C3"/>
    <w:rsid w:val="006D66D6"/>
    <w:rsid w:val="006D6795"/>
    <w:rsid w:val="006D6D8C"/>
    <w:rsid w:val="006D6E13"/>
    <w:rsid w:val="006D70B3"/>
    <w:rsid w:val="006D72E8"/>
    <w:rsid w:val="006D7333"/>
    <w:rsid w:val="006D792E"/>
    <w:rsid w:val="006D7C34"/>
    <w:rsid w:val="006E02BB"/>
    <w:rsid w:val="006E03A7"/>
    <w:rsid w:val="006E04BF"/>
    <w:rsid w:val="006E04D7"/>
    <w:rsid w:val="006E0710"/>
    <w:rsid w:val="006E07F2"/>
    <w:rsid w:val="006E07F7"/>
    <w:rsid w:val="006E0901"/>
    <w:rsid w:val="006E0A60"/>
    <w:rsid w:val="006E0BCE"/>
    <w:rsid w:val="006E0EF9"/>
    <w:rsid w:val="006E1091"/>
    <w:rsid w:val="006E1263"/>
    <w:rsid w:val="006E12E3"/>
    <w:rsid w:val="006E133A"/>
    <w:rsid w:val="006E16F3"/>
    <w:rsid w:val="006E19F7"/>
    <w:rsid w:val="006E1F87"/>
    <w:rsid w:val="006E1FCD"/>
    <w:rsid w:val="006E2062"/>
    <w:rsid w:val="006E2068"/>
    <w:rsid w:val="006E2081"/>
    <w:rsid w:val="006E21FA"/>
    <w:rsid w:val="006E2349"/>
    <w:rsid w:val="006E25A7"/>
    <w:rsid w:val="006E2699"/>
    <w:rsid w:val="006E26E3"/>
    <w:rsid w:val="006E2B17"/>
    <w:rsid w:val="006E2BE6"/>
    <w:rsid w:val="006E2CB3"/>
    <w:rsid w:val="006E3018"/>
    <w:rsid w:val="006E310D"/>
    <w:rsid w:val="006E3141"/>
    <w:rsid w:val="006E36BD"/>
    <w:rsid w:val="006E37C2"/>
    <w:rsid w:val="006E390D"/>
    <w:rsid w:val="006E39E5"/>
    <w:rsid w:val="006E3CFE"/>
    <w:rsid w:val="006E3D7C"/>
    <w:rsid w:val="006E3F96"/>
    <w:rsid w:val="006E4197"/>
    <w:rsid w:val="006E44E6"/>
    <w:rsid w:val="006E45E8"/>
    <w:rsid w:val="006E467A"/>
    <w:rsid w:val="006E4833"/>
    <w:rsid w:val="006E49D6"/>
    <w:rsid w:val="006E4AF7"/>
    <w:rsid w:val="006E4B0D"/>
    <w:rsid w:val="006E4C4E"/>
    <w:rsid w:val="006E4D52"/>
    <w:rsid w:val="006E5137"/>
    <w:rsid w:val="006E5148"/>
    <w:rsid w:val="006E52B5"/>
    <w:rsid w:val="006E53CB"/>
    <w:rsid w:val="006E53E8"/>
    <w:rsid w:val="006E5638"/>
    <w:rsid w:val="006E58D4"/>
    <w:rsid w:val="006E5911"/>
    <w:rsid w:val="006E5981"/>
    <w:rsid w:val="006E5AE3"/>
    <w:rsid w:val="006E5BD8"/>
    <w:rsid w:val="006E5E01"/>
    <w:rsid w:val="006E5E8B"/>
    <w:rsid w:val="006E5EFA"/>
    <w:rsid w:val="006E5F48"/>
    <w:rsid w:val="006E6039"/>
    <w:rsid w:val="006E606C"/>
    <w:rsid w:val="006E6090"/>
    <w:rsid w:val="006E6309"/>
    <w:rsid w:val="006E65D3"/>
    <w:rsid w:val="006E6796"/>
    <w:rsid w:val="006E67AB"/>
    <w:rsid w:val="006E67D3"/>
    <w:rsid w:val="006E6884"/>
    <w:rsid w:val="006E69C1"/>
    <w:rsid w:val="006E6B37"/>
    <w:rsid w:val="006E6BDC"/>
    <w:rsid w:val="006E6D6E"/>
    <w:rsid w:val="006E6DC7"/>
    <w:rsid w:val="006E6E0F"/>
    <w:rsid w:val="006E7170"/>
    <w:rsid w:val="006E71A1"/>
    <w:rsid w:val="006E731E"/>
    <w:rsid w:val="006E7688"/>
    <w:rsid w:val="006E780A"/>
    <w:rsid w:val="006E7863"/>
    <w:rsid w:val="006E78A5"/>
    <w:rsid w:val="006E7937"/>
    <w:rsid w:val="006E7984"/>
    <w:rsid w:val="006E7A6A"/>
    <w:rsid w:val="006E7BA8"/>
    <w:rsid w:val="006E7E24"/>
    <w:rsid w:val="006F01DD"/>
    <w:rsid w:val="006F0290"/>
    <w:rsid w:val="006F0392"/>
    <w:rsid w:val="006F045E"/>
    <w:rsid w:val="006F0682"/>
    <w:rsid w:val="006F0817"/>
    <w:rsid w:val="006F0981"/>
    <w:rsid w:val="006F09D3"/>
    <w:rsid w:val="006F0B2F"/>
    <w:rsid w:val="006F0E32"/>
    <w:rsid w:val="006F0F11"/>
    <w:rsid w:val="006F11A3"/>
    <w:rsid w:val="006F136D"/>
    <w:rsid w:val="006F13D1"/>
    <w:rsid w:val="006F1482"/>
    <w:rsid w:val="006F1493"/>
    <w:rsid w:val="006F14A8"/>
    <w:rsid w:val="006F158B"/>
    <w:rsid w:val="006F16C3"/>
    <w:rsid w:val="006F18B0"/>
    <w:rsid w:val="006F1AAE"/>
    <w:rsid w:val="006F1AEC"/>
    <w:rsid w:val="006F1D99"/>
    <w:rsid w:val="006F23E0"/>
    <w:rsid w:val="006F257B"/>
    <w:rsid w:val="006F25C8"/>
    <w:rsid w:val="006F2875"/>
    <w:rsid w:val="006F28C9"/>
    <w:rsid w:val="006F2BAD"/>
    <w:rsid w:val="006F2D73"/>
    <w:rsid w:val="006F2EF6"/>
    <w:rsid w:val="006F2EFD"/>
    <w:rsid w:val="006F2F8E"/>
    <w:rsid w:val="006F3342"/>
    <w:rsid w:val="006F3400"/>
    <w:rsid w:val="006F3600"/>
    <w:rsid w:val="006F3693"/>
    <w:rsid w:val="006F3738"/>
    <w:rsid w:val="006F3836"/>
    <w:rsid w:val="006F3B17"/>
    <w:rsid w:val="006F3B42"/>
    <w:rsid w:val="006F3B76"/>
    <w:rsid w:val="006F3DC2"/>
    <w:rsid w:val="006F3E97"/>
    <w:rsid w:val="006F3EC1"/>
    <w:rsid w:val="006F3FB1"/>
    <w:rsid w:val="006F4003"/>
    <w:rsid w:val="006F4031"/>
    <w:rsid w:val="006F413B"/>
    <w:rsid w:val="006F421F"/>
    <w:rsid w:val="006F47E8"/>
    <w:rsid w:val="006F4856"/>
    <w:rsid w:val="006F48E0"/>
    <w:rsid w:val="006F4DAD"/>
    <w:rsid w:val="006F4EC7"/>
    <w:rsid w:val="006F4F2F"/>
    <w:rsid w:val="006F5354"/>
    <w:rsid w:val="006F53E8"/>
    <w:rsid w:val="006F561E"/>
    <w:rsid w:val="006F5748"/>
    <w:rsid w:val="006F5A39"/>
    <w:rsid w:val="006F5AF3"/>
    <w:rsid w:val="006F5CF0"/>
    <w:rsid w:val="006F5D8B"/>
    <w:rsid w:val="006F5F74"/>
    <w:rsid w:val="006F62C3"/>
    <w:rsid w:val="006F62CF"/>
    <w:rsid w:val="006F637D"/>
    <w:rsid w:val="006F6398"/>
    <w:rsid w:val="006F6598"/>
    <w:rsid w:val="006F65F5"/>
    <w:rsid w:val="006F6808"/>
    <w:rsid w:val="006F6DB0"/>
    <w:rsid w:val="006F6F4D"/>
    <w:rsid w:val="006F6FF8"/>
    <w:rsid w:val="006F72D9"/>
    <w:rsid w:val="006F72EE"/>
    <w:rsid w:val="006F73FB"/>
    <w:rsid w:val="006F762C"/>
    <w:rsid w:val="006F76C3"/>
    <w:rsid w:val="006F7798"/>
    <w:rsid w:val="006F77D4"/>
    <w:rsid w:val="006F78C4"/>
    <w:rsid w:val="006F7A3C"/>
    <w:rsid w:val="006F7CCD"/>
    <w:rsid w:val="006F7E88"/>
    <w:rsid w:val="0070046E"/>
    <w:rsid w:val="0070047B"/>
    <w:rsid w:val="007005D7"/>
    <w:rsid w:val="0070069C"/>
    <w:rsid w:val="0070070A"/>
    <w:rsid w:val="007007C9"/>
    <w:rsid w:val="00700AC9"/>
    <w:rsid w:val="00700C26"/>
    <w:rsid w:val="00700D72"/>
    <w:rsid w:val="00700EFD"/>
    <w:rsid w:val="00700F9F"/>
    <w:rsid w:val="0070134F"/>
    <w:rsid w:val="0070145F"/>
    <w:rsid w:val="0070146F"/>
    <w:rsid w:val="00701664"/>
    <w:rsid w:val="007018D1"/>
    <w:rsid w:val="0070190C"/>
    <w:rsid w:val="00701943"/>
    <w:rsid w:val="00701AB9"/>
    <w:rsid w:val="00701D55"/>
    <w:rsid w:val="00701F76"/>
    <w:rsid w:val="00702082"/>
    <w:rsid w:val="007023E0"/>
    <w:rsid w:val="007025D6"/>
    <w:rsid w:val="0070291F"/>
    <w:rsid w:val="0070297F"/>
    <w:rsid w:val="00702A76"/>
    <w:rsid w:val="00702ADE"/>
    <w:rsid w:val="00702EA7"/>
    <w:rsid w:val="00702EA9"/>
    <w:rsid w:val="00703015"/>
    <w:rsid w:val="00703038"/>
    <w:rsid w:val="00703294"/>
    <w:rsid w:val="0070346D"/>
    <w:rsid w:val="0070360C"/>
    <w:rsid w:val="00703738"/>
    <w:rsid w:val="0070388A"/>
    <w:rsid w:val="007038B1"/>
    <w:rsid w:val="007038FC"/>
    <w:rsid w:val="007039AD"/>
    <w:rsid w:val="00703A28"/>
    <w:rsid w:val="00703AA7"/>
    <w:rsid w:val="00703AE0"/>
    <w:rsid w:val="00703D04"/>
    <w:rsid w:val="00703E3D"/>
    <w:rsid w:val="007042C2"/>
    <w:rsid w:val="0070435F"/>
    <w:rsid w:val="00704394"/>
    <w:rsid w:val="00704418"/>
    <w:rsid w:val="00704478"/>
    <w:rsid w:val="00704637"/>
    <w:rsid w:val="0070471A"/>
    <w:rsid w:val="00704A0F"/>
    <w:rsid w:val="00704B8B"/>
    <w:rsid w:val="00704F06"/>
    <w:rsid w:val="00704F2B"/>
    <w:rsid w:val="00704FAC"/>
    <w:rsid w:val="007050DA"/>
    <w:rsid w:val="007051A3"/>
    <w:rsid w:val="007051A4"/>
    <w:rsid w:val="0070521C"/>
    <w:rsid w:val="00705359"/>
    <w:rsid w:val="007060B3"/>
    <w:rsid w:val="0070613D"/>
    <w:rsid w:val="007061F0"/>
    <w:rsid w:val="007061FF"/>
    <w:rsid w:val="00706204"/>
    <w:rsid w:val="00706249"/>
    <w:rsid w:val="007062C0"/>
    <w:rsid w:val="007063BA"/>
    <w:rsid w:val="00706559"/>
    <w:rsid w:val="00706876"/>
    <w:rsid w:val="007068AA"/>
    <w:rsid w:val="00706AF0"/>
    <w:rsid w:val="00706CC8"/>
    <w:rsid w:val="00706DE0"/>
    <w:rsid w:val="00706EC9"/>
    <w:rsid w:val="00706F1D"/>
    <w:rsid w:val="00706FB8"/>
    <w:rsid w:val="007070A4"/>
    <w:rsid w:val="007071E5"/>
    <w:rsid w:val="00707220"/>
    <w:rsid w:val="007073FB"/>
    <w:rsid w:val="00707481"/>
    <w:rsid w:val="00707590"/>
    <w:rsid w:val="007078A8"/>
    <w:rsid w:val="007078D4"/>
    <w:rsid w:val="0070791C"/>
    <w:rsid w:val="00707D22"/>
    <w:rsid w:val="00707EDC"/>
    <w:rsid w:val="00707F35"/>
    <w:rsid w:val="00710277"/>
    <w:rsid w:val="00710302"/>
    <w:rsid w:val="0071036F"/>
    <w:rsid w:val="007103C5"/>
    <w:rsid w:val="00710409"/>
    <w:rsid w:val="0071056A"/>
    <w:rsid w:val="00710676"/>
    <w:rsid w:val="00710687"/>
    <w:rsid w:val="0071069B"/>
    <w:rsid w:val="0071090D"/>
    <w:rsid w:val="0071097E"/>
    <w:rsid w:val="00710C9E"/>
    <w:rsid w:val="00710DD8"/>
    <w:rsid w:val="00710E06"/>
    <w:rsid w:val="00710EC5"/>
    <w:rsid w:val="00711028"/>
    <w:rsid w:val="00711111"/>
    <w:rsid w:val="007114B3"/>
    <w:rsid w:val="007115F0"/>
    <w:rsid w:val="007115FD"/>
    <w:rsid w:val="0071191C"/>
    <w:rsid w:val="00711DD4"/>
    <w:rsid w:val="00711E66"/>
    <w:rsid w:val="00711ED0"/>
    <w:rsid w:val="00712090"/>
    <w:rsid w:val="007122EF"/>
    <w:rsid w:val="007123BE"/>
    <w:rsid w:val="007125DF"/>
    <w:rsid w:val="007127A9"/>
    <w:rsid w:val="00712846"/>
    <w:rsid w:val="00712BEE"/>
    <w:rsid w:val="00712F28"/>
    <w:rsid w:val="007130BA"/>
    <w:rsid w:val="0071337A"/>
    <w:rsid w:val="00713419"/>
    <w:rsid w:val="007138DB"/>
    <w:rsid w:val="0071396E"/>
    <w:rsid w:val="007139C4"/>
    <w:rsid w:val="00713A16"/>
    <w:rsid w:val="00713B2A"/>
    <w:rsid w:val="00713E5E"/>
    <w:rsid w:val="00713F23"/>
    <w:rsid w:val="00713F4C"/>
    <w:rsid w:val="00714A3E"/>
    <w:rsid w:val="00714CB7"/>
    <w:rsid w:val="00714D8F"/>
    <w:rsid w:val="00714FBE"/>
    <w:rsid w:val="00715053"/>
    <w:rsid w:val="007154DE"/>
    <w:rsid w:val="0071560B"/>
    <w:rsid w:val="00715765"/>
    <w:rsid w:val="00715915"/>
    <w:rsid w:val="00715E78"/>
    <w:rsid w:val="00715F65"/>
    <w:rsid w:val="00715F86"/>
    <w:rsid w:val="00716187"/>
    <w:rsid w:val="00716315"/>
    <w:rsid w:val="0071637A"/>
    <w:rsid w:val="00716559"/>
    <w:rsid w:val="00716648"/>
    <w:rsid w:val="00716869"/>
    <w:rsid w:val="00716A25"/>
    <w:rsid w:val="00716A4D"/>
    <w:rsid w:val="00716C23"/>
    <w:rsid w:val="00716D18"/>
    <w:rsid w:val="00716D65"/>
    <w:rsid w:val="00716EC4"/>
    <w:rsid w:val="00717012"/>
    <w:rsid w:val="00717044"/>
    <w:rsid w:val="007170EB"/>
    <w:rsid w:val="00717144"/>
    <w:rsid w:val="007171B6"/>
    <w:rsid w:val="007171F3"/>
    <w:rsid w:val="007171F8"/>
    <w:rsid w:val="00717404"/>
    <w:rsid w:val="0071762C"/>
    <w:rsid w:val="0071779E"/>
    <w:rsid w:val="007178AC"/>
    <w:rsid w:val="007179A3"/>
    <w:rsid w:val="00717CAA"/>
    <w:rsid w:val="00717F02"/>
    <w:rsid w:val="00720061"/>
    <w:rsid w:val="0072009A"/>
    <w:rsid w:val="007200A1"/>
    <w:rsid w:val="0072014A"/>
    <w:rsid w:val="0072016C"/>
    <w:rsid w:val="0072024D"/>
    <w:rsid w:val="0072067A"/>
    <w:rsid w:val="00720B19"/>
    <w:rsid w:val="00720BD5"/>
    <w:rsid w:val="00720C18"/>
    <w:rsid w:val="00720ED5"/>
    <w:rsid w:val="007212CC"/>
    <w:rsid w:val="007212F1"/>
    <w:rsid w:val="007216FB"/>
    <w:rsid w:val="00721A1C"/>
    <w:rsid w:val="00721CCF"/>
    <w:rsid w:val="00721E31"/>
    <w:rsid w:val="00721F09"/>
    <w:rsid w:val="00721F7A"/>
    <w:rsid w:val="0072209A"/>
    <w:rsid w:val="007221A0"/>
    <w:rsid w:val="007221B8"/>
    <w:rsid w:val="0072267C"/>
    <w:rsid w:val="00722AE0"/>
    <w:rsid w:val="00722B3B"/>
    <w:rsid w:val="00722D2A"/>
    <w:rsid w:val="00722E49"/>
    <w:rsid w:val="00722FAE"/>
    <w:rsid w:val="0072300C"/>
    <w:rsid w:val="00723031"/>
    <w:rsid w:val="00723173"/>
    <w:rsid w:val="00723309"/>
    <w:rsid w:val="007234E8"/>
    <w:rsid w:val="00723749"/>
    <w:rsid w:val="007238B3"/>
    <w:rsid w:val="00723909"/>
    <w:rsid w:val="007239E3"/>
    <w:rsid w:val="00723A44"/>
    <w:rsid w:val="00723BFF"/>
    <w:rsid w:val="00723C0F"/>
    <w:rsid w:val="00723D2C"/>
    <w:rsid w:val="00723DB8"/>
    <w:rsid w:val="00724078"/>
    <w:rsid w:val="007241D6"/>
    <w:rsid w:val="007242AC"/>
    <w:rsid w:val="0072441F"/>
    <w:rsid w:val="007244D1"/>
    <w:rsid w:val="007245A5"/>
    <w:rsid w:val="007248D5"/>
    <w:rsid w:val="00724BFC"/>
    <w:rsid w:val="00724CA7"/>
    <w:rsid w:val="00724CF5"/>
    <w:rsid w:val="00725036"/>
    <w:rsid w:val="0072507B"/>
    <w:rsid w:val="00725174"/>
    <w:rsid w:val="0072522B"/>
    <w:rsid w:val="007257AB"/>
    <w:rsid w:val="00725858"/>
    <w:rsid w:val="0072594F"/>
    <w:rsid w:val="00725BF2"/>
    <w:rsid w:val="00725CDA"/>
    <w:rsid w:val="007262E5"/>
    <w:rsid w:val="00726442"/>
    <w:rsid w:val="00726520"/>
    <w:rsid w:val="007265EE"/>
    <w:rsid w:val="0072680B"/>
    <w:rsid w:val="007268A3"/>
    <w:rsid w:val="00726BBE"/>
    <w:rsid w:val="00726C87"/>
    <w:rsid w:val="00726CE5"/>
    <w:rsid w:val="00726F47"/>
    <w:rsid w:val="00726F7F"/>
    <w:rsid w:val="00727186"/>
    <w:rsid w:val="0072747A"/>
    <w:rsid w:val="00727877"/>
    <w:rsid w:val="00727C78"/>
    <w:rsid w:val="00727DEF"/>
    <w:rsid w:val="00727F55"/>
    <w:rsid w:val="00727F8C"/>
    <w:rsid w:val="00730284"/>
    <w:rsid w:val="007303E9"/>
    <w:rsid w:val="007303FD"/>
    <w:rsid w:val="00730648"/>
    <w:rsid w:val="0073064A"/>
    <w:rsid w:val="00730735"/>
    <w:rsid w:val="0073087D"/>
    <w:rsid w:val="00730A91"/>
    <w:rsid w:val="00730CD3"/>
    <w:rsid w:val="00730E47"/>
    <w:rsid w:val="0073116F"/>
    <w:rsid w:val="007318BF"/>
    <w:rsid w:val="00731A14"/>
    <w:rsid w:val="00731A40"/>
    <w:rsid w:val="00731CDB"/>
    <w:rsid w:val="00731FBB"/>
    <w:rsid w:val="00732028"/>
    <w:rsid w:val="007323DA"/>
    <w:rsid w:val="007326CC"/>
    <w:rsid w:val="007326F1"/>
    <w:rsid w:val="00732B62"/>
    <w:rsid w:val="00732E2D"/>
    <w:rsid w:val="00732EC7"/>
    <w:rsid w:val="007330EB"/>
    <w:rsid w:val="0073332E"/>
    <w:rsid w:val="0073340E"/>
    <w:rsid w:val="00733430"/>
    <w:rsid w:val="00733535"/>
    <w:rsid w:val="0073373C"/>
    <w:rsid w:val="007339A2"/>
    <w:rsid w:val="007339BA"/>
    <w:rsid w:val="00733AD2"/>
    <w:rsid w:val="00733BB7"/>
    <w:rsid w:val="00733DBA"/>
    <w:rsid w:val="00733F83"/>
    <w:rsid w:val="0073412F"/>
    <w:rsid w:val="00734221"/>
    <w:rsid w:val="007348AE"/>
    <w:rsid w:val="0073497F"/>
    <w:rsid w:val="00734A00"/>
    <w:rsid w:val="00734B61"/>
    <w:rsid w:val="00734E2B"/>
    <w:rsid w:val="007351D4"/>
    <w:rsid w:val="0073521D"/>
    <w:rsid w:val="007352F6"/>
    <w:rsid w:val="007356F1"/>
    <w:rsid w:val="0073574A"/>
    <w:rsid w:val="00735A36"/>
    <w:rsid w:val="00735B90"/>
    <w:rsid w:val="00735C23"/>
    <w:rsid w:val="00735D9E"/>
    <w:rsid w:val="0073656B"/>
    <w:rsid w:val="007368E5"/>
    <w:rsid w:val="007369A3"/>
    <w:rsid w:val="00736B3B"/>
    <w:rsid w:val="00736C90"/>
    <w:rsid w:val="00736CE5"/>
    <w:rsid w:val="00736D91"/>
    <w:rsid w:val="00737330"/>
    <w:rsid w:val="0073746E"/>
    <w:rsid w:val="007374F1"/>
    <w:rsid w:val="00737834"/>
    <w:rsid w:val="007378B8"/>
    <w:rsid w:val="00737998"/>
    <w:rsid w:val="00737DB4"/>
    <w:rsid w:val="00737E00"/>
    <w:rsid w:val="00737E9B"/>
    <w:rsid w:val="0074001F"/>
    <w:rsid w:val="007400FA"/>
    <w:rsid w:val="007401D7"/>
    <w:rsid w:val="007403AD"/>
    <w:rsid w:val="007404B0"/>
    <w:rsid w:val="007408D8"/>
    <w:rsid w:val="0074093F"/>
    <w:rsid w:val="007409DD"/>
    <w:rsid w:val="00740BB8"/>
    <w:rsid w:val="00740E56"/>
    <w:rsid w:val="00740EAF"/>
    <w:rsid w:val="00740FE9"/>
    <w:rsid w:val="0074104C"/>
    <w:rsid w:val="007412A6"/>
    <w:rsid w:val="00741304"/>
    <w:rsid w:val="007413DF"/>
    <w:rsid w:val="00741991"/>
    <w:rsid w:val="00741997"/>
    <w:rsid w:val="00741A92"/>
    <w:rsid w:val="00741BFC"/>
    <w:rsid w:val="00741C34"/>
    <w:rsid w:val="00741E1A"/>
    <w:rsid w:val="00741F8F"/>
    <w:rsid w:val="0074200E"/>
    <w:rsid w:val="00742042"/>
    <w:rsid w:val="007420BE"/>
    <w:rsid w:val="007420FA"/>
    <w:rsid w:val="00742123"/>
    <w:rsid w:val="007423FB"/>
    <w:rsid w:val="0074259B"/>
    <w:rsid w:val="007427BD"/>
    <w:rsid w:val="007428DD"/>
    <w:rsid w:val="00742E8F"/>
    <w:rsid w:val="00743056"/>
    <w:rsid w:val="0074317D"/>
    <w:rsid w:val="0074332D"/>
    <w:rsid w:val="00743384"/>
    <w:rsid w:val="00743522"/>
    <w:rsid w:val="00743835"/>
    <w:rsid w:val="007438C1"/>
    <w:rsid w:val="007439E7"/>
    <w:rsid w:val="00743AB4"/>
    <w:rsid w:val="00743BD1"/>
    <w:rsid w:val="00743C1E"/>
    <w:rsid w:val="00743CF1"/>
    <w:rsid w:val="00743D4D"/>
    <w:rsid w:val="00743E73"/>
    <w:rsid w:val="0074410B"/>
    <w:rsid w:val="007445B3"/>
    <w:rsid w:val="00744705"/>
    <w:rsid w:val="00744774"/>
    <w:rsid w:val="007447AA"/>
    <w:rsid w:val="00744EC4"/>
    <w:rsid w:val="00744F04"/>
    <w:rsid w:val="00744F96"/>
    <w:rsid w:val="00745416"/>
    <w:rsid w:val="007455CC"/>
    <w:rsid w:val="00745846"/>
    <w:rsid w:val="00745DAB"/>
    <w:rsid w:val="00745F06"/>
    <w:rsid w:val="0074601E"/>
    <w:rsid w:val="00746031"/>
    <w:rsid w:val="0074636B"/>
    <w:rsid w:val="00746399"/>
    <w:rsid w:val="00746582"/>
    <w:rsid w:val="00746EC8"/>
    <w:rsid w:val="0074702B"/>
    <w:rsid w:val="0074721C"/>
    <w:rsid w:val="0074732F"/>
    <w:rsid w:val="00747352"/>
    <w:rsid w:val="007473EE"/>
    <w:rsid w:val="00747522"/>
    <w:rsid w:val="00747653"/>
    <w:rsid w:val="007478A7"/>
    <w:rsid w:val="00747D1F"/>
    <w:rsid w:val="00747E01"/>
    <w:rsid w:val="00747E3B"/>
    <w:rsid w:val="00747EE7"/>
    <w:rsid w:val="00747F7E"/>
    <w:rsid w:val="007500BA"/>
    <w:rsid w:val="007500EF"/>
    <w:rsid w:val="00750104"/>
    <w:rsid w:val="007501DE"/>
    <w:rsid w:val="007502D3"/>
    <w:rsid w:val="007503C7"/>
    <w:rsid w:val="007505A6"/>
    <w:rsid w:val="007505DC"/>
    <w:rsid w:val="00750676"/>
    <w:rsid w:val="00750926"/>
    <w:rsid w:val="00750B98"/>
    <w:rsid w:val="00750C1A"/>
    <w:rsid w:val="00750C5B"/>
    <w:rsid w:val="00750D28"/>
    <w:rsid w:val="00750D4D"/>
    <w:rsid w:val="00751048"/>
    <w:rsid w:val="007511AB"/>
    <w:rsid w:val="007512E4"/>
    <w:rsid w:val="0075139E"/>
    <w:rsid w:val="007513D0"/>
    <w:rsid w:val="00751702"/>
    <w:rsid w:val="00751879"/>
    <w:rsid w:val="00751942"/>
    <w:rsid w:val="00751C48"/>
    <w:rsid w:val="00751E8B"/>
    <w:rsid w:val="00751EB9"/>
    <w:rsid w:val="00752108"/>
    <w:rsid w:val="00752293"/>
    <w:rsid w:val="0075256C"/>
    <w:rsid w:val="00752633"/>
    <w:rsid w:val="00752786"/>
    <w:rsid w:val="007527CF"/>
    <w:rsid w:val="00752840"/>
    <w:rsid w:val="0075286D"/>
    <w:rsid w:val="007531C6"/>
    <w:rsid w:val="007531EF"/>
    <w:rsid w:val="00753874"/>
    <w:rsid w:val="00754025"/>
    <w:rsid w:val="007540B3"/>
    <w:rsid w:val="00754178"/>
    <w:rsid w:val="007541CA"/>
    <w:rsid w:val="00754229"/>
    <w:rsid w:val="007542ED"/>
    <w:rsid w:val="0075434D"/>
    <w:rsid w:val="007544DB"/>
    <w:rsid w:val="007544E9"/>
    <w:rsid w:val="00754572"/>
    <w:rsid w:val="007545CE"/>
    <w:rsid w:val="007545DE"/>
    <w:rsid w:val="00754A8C"/>
    <w:rsid w:val="00754AB4"/>
    <w:rsid w:val="00754C5D"/>
    <w:rsid w:val="00754E91"/>
    <w:rsid w:val="0075553A"/>
    <w:rsid w:val="00755596"/>
    <w:rsid w:val="00755776"/>
    <w:rsid w:val="00755861"/>
    <w:rsid w:val="00756365"/>
    <w:rsid w:val="0075645E"/>
    <w:rsid w:val="00756505"/>
    <w:rsid w:val="0075666B"/>
    <w:rsid w:val="0075676E"/>
    <w:rsid w:val="007567D1"/>
    <w:rsid w:val="00756825"/>
    <w:rsid w:val="00756828"/>
    <w:rsid w:val="00756834"/>
    <w:rsid w:val="00756C83"/>
    <w:rsid w:val="00756D2E"/>
    <w:rsid w:val="00756D8F"/>
    <w:rsid w:val="00756DD7"/>
    <w:rsid w:val="00756F01"/>
    <w:rsid w:val="00756F93"/>
    <w:rsid w:val="007572FC"/>
    <w:rsid w:val="0075740A"/>
    <w:rsid w:val="0075763A"/>
    <w:rsid w:val="007578E2"/>
    <w:rsid w:val="00757AC9"/>
    <w:rsid w:val="007601BA"/>
    <w:rsid w:val="0076024A"/>
    <w:rsid w:val="00760346"/>
    <w:rsid w:val="0076051D"/>
    <w:rsid w:val="00760583"/>
    <w:rsid w:val="00760647"/>
    <w:rsid w:val="00760715"/>
    <w:rsid w:val="0076091B"/>
    <w:rsid w:val="00760938"/>
    <w:rsid w:val="00760AD3"/>
    <w:rsid w:val="00760B3E"/>
    <w:rsid w:val="00760B58"/>
    <w:rsid w:val="00760BE6"/>
    <w:rsid w:val="00760D16"/>
    <w:rsid w:val="00760D54"/>
    <w:rsid w:val="00761009"/>
    <w:rsid w:val="00761061"/>
    <w:rsid w:val="00761362"/>
    <w:rsid w:val="0076138D"/>
    <w:rsid w:val="007614A9"/>
    <w:rsid w:val="00761503"/>
    <w:rsid w:val="007615A0"/>
    <w:rsid w:val="00761700"/>
    <w:rsid w:val="0076176B"/>
    <w:rsid w:val="00761860"/>
    <w:rsid w:val="00761B87"/>
    <w:rsid w:val="00761CDC"/>
    <w:rsid w:val="00761DEA"/>
    <w:rsid w:val="00761E0C"/>
    <w:rsid w:val="00761E27"/>
    <w:rsid w:val="007620B8"/>
    <w:rsid w:val="00762378"/>
    <w:rsid w:val="0076250B"/>
    <w:rsid w:val="00762825"/>
    <w:rsid w:val="00762F0E"/>
    <w:rsid w:val="00763033"/>
    <w:rsid w:val="00763338"/>
    <w:rsid w:val="007633D6"/>
    <w:rsid w:val="0076342B"/>
    <w:rsid w:val="00763653"/>
    <w:rsid w:val="00763741"/>
    <w:rsid w:val="00763768"/>
    <w:rsid w:val="00763848"/>
    <w:rsid w:val="00763AED"/>
    <w:rsid w:val="00763E45"/>
    <w:rsid w:val="00763ED4"/>
    <w:rsid w:val="00763EE1"/>
    <w:rsid w:val="00763F3C"/>
    <w:rsid w:val="00764137"/>
    <w:rsid w:val="007641EA"/>
    <w:rsid w:val="00764412"/>
    <w:rsid w:val="007648EF"/>
    <w:rsid w:val="0076495E"/>
    <w:rsid w:val="007649BE"/>
    <w:rsid w:val="007649E9"/>
    <w:rsid w:val="00764BD9"/>
    <w:rsid w:val="00764CBE"/>
    <w:rsid w:val="00764F4F"/>
    <w:rsid w:val="0076501A"/>
    <w:rsid w:val="007654AF"/>
    <w:rsid w:val="007656A2"/>
    <w:rsid w:val="00765880"/>
    <w:rsid w:val="00765B90"/>
    <w:rsid w:val="00765E01"/>
    <w:rsid w:val="00765F24"/>
    <w:rsid w:val="0076606C"/>
    <w:rsid w:val="007660BB"/>
    <w:rsid w:val="00766101"/>
    <w:rsid w:val="007664EA"/>
    <w:rsid w:val="0076656C"/>
    <w:rsid w:val="007665B0"/>
    <w:rsid w:val="007666E7"/>
    <w:rsid w:val="00766816"/>
    <w:rsid w:val="00766865"/>
    <w:rsid w:val="00766F47"/>
    <w:rsid w:val="0076724D"/>
    <w:rsid w:val="0076728D"/>
    <w:rsid w:val="00767428"/>
    <w:rsid w:val="00767517"/>
    <w:rsid w:val="007679C4"/>
    <w:rsid w:val="007679D2"/>
    <w:rsid w:val="00767B4B"/>
    <w:rsid w:val="00767CD3"/>
    <w:rsid w:val="00767D2E"/>
    <w:rsid w:val="00767DA0"/>
    <w:rsid w:val="00767E95"/>
    <w:rsid w:val="00767F45"/>
    <w:rsid w:val="00767F6F"/>
    <w:rsid w:val="0077002C"/>
    <w:rsid w:val="00770131"/>
    <w:rsid w:val="0077025A"/>
    <w:rsid w:val="00770359"/>
    <w:rsid w:val="00770431"/>
    <w:rsid w:val="0077057A"/>
    <w:rsid w:val="007705B8"/>
    <w:rsid w:val="007706CE"/>
    <w:rsid w:val="007706EA"/>
    <w:rsid w:val="00770788"/>
    <w:rsid w:val="00770807"/>
    <w:rsid w:val="00770A90"/>
    <w:rsid w:val="00770BA4"/>
    <w:rsid w:val="00770C37"/>
    <w:rsid w:val="00770DD8"/>
    <w:rsid w:val="00770E55"/>
    <w:rsid w:val="00770F75"/>
    <w:rsid w:val="007713D1"/>
    <w:rsid w:val="0077148A"/>
    <w:rsid w:val="007718BD"/>
    <w:rsid w:val="007718FA"/>
    <w:rsid w:val="00771A5D"/>
    <w:rsid w:val="00771B4F"/>
    <w:rsid w:val="00771D8B"/>
    <w:rsid w:val="00771E3C"/>
    <w:rsid w:val="007727BC"/>
    <w:rsid w:val="00772885"/>
    <w:rsid w:val="007728D0"/>
    <w:rsid w:val="00772C59"/>
    <w:rsid w:val="00772E87"/>
    <w:rsid w:val="00772F73"/>
    <w:rsid w:val="00773022"/>
    <w:rsid w:val="0077338B"/>
    <w:rsid w:val="00773631"/>
    <w:rsid w:val="00773782"/>
    <w:rsid w:val="00773971"/>
    <w:rsid w:val="00773B99"/>
    <w:rsid w:val="00773BF2"/>
    <w:rsid w:val="00773DF2"/>
    <w:rsid w:val="00773F3F"/>
    <w:rsid w:val="00773FBA"/>
    <w:rsid w:val="0077444F"/>
    <w:rsid w:val="007746C8"/>
    <w:rsid w:val="007747B9"/>
    <w:rsid w:val="00774867"/>
    <w:rsid w:val="007748BA"/>
    <w:rsid w:val="00774A02"/>
    <w:rsid w:val="00774A0F"/>
    <w:rsid w:val="00774B04"/>
    <w:rsid w:val="00774C6E"/>
    <w:rsid w:val="00774D5F"/>
    <w:rsid w:val="00774D99"/>
    <w:rsid w:val="0077522F"/>
    <w:rsid w:val="0077526F"/>
    <w:rsid w:val="00775384"/>
    <w:rsid w:val="00775388"/>
    <w:rsid w:val="007755D5"/>
    <w:rsid w:val="007757F5"/>
    <w:rsid w:val="00775CAD"/>
    <w:rsid w:val="00775D78"/>
    <w:rsid w:val="00775DF7"/>
    <w:rsid w:val="00775E08"/>
    <w:rsid w:val="00775F92"/>
    <w:rsid w:val="00776022"/>
    <w:rsid w:val="00776235"/>
    <w:rsid w:val="00776540"/>
    <w:rsid w:val="007765A7"/>
    <w:rsid w:val="0077664A"/>
    <w:rsid w:val="00776808"/>
    <w:rsid w:val="007768DA"/>
    <w:rsid w:val="00776A48"/>
    <w:rsid w:val="00776A60"/>
    <w:rsid w:val="00776C35"/>
    <w:rsid w:val="00776CE6"/>
    <w:rsid w:val="00776F0A"/>
    <w:rsid w:val="00777375"/>
    <w:rsid w:val="0077747E"/>
    <w:rsid w:val="00777492"/>
    <w:rsid w:val="00777648"/>
    <w:rsid w:val="00777AC3"/>
    <w:rsid w:val="00777B6F"/>
    <w:rsid w:val="00777C73"/>
    <w:rsid w:val="00777EF1"/>
    <w:rsid w:val="0078007F"/>
    <w:rsid w:val="007800B6"/>
    <w:rsid w:val="007801B9"/>
    <w:rsid w:val="00780244"/>
    <w:rsid w:val="00780322"/>
    <w:rsid w:val="007803B4"/>
    <w:rsid w:val="007803C6"/>
    <w:rsid w:val="00780886"/>
    <w:rsid w:val="00780AE2"/>
    <w:rsid w:val="00780CD2"/>
    <w:rsid w:val="00780D8D"/>
    <w:rsid w:val="00780E63"/>
    <w:rsid w:val="00780EBB"/>
    <w:rsid w:val="00781069"/>
    <w:rsid w:val="007812CF"/>
    <w:rsid w:val="00781382"/>
    <w:rsid w:val="00781470"/>
    <w:rsid w:val="0078149D"/>
    <w:rsid w:val="00781763"/>
    <w:rsid w:val="007819E0"/>
    <w:rsid w:val="00781E46"/>
    <w:rsid w:val="0078208F"/>
    <w:rsid w:val="00782338"/>
    <w:rsid w:val="0078272C"/>
    <w:rsid w:val="00782739"/>
    <w:rsid w:val="0078286F"/>
    <w:rsid w:val="00782A69"/>
    <w:rsid w:val="00782B96"/>
    <w:rsid w:val="00782D05"/>
    <w:rsid w:val="00782D19"/>
    <w:rsid w:val="00782F18"/>
    <w:rsid w:val="0078309D"/>
    <w:rsid w:val="00783114"/>
    <w:rsid w:val="00783156"/>
    <w:rsid w:val="00783221"/>
    <w:rsid w:val="007832E4"/>
    <w:rsid w:val="007833A4"/>
    <w:rsid w:val="007834EB"/>
    <w:rsid w:val="00783581"/>
    <w:rsid w:val="007836E6"/>
    <w:rsid w:val="0078377A"/>
    <w:rsid w:val="00783B6D"/>
    <w:rsid w:val="00783C89"/>
    <w:rsid w:val="00784008"/>
    <w:rsid w:val="0078407C"/>
    <w:rsid w:val="00784236"/>
    <w:rsid w:val="00784351"/>
    <w:rsid w:val="007845DD"/>
    <w:rsid w:val="00784720"/>
    <w:rsid w:val="00784A5A"/>
    <w:rsid w:val="00784C7C"/>
    <w:rsid w:val="00784CA3"/>
    <w:rsid w:val="00784E04"/>
    <w:rsid w:val="00784FB3"/>
    <w:rsid w:val="00784FD0"/>
    <w:rsid w:val="00785079"/>
    <w:rsid w:val="007852A5"/>
    <w:rsid w:val="007854FE"/>
    <w:rsid w:val="00785584"/>
    <w:rsid w:val="0078571C"/>
    <w:rsid w:val="00785830"/>
    <w:rsid w:val="00785876"/>
    <w:rsid w:val="007858BF"/>
    <w:rsid w:val="00785927"/>
    <w:rsid w:val="00785B4C"/>
    <w:rsid w:val="0078618E"/>
    <w:rsid w:val="007861AE"/>
    <w:rsid w:val="00786319"/>
    <w:rsid w:val="00786389"/>
    <w:rsid w:val="00786528"/>
    <w:rsid w:val="00786C23"/>
    <w:rsid w:val="00786EC4"/>
    <w:rsid w:val="00786F53"/>
    <w:rsid w:val="00786F98"/>
    <w:rsid w:val="00786FEE"/>
    <w:rsid w:val="0078706B"/>
    <w:rsid w:val="00787349"/>
    <w:rsid w:val="007873F1"/>
    <w:rsid w:val="007875CD"/>
    <w:rsid w:val="007875D0"/>
    <w:rsid w:val="007876BB"/>
    <w:rsid w:val="00787742"/>
    <w:rsid w:val="0078787E"/>
    <w:rsid w:val="00787A79"/>
    <w:rsid w:val="00787C09"/>
    <w:rsid w:val="00787CDD"/>
    <w:rsid w:val="00787F5E"/>
    <w:rsid w:val="00790206"/>
    <w:rsid w:val="00790227"/>
    <w:rsid w:val="00790339"/>
    <w:rsid w:val="007903B1"/>
    <w:rsid w:val="00790409"/>
    <w:rsid w:val="007906F5"/>
    <w:rsid w:val="00790B3C"/>
    <w:rsid w:val="00790B50"/>
    <w:rsid w:val="00790DF8"/>
    <w:rsid w:val="00790E37"/>
    <w:rsid w:val="00790EAA"/>
    <w:rsid w:val="007910B9"/>
    <w:rsid w:val="007910DC"/>
    <w:rsid w:val="007910F1"/>
    <w:rsid w:val="00791308"/>
    <w:rsid w:val="00791525"/>
    <w:rsid w:val="00791541"/>
    <w:rsid w:val="00791595"/>
    <w:rsid w:val="00791637"/>
    <w:rsid w:val="0079170E"/>
    <w:rsid w:val="007918C5"/>
    <w:rsid w:val="00791A62"/>
    <w:rsid w:val="00791A75"/>
    <w:rsid w:val="00791BEE"/>
    <w:rsid w:val="00791D20"/>
    <w:rsid w:val="00791FEC"/>
    <w:rsid w:val="00792281"/>
    <w:rsid w:val="0079244F"/>
    <w:rsid w:val="007924F0"/>
    <w:rsid w:val="0079294D"/>
    <w:rsid w:val="00792BA7"/>
    <w:rsid w:val="00792CD9"/>
    <w:rsid w:val="00792DC0"/>
    <w:rsid w:val="007934B5"/>
    <w:rsid w:val="007934CB"/>
    <w:rsid w:val="007936FF"/>
    <w:rsid w:val="00793830"/>
    <w:rsid w:val="007938B6"/>
    <w:rsid w:val="00793C6A"/>
    <w:rsid w:val="00794108"/>
    <w:rsid w:val="00794307"/>
    <w:rsid w:val="00794558"/>
    <w:rsid w:val="007947E0"/>
    <w:rsid w:val="007948CD"/>
    <w:rsid w:val="007948EF"/>
    <w:rsid w:val="00794934"/>
    <w:rsid w:val="00794AAE"/>
    <w:rsid w:val="00794BAF"/>
    <w:rsid w:val="00794E1D"/>
    <w:rsid w:val="00794ECC"/>
    <w:rsid w:val="00794FF9"/>
    <w:rsid w:val="00795001"/>
    <w:rsid w:val="0079505A"/>
    <w:rsid w:val="0079524E"/>
    <w:rsid w:val="007953B0"/>
    <w:rsid w:val="00795611"/>
    <w:rsid w:val="0079570B"/>
    <w:rsid w:val="007959BA"/>
    <w:rsid w:val="00795A09"/>
    <w:rsid w:val="00795A77"/>
    <w:rsid w:val="00795A8A"/>
    <w:rsid w:val="00795ACF"/>
    <w:rsid w:val="00795DB8"/>
    <w:rsid w:val="00796072"/>
    <w:rsid w:val="00796130"/>
    <w:rsid w:val="007962FC"/>
    <w:rsid w:val="00796370"/>
    <w:rsid w:val="0079647F"/>
    <w:rsid w:val="007967F8"/>
    <w:rsid w:val="00796A25"/>
    <w:rsid w:val="00796BD6"/>
    <w:rsid w:val="00796C8B"/>
    <w:rsid w:val="00796E56"/>
    <w:rsid w:val="00797498"/>
    <w:rsid w:val="0079760B"/>
    <w:rsid w:val="00797820"/>
    <w:rsid w:val="007978FE"/>
    <w:rsid w:val="0079793D"/>
    <w:rsid w:val="00797A34"/>
    <w:rsid w:val="00797AD0"/>
    <w:rsid w:val="00797BF3"/>
    <w:rsid w:val="007A0040"/>
    <w:rsid w:val="007A06C5"/>
    <w:rsid w:val="007A0A00"/>
    <w:rsid w:val="007A0A8C"/>
    <w:rsid w:val="007A0D05"/>
    <w:rsid w:val="007A0FB3"/>
    <w:rsid w:val="007A107F"/>
    <w:rsid w:val="007A10BA"/>
    <w:rsid w:val="007A10F1"/>
    <w:rsid w:val="007A19BC"/>
    <w:rsid w:val="007A1C25"/>
    <w:rsid w:val="007A1D7D"/>
    <w:rsid w:val="007A1F09"/>
    <w:rsid w:val="007A201D"/>
    <w:rsid w:val="007A2201"/>
    <w:rsid w:val="007A22CA"/>
    <w:rsid w:val="007A22E7"/>
    <w:rsid w:val="007A2349"/>
    <w:rsid w:val="007A24BB"/>
    <w:rsid w:val="007A27AC"/>
    <w:rsid w:val="007A29B6"/>
    <w:rsid w:val="007A2AB3"/>
    <w:rsid w:val="007A2BFD"/>
    <w:rsid w:val="007A33C2"/>
    <w:rsid w:val="007A353C"/>
    <w:rsid w:val="007A35C3"/>
    <w:rsid w:val="007A3795"/>
    <w:rsid w:val="007A37EF"/>
    <w:rsid w:val="007A3AE5"/>
    <w:rsid w:val="007A3AF8"/>
    <w:rsid w:val="007A3BB5"/>
    <w:rsid w:val="007A3D00"/>
    <w:rsid w:val="007A3D04"/>
    <w:rsid w:val="007A4169"/>
    <w:rsid w:val="007A416F"/>
    <w:rsid w:val="007A4318"/>
    <w:rsid w:val="007A4A7E"/>
    <w:rsid w:val="007A4D08"/>
    <w:rsid w:val="007A54F9"/>
    <w:rsid w:val="007A58A5"/>
    <w:rsid w:val="007A5929"/>
    <w:rsid w:val="007A592A"/>
    <w:rsid w:val="007A592C"/>
    <w:rsid w:val="007A5C89"/>
    <w:rsid w:val="007A5D12"/>
    <w:rsid w:val="007A6023"/>
    <w:rsid w:val="007A627B"/>
    <w:rsid w:val="007A68E4"/>
    <w:rsid w:val="007A69AA"/>
    <w:rsid w:val="007A6A03"/>
    <w:rsid w:val="007A6A76"/>
    <w:rsid w:val="007A6BB7"/>
    <w:rsid w:val="007A6CEE"/>
    <w:rsid w:val="007A7092"/>
    <w:rsid w:val="007A73E6"/>
    <w:rsid w:val="007A750D"/>
    <w:rsid w:val="007A7522"/>
    <w:rsid w:val="007A7539"/>
    <w:rsid w:val="007A76DA"/>
    <w:rsid w:val="007A7888"/>
    <w:rsid w:val="007A797A"/>
    <w:rsid w:val="007A7B19"/>
    <w:rsid w:val="007A7CB4"/>
    <w:rsid w:val="007A7CC3"/>
    <w:rsid w:val="007A7CCF"/>
    <w:rsid w:val="007A7D98"/>
    <w:rsid w:val="007A7EE8"/>
    <w:rsid w:val="007A7F54"/>
    <w:rsid w:val="007B004B"/>
    <w:rsid w:val="007B00D8"/>
    <w:rsid w:val="007B0337"/>
    <w:rsid w:val="007B084B"/>
    <w:rsid w:val="007B0A5D"/>
    <w:rsid w:val="007B0A84"/>
    <w:rsid w:val="007B0AB2"/>
    <w:rsid w:val="007B0AC9"/>
    <w:rsid w:val="007B0B71"/>
    <w:rsid w:val="007B0BDB"/>
    <w:rsid w:val="007B0C4E"/>
    <w:rsid w:val="007B0E96"/>
    <w:rsid w:val="007B17DB"/>
    <w:rsid w:val="007B1873"/>
    <w:rsid w:val="007B1B51"/>
    <w:rsid w:val="007B1C69"/>
    <w:rsid w:val="007B1D20"/>
    <w:rsid w:val="007B1E2C"/>
    <w:rsid w:val="007B1E70"/>
    <w:rsid w:val="007B1F99"/>
    <w:rsid w:val="007B207E"/>
    <w:rsid w:val="007B20A9"/>
    <w:rsid w:val="007B217D"/>
    <w:rsid w:val="007B2246"/>
    <w:rsid w:val="007B2603"/>
    <w:rsid w:val="007B2712"/>
    <w:rsid w:val="007B2A66"/>
    <w:rsid w:val="007B2AE6"/>
    <w:rsid w:val="007B2B2B"/>
    <w:rsid w:val="007B35F0"/>
    <w:rsid w:val="007B3644"/>
    <w:rsid w:val="007B3971"/>
    <w:rsid w:val="007B3BDD"/>
    <w:rsid w:val="007B3E09"/>
    <w:rsid w:val="007B3E25"/>
    <w:rsid w:val="007B3E7A"/>
    <w:rsid w:val="007B41AD"/>
    <w:rsid w:val="007B483A"/>
    <w:rsid w:val="007B4949"/>
    <w:rsid w:val="007B4A62"/>
    <w:rsid w:val="007B4B31"/>
    <w:rsid w:val="007B4C17"/>
    <w:rsid w:val="007B504A"/>
    <w:rsid w:val="007B504F"/>
    <w:rsid w:val="007B5216"/>
    <w:rsid w:val="007B52FB"/>
    <w:rsid w:val="007B52FC"/>
    <w:rsid w:val="007B54CB"/>
    <w:rsid w:val="007B59D3"/>
    <w:rsid w:val="007B59EE"/>
    <w:rsid w:val="007B5B13"/>
    <w:rsid w:val="007B5C33"/>
    <w:rsid w:val="007B5EE4"/>
    <w:rsid w:val="007B5F0D"/>
    <w:rsid w:val="007B5F6A"/>
    <w:rsid w:val="007B5FCE"/>
    <w:rsid w:val="007B5FF0"/>
    <w:rsid w:val="007B6515"/>
    <w:rsid w:val="007B668A"/>
    <w:rsid w:val="007B6873"/>
    <w:rsid w:val="007B6BC3"/>
    <w:rsid w:val="007B6C24"/>
    <w:rsid w:val="007B6DF1"/>
    <w:rsid w:val="007B6DF8"/>
    <w:rsid w:val="007B6E60"/>
    <w:rsid w:val="007B6F1C"/>
    <w:rsid w:val="007B6F9C"/>
    <w:rsid w:val="007B71EE"/>
    <w:rsid w:val="007B71EF"/>
    <w:rsid w:val="007B7813"/>
    <w:rsid w:val="007B78A3"/>
    <w:rsid w:val="007B7D56"/>
    <w:rsid w:val="007B7FC4"/>
    <w:rsid w:val="007C01AF"/>
    <w:rsid w:val="007C02AE"/>
    <w:rsid w:val="007C0306"/>
    <w:rsid w:val="007C0443"/>
    <w:rsid w:val="007C0762"/>
    <w:rsid w:val="007C089C"/>
    <w:rsid w:val="007C08B1"/>
    <w:rsid w:val="007C0909"/>
    <w:rsid w:val="007C0985"/>
    <w:rsid w:val="007C0E01"/>
    <w:rsid w:val="007C0E05"/>
    <w:rsid w:val="007C0F45"/>
    <w:rsid w:val="007C0F91"/>
    <w:rsid w:val="007C0FE6"/>
    <w:rsid w:val="007C0FEB"/>
    <w:rsid w:val="007C1083"/>
    <w:rsid w:val="007C14FA"/>
    <w:rsid w:val="007C1516"/>
    <w:rsid w:val="007C151A"/>
    <w:rsid w:val="007C18F0"/>
    <w:rsid w:val="007C1A30"/>
    <w:rsid w:val="007C1C4A"/>
    <w:rsid w:val="007C1D60"/>
    <w:rsid w:val="007C1DAC"/>
    <w:rsid w:val="007C1E2A"/>
    <w:rsid w:val="007C1FD8"/>
    <w:rsid w:val="007C267B"/>
    <w:rsid w:val="007C2697"/>
    <w:rsid w:val="007C26AB"/>
    <w:rsid w:val="007C2758"/>
    <w:rsid w:val="007C283E"/>
    <w:rsid w:val="007C29D6"/>
    <w:rsid w:val="007C2A43"/>
    <w:rsid w:val="007C2FE6"/>
    <w:rsid w:val="007C313D"/>
    <w:rsid w:val="007C3443"/>
    <w:rsid w:val="007C34A1"/>
    <w:rsid w:val="007C393E"/>
    <w:rsid w:val="007C3AE4"/>
    <w:rsid w:val="007C3E81"/>
    <w:rsid w:val="007C3F00"/>
    <w:rsid w:val="007C40AD"/>
    <w:rsid w:val="007C4107"/>
    <w:rsid w:val="007C41AC"/>
    <w:rsid w:val="007C43CA"/>
    <w:rsid w:val="007C43FB"/>
    <w:rsid w:val="007C44C1"/>
    <w:rsid w:val="007C45A9"/>
    <w:rsid w:val="007C46A5"/>
    <w:rsid w:val="007C4939"/>
    <w:rsid w:val="007C4BAD"/>
    <w:rsid w:val="007C4C2A"/>
    <w:rsid w:val="007C4DCC"/>
    <w:rsid w:val="007C50DE"/>
    <w:rsid w:val="007C5347"/>
    <w:rsid w:val="007C5366"/>
    <w:rsid w:val="007C540E"/>
    <w:rsid w:val="007C57BB"/>
    <w:rsid w:val="007C5970"/>
    <w:rsid w:val="007C5F85"/>
    <w:rsid w:val="007C5F87"/>
    <w:rsid w:val="007C61BB"/>
    <w:rsid w:val="007C6223"/>
    <w:rsid w:val="007C6323"/>
    <w:rsid w:val="007C63F3"/>
    <w:rsid w:val="007C648C"/>
    <w:rsid w:val="007C64BF"/>
    <w:rsid w:val="007C656B"/>
    <w:rsid w:val="007C6581"/>
    <w:rsid w:val="007C6899"/>
    <w:rsid w:val="007C6A2F"/>
    <w:rsid w:val="007C6B33"/>
    <w:rsid w:val="007C6C68"/>
    <w:rsid w:val="007C7057"/>
    <w:rsid w:val="007C7294"/>
    <w:rsid w:val="007C733D"/>
    <w:rsid w:val="007C73B1"/>
    <w:rsid w:val="007C788F"/>
    <w:rsid w:val="007C791B"/>
    <w:rsid w:val="007C79BB"/>
    <w:rsid w:val="007C7B5E"/>
    <w:rsid w:val="007C7C48"/>
    <w:rsid w:val="007C7C4C"/>
    <w:rsid w:val="007C7EFD"/>
    <w:rsid w:val="007D0048"/>
    <w:rsid w:val="007D0205"/>
    <w:rsid w:val="007D0323"/>
    <w:rsid w:val="007D05CB"/>
    <w:rsid w:val="007D067A"/>
    <w:rsid w:val="007D082D"/>
    <w:rsid w:val="007D0870"/>
    <w:rsid w:val="007D08E9"/>
    <w:rsid w:val="007D0B66"/>
    <w:rsid w:val="007D0DC6"/>
    <w:rsid w:val="007D0F3F"/>
    <w:rsid w:val="007D0F44"/>
    <w:rsid w:val="007D1101"/>
    <w:rsid w:val="007D12A8"/>
    <w:rsid w:val="007D14AF"/>
    <w:rsid w:val="007D15B7"/>
    <w:rsid w:val="007D17EB"/>
    <w:rsid w:val="007D1819"/>
    <w:rsid w:val="007D1C39"/>
    <w:rsid w:val="007D2021"/>
    <w:rsid w:val="007D20CA"/>
    <w:rsid w:val="007D2544"/>
    <w:rsid w:val="007D25DB"/>
    <w:rsid w:val="007D25F8"/>
    <w:rsid w:val="007D269B"/>
    <w:rsid w:val="007D27FD"/>
    <w:rsid w:val="007D2889"/>
    <w:rsid w:val="007D28CE"/>
    <w:rsid w:val="007D2BCB"/>
    <w:rsid w:val="007D2CA0"/>
    <w:rsid w:val="007D2D21"/>
    <w:rsid w:val="007D2DFA"/>
    <w:rsid w:val="007D2E7D"/>
    <w:rsid w:val="007D2F98"/>
    <w:rsid w:val="007D31C3"/>
    <w:rsid w:val="007D334D"/>
    <w:rsid w:val="007D33CD"/>
    <w:rsid w:val="007D3423"/>
    <w:rsid w:val="007D3819"/>
    <w:rsid w:val="007D3D50"/>
    <w:rsid w:val="007D3D8B"/>
    <w:rsid w:val="007D3DB6"/>
    <w:rsid w:val="007D3FD4"/>
    <w:rsid w:val="007D3FF7"/>
    <w:rsid w:val="007D406B"/>
    <w:rsid w:val="007D421F"/>
    <w:rsid w:val="007D4297"/>
    <w:rsid w:val="007D436E"/>
    <w:rsid w:val="007D4399"/>
    <w:rsid w:val="007D45FB"/>
    <w:rsid w:val="007D468C"/>
    <w:rsid w:val="007D48F5"/>
    <w:rsid w:val="007D4ACC"/>
    <w:rsid w:val="007D4DB2"/>
    <w:rsid w:val="007D4E98"/>
    <w:rsid w:val="007D4F12"/>
    <w:rsid w:val="007D50A1"/>
    <w:rsid w:val="007D50C4"/>
    <w:rsid w:val="007D51B1"/>
    <w:rsid w:val="007D5434"/>
    <w:rsid w:val="007D583C"/>
    <w:rsid w:val="007D58FF"/>
    <w:rsid w:val="007D59BF"/>
    <w:rsid w:val="007D5DAB"/>
    <w:rsid w:val="007D5DD3"/>
    <w:rsid w:val="007D5E0E"/>
    <w:rsid w:val="007D5F62"/>
    <w:rsid w:val="007D6256"/>
    <w:rsid w:val="007D6473"/>
    <w:rsid w:val="007D674A"/>
    <w:rsid w:val="007D675E"/>
    <w:rsid w:val="007D7129"/>
    <w:rsid w:val="007D744D"/>
    <w:rsid w:val="007D7471"/>
    <w:rsid w:val="007D7479"/>
    <w:rsid w:val="007D7638"/>
    <w:rsid w:val="007D7789"/>
    <w:rsid w:val="007D7844"/>
    <w:rsid w:val="007D78E0"/>
    <w:rsid w:val="007D7A34"/>
    <w:rsid w:val="007D7CA8"/>
    <w:rsid w:val="007E00F5"/>
    <w:rsid w:val="007E0774"/>
    <w:rsid w:val="007E0787"/>
    <w:rsid w:val="007E0AB2"/>
    <w:rsid w:val="007E0AF0"/>
    <w:rsid w:val="007E0CC1"/>
    <w:rsid w:val="007E0FAC"/>
    <w:rsid w:val="007E103E"/>
    <w:rsid w:val="007E1185"/>
    <w:rsid w:val="007E121E"/>
    <w:rsid w:val="007E136E"/>
    <w:rsid w:val="007E1445"/>
    <w:rsid w:val="007E154C"/>
    <w:rsid w:val="007E15CE"/>
    <w:rsid w:val="007E16A0"/>
    <w:rsid w:val="007E16BD"/>
    <w:rsid w:val="007E16EB"/>
    <w:rsid w:val="007E17A8"/>
    <w:rsid w:val="007E1CD2"/>
    <w:rsid w:val="007E1D7B"/>
    <w:rsid w:val="007E1DA5"/>
    <w:rsid w:val="007E1F07"/>
    <w:rsid w:val="007E22D5"/>
    <w:rsid w:val="007E23AE"/>
    <w:rsid w:val="007E299B"/>
    <w:rsid w:val="007E2B1C"/>
    <w:rsid w:val="007E2F38"/>
    <w:rsid w:val="007E3469"/>
    <w:rsid w:val="007E3487"/>
    <w:rsid w:val="007E34C1"/>
    <w:rsid w:val="007E3860"/>
    <w:rsid w:val="007E3BDF"/>
    <w:rsid w:val="007E3C86"/>
    <w:rsid w:val="007E3F8C"/>
    <w:rsid w:val="007E418E"/>
    <w:rsid w:val="007E41B1"/>
    <w:rsid w:val="007E41D9"/>
    <w:rsid w:val="007E444F"/>
    <w:rsid w:val="007E448D"/>
    <w:rsid w:val="007E4650"/>
    <w:rsid w:val="007E46C7"/>
    <w:rsid w:val="007E48CD"/>
    <w:rsid w:val="007E4BDA"/>
    <w:rsid w:val="007E4C3C"/>
    <w:rsid w:val="007E4C85"/>
    <w:rsid w:val="007E4E22"/>
    <w:rsid w:val="007E4F2C"/>
    <w:rsid w:val="007E5096"/>
    <w:rsid w:val="007E509A"/>
    <w:rsid w:val="007E5628"/>
    <w:rsid w:val="007E56E5"/>
    <w:rsid w:val="007E57F1"/>
    <w:rsid w:val="007E5BDD"/>
    <w:rsid w:val="007E5DDD"/>
    <w:rsid w:val="007E6207"/>
    <w:rsid w:val="007E6590"/>
    <w:rsid w:val="007E6668"/>
    <w:rsid w:val="007E66AB"/>
    <w:rsid w:val="007E6D6C"/>
    <w:rsid w:val="007E7017"/>
    <w:rsid w:val="007E7032"/>
    <w:rsid w:val="007E7A7A"/>
    <w:rsid w:val="007E7B14"/>
    <w:rsid w:val="007E7F21"/>
    <w:rsid w:val="007E7FCF"/>
    <w:rsid w:val="007F004A"/>
    <w:rsid w:val="007F00AE"/>
    <w:rsid w:val="007F0636"/>
    <w:rsid w:val="007F08CC"/>
    <w:rsid w:val="007F0955"/>
    <w:rsid w:val="007F09A5"/>
    <w:rsid w:val="007F0A03"/>
    <w:rsid w:val="007F0A22"/>
    <w:rsid w:val="007F0CAF"/>
    <w:rsid w:val="007F0FBA"/>
    <w:rsid w:val="007F0FC0"/>
    <w:rsid w:val="007F10D3"/>
    <w:rsid w:val="007F116F"/>
    <w:rsid w:val="007F11F2"/>
    <w:rsid w:val="007F1208"/>
    <w:rsid w:val="007F12ED"/>
    <w:rsid w:val="007F1518"/>
    <w:rsid w:val="007F1528"/>
    <w:rsid w:val="007F16B3"/>
    <w:rsid w:val="007F1898"/>
    <w:rsid w:val="007F189B"/>
    <w:rsid w:val="007F1AE1"/>
    <w:rsid w:val="007F1E55"/>
    <w:rsid w:val="007F1FAB"/>
    <w:rsid w:val="007F1FE7"/>
    <w:rsid w:val="007F20B4"/>
    <w:rsid w:val="007F23C8"/>
    <w:rsid w:val="007F24D8"/>
    <w:rsid w:val="007F261F"/>
    <w:rsid w:val="007F2665"/>
    <w:rsid w:val="007F28C9"/>
    <w:rsid w:val="007F29AF"/>
    <w:rsid w:val="007F2A1E"/>
    <w:rsid w:val="007F2D17"/>
    <w:rsid w:val="007F309F"/>
    <w:rsid w:val="007F30A7"/>
    <w:rsid w:val="007F32AB"/>
    <w:rsid w:val="007F32E6"/>
    <w:rsid w:val="007F32FF"/>
    <w:rsid w:val="007F3347"/>
    <w:rsid w:val="007F3433"/>
    <w:rsid w:val="007F349F"/>
    <w:rsid w:val="007F34CB"/>
    <w:rsid w:val="007F397F"/>
    <w:rsid w:val="007F3A7B"/>
    <w:rsid w:val="007F3B81"/>
    <w:rsid w:val="007F3BD8"/>
    <w:rsid w:val="007F3E26"/>
    <w:rsid w:val="007F3F17"/>
    <w:rsid w:val="007F3F2D"/>
    <w:rsid w:val="007F4134"/>
    <w:rsid w:val="007F4245"/>
    <w:rsid w:val="007F4527"/>
    <w:rsid w:val="007F4784"/>
    <w:rsid w:val="007F48FC"/>
    <w:rsid w:val="007F498F"/>
    <w:rsid w:val="007F4A1D"/>
    <w:rsid w:val="007F4A8F"/>
    <w:rsid w:val="007F4BEE"/>
    <w:rsid w:val="007F501E"/>
    <w:rsid w:val="007F5164"/>
    <w:rsid w:val="007F55D3"/>
    <w:rsid w:val="007F598D"/>
    <w:rsid w:val="007F5B0C"/>
    <w:rsid w:val="007F5DD7"/>
    <w:rsid w:val="007F5E7C"/>
    <w:rsid w:val="007F5F71"/>
    <w:rsid w:val="007F60D9"/>
    <w:rsid w:val="007F6318"/>
    <w:rsid w:val="007F667C"/>
    <w:rsid w:val="007F668D"/>
    <w:rsid w:val="007F66F9"/>
    <w:rsid w:val="007F6EE7"/>
    <w:rsid w:val="007F714E"/>
    <w:rsid w:val="007F71B0"/>
    <w:rsid w:val="007F726E"/>
    <w:rsid w:val="007F734B"/>
    <w:rsid w:val="007F74FA"/>
    <w:rsid w:val="007F761D"/>
    <w:rsid w:val="007F7668"/>
    <w:rsid w:val="007F779F"/>
    <w:rsid w:val="007F77A1"/>
    <w:rsid w:val="007F7841"/>
    <w:rsid w:val="007F7A54"/>
    <w:rsid w:val="007F7D16"/>
    <w:rsid w:val="007F7E90"/>
    <w:rsid w:val="007F7E9C"/>
    <w:rsid w:val="0080006C"/>
    <w:rsid w:val="008000D5"/>
    <w:rsid w:val="008000E6"/>
    <w:rsid w:val="0080010F"/>
    <w:rsid w:val="00800182"/>
    <w:rsid w:val="00800519"/>
    <w:rsid w:val="00800971"/>
    <w:rsid w:val="00800977"/>
    <w:rsid w:val="0080099F"/>
    <w:rsid w:val="00800A0C"/>
    <w:rsid w:val="00800CC0"/>
    <w:rsid w:val="00800D5F"/>
    <w:rsid w:val="00800DEC"/>
    <w:rsid w:val="00800EDD"/>
    <w:rsid w:val="00800F02"/>
    <w:rsid w:val="00800F04"/>
    <w:rsid w:val="008013C3"/>
    <w:rsid w:val="0080142D"/>
    <w:rsid w:val="008014A7"/>
    <w:rsid w:val="00801712"/>
    <w:rsid w:val="00801725"/>
    <w:rsid w:val="00801845"/>
    <w:rsid w:val="008019A1"/>
    <w:rsid w:val="008019C4"/>
    <w:rsid w:val="00801C59"/>
    <w:rsid w:val="00801CCE"/>
    <w:rsid w:val="00801DE6"/>
    <w:rsid w:val="00801F83"/>
    <w:rsid w:val="00802005"/>
    <w:rsid w:val="00802233"/>
    <w:rsid w:val="00802415"/>
    <w:rsid w:val="0080247F"/>
    <w:rsid w:val="00802490"/>
    <w:rsid w:val="008026A3"/>
    <w:rsid w:val="00802798"/>
    <w:rsid w:val="008028F3"/>
    <w:rsid w:val="00802951"/>
    <w:rsid w:val="00802A03"/>
    <w:rsid w:val="00802AEB"/>
    <w:rsid w:val="00802C13"/>
    <w:rsid w:val="00802C39"/>
    <w:rsid w:val="00802D08"/>
    <w:rsid w:val="00802DC4"/>
    <w:rsid w:val="00802FCC"/>
    <w:rsid w:val="00802FE6"/>
    <w:rsid w:val="00803446"/>
    <w:rsid w:val="0080374F"/>
    <w:rsid w:val="00803811"/>
    <w:rsid w:val="00803930"/>
    <w:rsid w:val="00803A32"/>
    <w:rsid w:val="00803AB9"/>
    <w:rsid w:val="00803C59"/>
    <w:rsid w:val="00803D39"/>
    <w:rsid w:val="008043F7"/>
    <w:rsid w:val="00804805"/>
    <w:rsid w:val="00804858"/>
    <w:rsid w:val="00804AD3"/>
    <w:rsid w:val="00804ADE"/>
    <w:rsid w:val="00804B7E"/>
    <w:rsid w:val="00804CBD"/>
    <w:rsid w:val="00804D00"/>
    <w:rsid w:val="00804FBD"/>
    <w:rsid w:val="0080517C"/>
    <w:rsid w:val="008051AA"/>
    <w:rsid w:val="0080529D"/>
    <w:rsid w:val="00805B22"/>
    <w:rsid w:val="00805D3C"/>
    <w:rsid w:val="00805FD5"/>
    <w:rsid w:val="008060BD"/>
    <w:rsid w:val="00806329"/>
    <w:rsid w:val="0080657A"/>
    <w:rsid w:val="00806670"/>
    <w:rsid w:val="008067DA"/>
    <w:rsid w:val="0080682C"/>
    <w:rsid w:val="00806A92"/>
    <w:rsid w:val="00806CE0"/>
    <w:rsid w:val="008070AC"/>
    <w:rsid w:val="00807120"/>
    <w:rsid w:val="008071C7"/>
    <w:rsid w:val="0080730C"/>
    <w:rsid w:val="008073D2"/>
    <w:rsid w:val="0080743A"/>
    <w:rsid w:val="00807679"/>
    <w:rsid w:val="008076A7"/>
    <w:rsid w:val="0080772E"/>
    <w:rsid w:val="008101D6"/>
    <w:rsid w:val="008101DD"/>
    <w:rsid w:val="008103AC"/>
    <w:rsid w:val="00810400"/>
    <w:rsid w:val="008104C2"/>
    <w:rsid w:val="00810527"/>
    <w:rsid w:val="008105BE"/>
    <w:rsid w:val="00810A76"/>
    <w:rsid w:val="00810AA3"/>
    <w:rsid w:val="00810B02"/>
    <w:rsid w:val="00810C8D"/>
    <w:rsid w:val="00810F97"/>
    <w:rsid w:val="0081127F"/>
    <w:rsid w:val="008114B8"/>
    <w:rsid w:val="00811633"/>
    <w:rsid w:val="008118CD"/>
    <w:rsid w:val="008118F4"/>
    <w:rsid w:val="008118F8"/>
    <w:rsid w:val="00811AB5"/>
    <w:rsid w:val="00811B23"/>
    <w:rsid w:val="00811B55"/>
    <w:rsid w:val="00811CEF"/>
    <w:rsid w:val="00811DA7"/>
    <w:rsid w:val="00811EC1"/>
    <w:rsid w:val="008122D8"/>
    <w:rsid w:val="008122D9"/>
    <w:rsid w:val="008122DD"/>
    <w:rsid w:val="00812560"/>
    <w:rsid w:val="00812703"/>
    <w:rsid w:val="008129BB"/>
    <w:rsid w:val="00812ACF"/>
    <w:rsid w:val="00812BFC"/>
    <w:rsid w:val="00812D5B"/>
    <w:rsid w:val="00812D83"/>
    <w:rsid w:val="00812EF2"/>
    <w:rsid w:val="00813417"/>
    <w:rsid w:val="008134DA"/>
    <w:rsid w:val="008137D7"/>
    <w:rsid w:val="00813810"/>
    <w:rsid w:val="008139B4"/>
    <w:rsid w:val="008139BB"/>
    <w:rsid w:val="00813AE9"/>
    <w:rsid w:val="00813DA7"/>
    <w:rsid w:val="00813FB2"/>
    <w:rsid w:val="00814363"/>
    <w:rsid w:val="0081442A"/>
    <w:rsid w:val="00814490"/>
    <w:rsid w:val="0081476C"/>
    <w:rsid w:val="0081478D"/>
    <w:rsid w:val="008147AC"/>
    <w:rsid w:val="008147D0"/>
    <w:rsid w:val="00814845"/>
    <w:rsid w:val="008148A6"/>
    <w:rsid w:val="00814BBD"/>
    <w:rsid w:val="00814C03"/>
    <w:rsid w:val="00814DBF"/>
    <w:rsid w:val="00814F7B"/>
    <w:rsid w:val="008150AC"/>
    <w:rsid w:val="008153CD"/>
    <w:rsid w:val="00815489"/>
    <w:rsid w:val="008157A5"/>
    <w:rsid w:val="00815F0C"/>
    <w:rsid w:val="008161DC"/>
    <w:rsid w:val="008164C9"/>
    <w:rsid w:val="00816551"/>
    <w:rsid w:val="008166EC"/>
    <w:rsid w:val="008168CD"/>
    <w:rsid w:val="008168D6"/>
    <w:rsid w:val="00816C32"/>
    <w:rsid w:val="00816C84"/>
    <w:rsid w:val="00816DB8"/>
    <w:rsid w:val="00816F37"/>
    <w:rsid w:val="0081721F"/>
    <w:rsid w:val="0081722C"/>
    <w:rsid w:val="0081722F"/>
    <w:rsid w:val="008172B9"/>
    <w:rsid w:val="00817346"/>
    <w:rsid w:val="00817366"/>
    <w:rsid w:val="0081746E"/>
    <w:rsid w:val="008175D6"/>
    <w:rsid w:val="0081763B"/>
    <w:rsid w:val="008176C0"/>
    <w:rsid w:val="0081773B"/>
    <w:rsid w:val="00817A3A"/>
    <w:rsid w:val="00817A8F"/>
    <w:rsid w:val="00817AA1"/>
    <w:rsid w:val="00817B04"/>
    <w:rsid w:val="00817C48"/>
    <w:rsid w:val="00817DB4"/>
    <w:rsid w:val="00817F7F"/>
    <w:rsid w:val="00817FA8"/>
    <w:rsid w:val="008202AA"/>
    <w:rsid w:val="008209B2"/>
    <w:rsid w:val="00820A1C"/>
    <w:rsid w:val="00820B54"/>
    <w:rsid w:val="00820B8C"/>
    <w:rsid w:val="00820C0E"/>
    <w:rsid w:val="00820D4D"/>
    <w:rsid w:val="00820D5D"/>
    <w:rsid w:val="00820D82"/>
    <w:rsid w:val="00820F49"/>
    <w:rsid w:val="00821187"/>
    <w:rsid w:val="008211AA"/>
    <w:rsid w:val="0082150F"/>
    <w:rsid w:val="00821575"/>
    <w:rsid w:val="0082175D"/>
    <w:rsid w:val="00821A68"/>
    <w:rsid w:val="00821B3E"/>
    <w:rsid w:val="00822243"/>
    <w:rsid w:val="008223EF"/>
    <w:rsid w:val="00822472"/>
    <w:rsid w:val="00822477"/>
    <w:rsid w:val="0082254B"/>
    <w:rsid w:val="0082262C"/>
    <w:rsid w:val="00822934"/>
    <w:rsid w:val="008229F7"/>
    <w:rsid w:val="00822B8E"/>
    <w:rsid w:val="00822CCB"/>
    <w:rsid w:val="00822EE8"/>
    <w:rsid w:val="0082322D"/>
    <w:rsid w:val="008233B4"/>
    <w:rsid w:val="00823434"/>
    <w:rsid w:val="008239A2"/>
    <w:rsid w:val="00823D41"/>
    <w:rsid w:val="00823D9E"/>
    <w:rsid w:val="00823DDE"/>
    <w:rsid w:val="00823E1B"/>
    <w:rsid w:val="00823F10"/>
    <w:rsid w:val="00824015"/>
    <w:rsid w:val="0082419B"/>
    <w:rsid w:val="00824537"/>
    <w:rsid w:val="0082458E"/>
    <w:rsid w:val="0082484E"/>
    <w:rsid w:val="00824866"/>
    <w:rsid w:val="0082490D"/>
    <w:rsid w:val="0082498F"/>
    <w:rsid w:val="008249EE"/>
    <w:rsid w:val="00824BA4"/>
    <w:rsid w:val="00824BC6"/>
    <w:rsid w:val="00824C07"/>
    <w:rsid w:val="00824C6E"/>
    <w:rsid w:val="00824DBC"/>
    <w:rsid w:val="00824F32"/>
    <w:rsid w:val="00824F34"/>
    <w:rsid w:val="008251A2"/>
    <w:rsid w:val="008254BF"/>
    <w:rsid w:val="0082552E"/>
    <w:rsid w:val="008256E4"/>
    <w:rsid w:val="0082588E"/>
    <w:rsid w:val="008259D8"/>
    <w:rsid w:val="00825C9E"/>
    <w:rsid w:val="00825D5A"/>
    <w:rsid w:val="00826239"/>
    <w:rsid w:val="008262B0"/>
    <w:rsid w:val="008262CB"/>
    <w:rsid w:val="008263C7"/>
    <w:rsid w:val="008263DD"/>
    <w:rsid w:val="0082643A"/>
    <w:rsid w:val="00826622"/>
    <w:rsid w:val="00826CC6"/>
    <w:rsid w:val="00826E2B"/>
    <w:rsid w:val="00826F85"/>
    <w:rsid w:val="00827076"/>
    <w:rsid w:val="008270CF"/>
    <w:rsid w:val="00827116"/>
    <w:rsid w:val="00827172"/>
    <w:rsid w:val="0082729B"/>
    <w:rsid w:val="008272EB"/>
    <w:rsid w:val="00827403"/>
    <w:rsid w:val="00827454"/>
    <w:rsid w:val="00827770"/>
    <w:rsid w:val="00830072"/>
    <w:rsid w:val="0083010D"/>
    <w:rsid w:val="0083025E"/>
    <w:rsid w:val="008303AF"/>
    <w:rsid w:val="008309E0"/>
    <w:rsid w:val="00830A0A"/>
    <w:rsid w:val="00830B7B"/>
    <w:rsid w:val="00830BD8"/>
    <w:rsid w:val="00830C58"/>
    <w:rsid w:val="00830E2D"/>
    <w:rsid w:val="00830ED1"/>
    <w:rsid w:val="0083104B"/>
    <w:rsid w:val="008311A3"/>
    <w:rsid w:val="008311B7"/>
    <w:rsid w:val="0083138F"/>
    <w:rsid w:val="008315BF"/>
    <w:rsid w:val="00831B6D"/>
    <w:rsid w:val="00831C0B"/>
    <w:rsid w:val="00831CCB"/>
    <w:rsid w:val="00831D78"/>
    <w:rsid w:val="00831E49"/>
    <w:rsid w:val="00831FB5"/>
    <w:rsid w:val="008323FB"/>
    <w:rsid w:val="0083251F"/>
    <w:rsid w:val="00832524"/>
    <w:rsid w:val="00832A5D"/>
    <w:rsid w:val="00832B19"/>
    <w:rsid w:val="00832B38"/>
    <w:rsid w:val="00832CCB"/>
    <w:rsid w:val="00832F4D"/>
    <w:rsid w:val="0083338B"/>
    <w:rsid w:val="0083342F"/>
    <w:rsid w:val="00833537"/>
    <w:rsid w:val="008338F8"/>
    <w:rsid w:val="0083397E"/>
    <w:rsid w:val="00833ADE"/>
    <w:rsid w:val="00833C42"/>
    <w:rsid w:val="00833DB0"/>
    <w:rsid w:val="00833DEF"/>
    <w:rsid w:val="00833F86"/>
    <w:rsid w:val="008340B0"/>
    <w:rsid w:val="00834172"/>
    <w:rsid w:val="008341BD"/>
    <w:rsid w:val="008342BD"/>
    <w:rsid w:val="00834366"/>
    <w:rsid w:val="00834389"/>
    <w:rsid w:val="008343D2"/>
    <w:rsid w:val="00834832"/>
    <w:rsid w:val="00834979"/>
    <w:rsid w:val="00834A0C"/>
    <w:rsid w:val="00834AED"/>
    <w:rsid w:val="00834D8E"/>
    <w:rsid w:val="00834D9D"/>
    <w:rsid w:val="00834DD1"/>
    <w:rsid w:val="00834F6D"/>
    <w:rsid w:val="0083502C"/>
    <w:rsid w:val="008352A8"/>
    <w:rsid w:val="0083530C"/>
    <w:rsid w:val="00835776"/>
    <w:rsid w:val="00835795"/>
    <w:rsid w:val="00835F15"/>
    <w:rsid w:val="008361DC"/>
    <w:rsid w:val="008362B6"/>
    <w:rsid w:val="00836497"/>
    <w:rsid w:val="00836530"/>
    <w:rsid w:val="00836598"/>
    <w:rsid w:val="008366C6"/>
    <w:rsid w:val="008366DD"/>
    <w:rsid w:val="00836770"/>
    <w:rsid w:val="008369BD"/>
    <w:rsid w:val="00836AFB"/>
    <w:rsid w:val="00836B29"/>
    <w:rsid w:val="00836D00"/>
    <w:rsid w:val="00836DA0"/>
    <w:rsid w:val="00836ED5"/>
    <w:rsid w:val="008371C1"/>
    <w:rsid w:val="0083750B"/>
    <w:rsid w:val="0083763C"/>
    <w:rsid w:val="0083772B"/>
    <w:rsid w:val="00837B2F"/>
    <w:rsid w:val="00837CDF"/>
    <w:rsid w:val="00837D37"/>
    <w:rsid w:val="00837D66"/>
    <w:rsid w:val="00837E26"/>
    <w:rsid w:val="0084001D"/>
    <w:rsid w:val="00840465"/>
    <w:rsid w:val="0084082C"/>
    <w:rsid w:val="0084097E"/>
    <w:rsid w:val="008409E3"/>
    <w:rsid w:val="008409FF"/>
    <w:rsid w:val="00840A59"/>
    <w:rsid w:val="00840BEE"/>
    <w:rsid w:val="00840F38"/>
    <w:rsid w:val="00841021"/>
    <w:rsid w:val="008419BC"/>
    <w:rsid w:val="00841A91"/>
    <w:rsid w:val="00841BC9"/>
    <w:rsid w:val="00841CA4"/>
    <w:rsid w:val="00841F6D"/>
    <w:rsid w:val="00841FDD"/>
    <w:rsid w:val="008420F8"/>
    <w:rsid w:val="00842164"/>
    <w:rsid w:val="008421EB"/>
    <w:rsid w:val="00842406"/>
    <w:rsid w:val="00842562"/>
    <w:rsid w:val="008425E7"/>
    <w:rsid w:val="0084270D"/>
    <w:rsid w:val="0084289A"/>
    <w:rsid w:val="00842A48"/>
    <w:rsid w:val="00842A4B"/>
    <w:rsid w:val="00842C03"/>
    <w:rsid w:val="00842D4B"/>
    <w:rsid w:val="00842E60"/>
    <w:rsid w:val="00842E8C"/>
    <w:rsid w:val="00842EFA"/>
    <w:rsid w:val="0084326F"/>
    <w:rsid w:val="008434E7"/>
    <w:rsid w:val="0084373E"/>
    <w:rsid w:val="00843C1A"/>
    <w:rsid w:val="00843E33"/>
    <w:rsid w:val="0084424C"/>
    <w:rsid w:val="00844424"/>
    <w:rsid w:val="00844554"/>
    <w:rsid w:val="008445F0"/>
    <w:rsid w:val="0084461F"/>
    <w:rsid w:val="00844668"/>
    <w:rsid w:val="00844841"/>
    <w:rsid w:val="008449A0"/>
    <w:rsid w:val="008449BB"/>
    <w:rsid w:val="00844A6C"/>
    <w:rsid w:val="00845186"/>
    <w:rsid w:val="008453EB"/>
    <w:rsid w:val="00845408"/>
    <w:rsid w:val="00845479"/>
    <w:rsid w:val="00845501"/>
    <w:rsid w:val="00845B40"/>
    <w:rsid w:val="00845B71"/>
    <w:rsid w:val="00845E0D"/>
    <w:rsid w:val="00845F0D"/>
    <w:rsid w:val="00846052"/>
    <w:rsid w:val="008461BC"/>
    <w:rsid w:val="0084627C"/>
    <w:rsid w:val="008462EC"/>
    <w:rsid w:val="00846451"/>
    <w:rsid w:val="0084645B"/>
    <w:rsid w:val="008464AD"/>
    <w:rsid w:val="008465B6"/>
    <w:rsid w:val="0084662D"/>
    <w:rsid w:val="00846648"/>
    <w:rsid w:val="008469F0"/>
    <w:rsid w:val="00846AF6"/>
    <w:rsid w:val="00846D34"/>
    <w:rsid w:val="00846E06"/>
    <w:rsid w:val="00846EB9"/>
    <w:rsid w:val="00846FA0"/>
    <w:rsid w:val="00847237"/>
    <w:rsid w:val="00847648"/>
    <w:rsid w:val="0084785B"/>
    <w:rsid w:val="00847990"/>
    <w:rsid w:val="00847BB7"/>
    <w:rsid w:val="00847E0B"/>
    <w:rsid w:val="00847FD4"/>
    <w:rsid w:val="00850734"/>
    <w:rsid w:val="008507C1"/>
    <w:rsid w:val="00850C2A"/>
    <w:rsid w:val="00851268"/>
    <w:rsid w:val="00851327"/>
    <w:rsid w:val="0085138F"/>
    <w:rsid w:val="008514CE"/>
    <w:rsid w:val="008514DA"/>
    <w:rsid w:val="008515B6"/>
    <w:rsid w:val="008516FD"/>
    <w:rsid w:val="00851888"/>
    <w:rsid w:val="00851A1F"/>
    <w:rsid w:val="00851BD8"/>
    <w:rsid w:val="00851F3F"/>
    <w:rsid w:val="00851FE3"/>
    <w:rsid w:val="008521E7"/>
    <w:rsid w:val="0085221E"/>
    <w:rsid w:val="008522E7"/>
    <w:rsid w:val="00852610"/>
    <w:rsid w:val="00852629"/>
    <w:rsid w:val="008528FA"/>
    <w:rsid w:val="00853172"/>
    <w:rsid w:val="00853242"/>
    <w:rsid w:val="0085330C"/>
    <w:rsid w:val="00853605"/>
    <w:rsid w:val="008537FA"/>
    <w:rsid w:val="008539B0"/>
    <w:rsid w:val="00853A78"/>
    <w:rsid w:val="00853AEA"/>
    <w:rsid w:val="00853DAB"/>
    <w:rsid w:val="00853E53"/>
    <w:rsid w:val="00853F20"/>
    <w:rsid w:val="00853FCB"/>
    <w:rsid w:val="008541DE"/>
    <w:rsid w:val="008541F6"/>
    <w:rsid w:val="00854290"/>
    <w:rsid w:val="00854319"/>
    <w:rsid w:val="0085446C"/>
    <w:rsid w:val="008544EE"/>
    <w:rsid w:val="008545AE"/>
    <w:rsid w:val="00854753"/>
    <w:rsid w:val="008547E0"/>
    <w:rsid w:val="00854BB0"/>
    <w:rsid w:val="00854D04"/>
    <w:rsid w:val="00854D4B"/>
    <w:rsid w:val="00854D9E"/>
    <w:rsid w:val="00854E7E"/>
    <w:rsid w:val="008551A6"/>
    <w:rsid w:val="00855204"/>
    <w:rsid w:val="0085521B"/>
    <w:rsid w:val="0085534D"/>
    <w:rsid w:val="008554DB"/>
    <w:rsid w:val="008554EE"/>
    <w:rsid w:val="008556A8"/>
    <w:rsid w:val="008557E9"/>
    <w:rsid w:val="00855DEC"/>
    <w:rsid w:val="00855FFB"/>
    <w:rsid w:val="008561CE"/>
    <w:rsid w:val="00856474"/>
    <w:rsid w:val="0085663F"/>
    <w:rsid w:val="008566EB"/>
    <w:rsid w:val="00856883"/>
    <w:rsid w:val="00856950"/>
    <w:rsid w:val="00856B08"/>
    <w:rsid w:val="00856CFC"/>
    <w:rsid w:val="00856EFD"/>
    <w:rsid w:val="00856F73"/>
    <w:rsid w:val="008575E6"/>
    <w:rsid w:val="00857C30"/>
    <w:rsid w:val="00857C68"/>
    <w:rsid w:val="00857E36"/>
    <w:rsid w:val="00857EEE"/>
    <w:rsid w:val="0086023F"/>
    <w:rsid w:val="008604E8"/>
    <w:rsid w:val="00860532"/>
    <w:rsid w:val="008606BD"/>
    <w:rsid w:val="00860989"/>
    <w:rsid w:val="00860A6D"/>
    <w:rsid w:val="00860BDB"/>
    <w:rsid w:val="00860F52"/>
    <w:rsid w:val="008614DD"/>
    <w:rsid w:val="00861742"/>
    <w:rsid w:val="00861A3C"/>
    <w:rsid w:val="00861C5E"/>
    <w:rsid w:val="0086200C"/>
    <w:rsid w:val="00862203"/>
    <w:rsid w:val="0086235C"/>
    <w:rsid w:val="0086261E"/>
    <w:rsid w:val="00862667"/>
    <w:rsid w:val="00862E5D"/>
    <w:rsid w:val="0086312D"/>
    <w:rsid w:val="00863568"/>
    <w:rsid w:val="008636C9"/>
    <w:rsid w:val="00863774"/>
    <w:rsid w:val="00863790"/>
    <w:rsid w:val="0086384D"/>
    <w:rsid w:val="00863A40"/>
    <w:rsid w:val="00863A4A"/>
    <w:rsid w:val="00863D03"/>
    <w:rsid w:val="00864153"/>
    <w:rsid w:val="0086438F"/>
    <w:rsid w:val="008643E7"/>
    <w:rsid w:val="00864472"/>
    <w:rsid w:val="0086449F"/>
    <w:rsid w:val="008645E0"/>
    <w:rsid w:val="0086475C"/>
    <w:rsid w:val="00864B0F"/>
    <w:rsid w:val="00864E55"/>
    <w:rsid w:val="00864ED9"/>
    <w:rsid w:val="00864F36"/>
    <w:rsid w:val="008655D9"/>
    <w:rsid w:val="00865A34"/>
    <w:rsid w:val="00865D14"/>
    <w:rsid w:val="00865F5A"/>
    <w:rsid w:val="00866064"/>
    <w:rsid w:val="00866078"/>
    <w:rsid w:val="0086608F"/>
    <w:rsid w:val="0086614D"/>
    <w:rsid w:val="008661BF"/>
    <w:rsid w:val="00866515"/>
    <w:rsid w:val="00866769"/>
    <w:rsid w:val="00866E6C"/>
    <w:rsid w:val="008670CD"/>
    <w:rsid w:val="00867172"/>
    <w:rsid w:val="00867359"/>
    <w:rsid w:val="00867479"/>
    <w:rsid w:val="00867963"/>
    <w:rsid w:val="008679E2"/>
    <w:rsid w:val="00867CF6"/>
    <w:rsid w:val="00870531"/>
    <w:rsid w:val="00870B25"/>
    <w:rsid w:val="00870B4E"/>
    <w:rsid w:val="00870D35"/>
    <w:rsid w:val="00870F1E"/>
    <w:rsid w:val="00870F25"/>
    <w:rsid w:val="00871143"/>
    <w:rsid w:val="0087115F"/>
    <w:rsid w:val="008711A6"/>
    <w:rsid w:val="00871209"/>
    <w:rsid w:val="0087140B"/>
    <w:rsid w:val="0087147C"/>
    <w:rsid w:val="0087155D"/>
    <w:rsid w:val="00871713"/>
    <w:rsid w:val="00871A46"/>
    <w:rsid w:val="00871E12"/>
    <w:rsid w:val="00871EAD"/>
    <w:rsid w:val="00871ED6"/>
    <w:rsid w:val="00871FC9"/>
    <w:rsid w:val="008723A4"/>
    <w:rsid w:val="008723DB"/>
    <w:rsid w:val="00872415"/>
    <w:rsid w:val="00872663"/>
    <w:rsid w:val="00872799"/>
    <w:rsid w:val="00872881"/>
    <w:rsid w:val="008729CB"/>
    <w:rsid w:val="00872A25"/>
    <w:rsid w:val="00872B1B"/>
    <w:rsid w:val="00872BAE"/>
    <w:rsid w:val="00872C09"/>
    <w:rsid w:val="00872DD5"/>
    <w:rsid w:val="00872F4B"/>
    <w:rsid w:val="00873063"/>
    <w:rsid w:val="0087307C"/>
    <w:rsid w:val="00873103"/>
    <w:rsid w:val="00873179"/>
    <w:rsid w:val="0087319F"/>
    <w:rsid w:val="008731FB"/>
    <w:rsid w:val="00873275"/>
    <w:rsid w:val="00873307"/>
    <w:rsid w:val="00873326"/>
    <w:rsid w:val="0087345A"/>
    <w:rsid w:val="0087345C"/>
    <w:rsid w:val="00873722"/>
    <w:rsid w:val="008737CF"/>
    <w:rsid w:val="008738B7"/>
    <w:rsid w:val="00873991"/>
    <w:rsid w:val="00873AF7"/>
    <w:rsid w:val="00873B80"/>
    <w:rsid w:val="00873BE1"/>
    <w:rsid w:val="00873BE7"/>
    <w:rsid w:val="00873C7E"/>
    <w:rsid w:val="00874062"/>
    <w:rsid w:val="008741FC"/>
    <w:rsid w:val="008744AC"/>
    <w:rsid w:val="00874863"/>
    <w:rsid w:val="00874E37"/>
    <w:rsid w:val="00874EC0"/>
    <w:rsid w:val="00874FEC"/>
    <w:rsid w:val="0087501B"/>
    <w:rsid w:val="00875104"/>
    <w:rsid w:val="00875165"/>
    <w:rsid w:val="008751F8"/>
    <w:rsid w:val="0087525A"/>
    <w:rsid w:val="008753BF"/>
    <w:rsid w:val="008753F5"/>
    <w:rsid w:val="00875459"/>
    <w:rsid w:val="008755E5"/>
    <w:rsid w:val="0087569E"/>
    <w:rsid w:val="008756F5"/>
    <w:rsid w:val="00875842"/>
    <w:rsid w:val="00875B6C"/>
    <w:rsid w:val="00875BFE"/>
    <w:rsid w:val="00875C3C"/>
    <w:rsid w:val="00875DF8"/>
    <w:rsid w:val="00876433"/>
    <w:rsid w:val="008766DA"/>
    <w:rsid w:val="0087676A"/>
    <w:rsid w:val="00876890"/>
    <w:rsid w:val="008768D5"/>
    <w:rsid w:val="00876A0F"/>
    <w:rsid w:val="00876B18"/>
    <w:rsid w:val="00876C21"/>
    <w:rsid w:val="00876C96"/>
    <w:rsid w:val="00876D2F"/>
    <w:rsid w:val="00876D6C"/>
    <w:rsid w:val="00876E66"/>
    <w:rsid w:val="00876F53"/>
    <w:rsid w:val="00876FCD"/>
    <w:rsid w:val="008771DF"/>
    <w:rsid w:val="008772C8"/>
    <w:rsid w:val="00877438"/>
    <w:rsid w:val="00877602"/>
    <w:rsid w:val="0087796D"/>
    <w:rsid w:val="008779B5"/>
    <w:rsid w:val="00877D80"/>
    <w:rsid w:val="00877D9B"/>
    <w:rsid w:val="00877E0F"/>
    <w:rsid w:val="00877F10"/>
    <w:rsid w:val="00880122"/>
    <w:rsid w:val="00880249"/>
    <w:rsid w:val="008804E3"/>
    <w:rsid w:val="008804E9"/>
    <w:rsid w:val="0088067F"/>
    <w:rsid w:val="0088077B"/>
    <w:rsid w:val="00880788"/>
    <w:rsid w:val="0088093B"/>
    <w:rsid w:val="00880A03"/>
    <w:rsid w:val="00880A04"/>
    <w:rsid w:val="00880A52"/>
    <w:rsid w:val="00880BB1"/>
    <w:rsid w:val="00880CAE"/>
    <w:rsid w:val="00880E7E"/>
    <w:rsid w:val="008812F3"/>
    <w:rsid w:val="00881360"/>
    <w:rsid w:val="008816E7"/>
    <w:rsid w:val="00881B0D"/>
    <w:rsid w:val="00881CE0"/>
    <w:rsid w:val="00881DAD"/>
    <w:rsid w:val="00881E9C"/>
    <w:rsid w:val="00881ED1"/>
    <w:rsid w:val="0088207A"/>
    <w:rsid w:val="008823AA"/>
    <w:rsid w:val="0088261B"/>
    <w:rsid w:val="008827A1"/>
    <w:rsid w:val="0088299F"/>
    <w:rsid w:val="0088321C"/>
    <w:rsid w:val="008832B9"/>
    <w:rsid w:val="008832BF"/>
    <w:rsid w:val="008838DD"/>
    <w:rsid w:val="008838ED"/>
    <w:rsid w:val="00883A88"/>
    <w:rsid w:val="00883B2E"/>
    <w:rsid w:val="00883E94"/>
    <w:rsid w:val="00884138"/>
    <w:rsid w:val="0088414D"/>
    <w:rsid w:val="008841B4"/>
    <w:rsid w:val="00884374"/>
    <w:rsid w:val="008845DF"/>
    <w:rsid w:val="0088466D"/>
    <w:rsid w:val="00884702"/>
    <w:rsid w:val="00884805"/>
    <w:rsid w:val="00884840"/>
    <w:rsid w:val="00884B01"/>
    <w:rsid w:val="00884B0A"/>
    <w:rsid w:val="00884C06"/>
    <w:rsid w:val="00884D4E"/>
    <w:rsid w:val="00884D95"/>
    <w:rsid w:val="00884F57"/>
    <w:rsid w:val="00884FCA"/>
    <w:rsid w:val="00885340"/>
    <w:rsid w:val="00885441"/>
    <w:rsid w:val="0088567D"/>
    <w:rsid w:val="008856E4"/>
    <w:rsid w:val="0088579A"/>
    <w:rsid w:val="008858A4"/>
    <w:rsid w:val="008858C8"/>
    <w:rsid w:val="0088598A"/>
    <w:rsid w:val="008859D2"/>
    <w:rsid w:val="00885A30"/>
    <w:rsid w:val="00885C6D"/>
    <w:rsid w:val="00885D08"/>
    <w:rsid w:val="00885E37"/>
    <w:rsid w:val="0088601E"/>
    <w:rsid w:val="00886278"/>
    <w:rsid w:val="0088630E"/>
    <w:rsid w:val="0088633C"/>
    <w:rsid w:val="00886461"/>
    <w:rsid w:val="008864FB"/>
    <w:rsid w:val="00886825"/>
    <w:rsid w:val="008868F5"/>
    <w:rsid w:val="008869CA"/>
    <w:rsid w:val="008869DB"/>
    <w:rsid w:val="00886A35"/>
    <w:rsid w:val="00886A83"/>
    <w:rsid w:val="00886C58"/>
    <w:rsid w:val="00886DD4"/>
    <w:rsid w:val="00887062"/>
    <w:rsid w:val="00887159"/>
    <w:rsid w:val="00887293"/>
    <w:rsid w:val="008872B6"/>
    <w:rsid w:val="008872BB"/>
    <w:rsid w:val="00887356"/>
    <w:rsid w:val="008879C6"/>
    <w:rsid w:val="00887A38"/>
    <w:rsid w:val="00887A4A"/>
    <w:rsid w:val="00887AAA"/>
    <w:rsid w:val="00887EB2"/>
    <w:rsid w:val="00887EBB"/>
    <w:rsid w:val="00887F5D"/>
    <w:rsid w:val="00887F77"/>
    <w:rsid w:val="0089023C"/>
    <w:rsid w:val="008903E7"/>
    <w:rsid w:val="0089049C"/>
    <w:rsid w:val="00890566"/>
    <w:rsid w:val="00890650"/>
    <w:rsid w:val="008906FF"/>
    <w:rsid w:val="00890854"/>
    <w:rsid w:val="00890871"/>
    <w:rsid w:val="008909ED"/>
    <w:rsid w:val="00890C25"/>
    <w:rsid w:val="00890CFC"/>
    <w:rsid w:val="0089118C"/>
    <w:rsid w:val="00891201"/>
    <w:rsid w:val="00891225"/>
    <w:rsid w:val="0089136E"/>
    <w:rsid w:val="00891425"/>
    <w:rsid w:val="008915DE"/>
    <w:rsid w:val="00891807"/>
    <w:rsid w:val="00891911"/>
    <w:rsid w:val="00891964"/>
    <w:rsid w:val="00891A28"/>
    <w:rsid w:val="00891B1D"/>
    <w:rsid w:val="00891C4C"/>
    <w:rsid w:val="00891D7B"/>
    <w:rsid w:val="008920EE"/>
    <w:rsid w:val="00892151"/>
    <w:rsid w:val="00892257"/>
    <w:rsid w:val="0089226A"/>
    <w:rsid w:val="0089243B"/>
    <w:rsid w:val="0089243C"/>
    <w:rsid w:val="0089264E"/>
    <w:rsid w:val="0089287F"/>
    <w:rsid w:val="0089288E"/>
    <w:rsid w:val="00892998"/>
    <w:rsid w:val="00892B13"/>
    <w:rsid w:val="00892B58"/>
    <w:rsid w:val="008930B6"/>
    <w:rsid w:val="00893325"/>
    <w:rsid w:val="00893369"/>
    <w:rsid w:val="008933D4"/>
    <w:rsid w:val="0089343E"/>
    <w:rsid w:val="0089355D"/>
    <w:rsid w:val="008936E4"/>
    <w:rsid w:val="008939D3"/>
    <w:rsid w:val="00893A7B"/>
    <w:rsid w:val="00893C60"/>
    <w:rsid w:val="00893D35"/>
    <w:rsid w:val="00893F44"/>
    <w:rsid w:val="0089400D"/>
    <w:rsid w:val="0089412F"/>
    <w:rsid w:val="0089426B"/>
    <w:rsid w:val="00894575"/>
    <w:rsid w:val="00894949"/>
    <w:rsid w:val="008949DC"/>
    <w:rsid w:val="00894CAE"/>
    <w:rsid w:val="00894EA5"/>
    <w:rsid w:val="00895053"/>
    <w:rsid w:val="008950BB"/>
    <w:rsid w:val="00895426"/>
    <w:rsid w:val="008955F7"/>
    <w:rsid w:val="00895662"/>
    <w:rsid w:val="00895772"/>
    <w:rsid w:val="00895AEC"/>
    <w:rsid w:val="00895DF5"/>
    <w:rsid w:val="00895F53"/>
    <w:rsid w:val="0089605E"/>
    <w:rsid w:val="00896126"/>
    <w:rsid w:val="008961BE"/>
    <w:rsid w:val="008961F3"/>
    <w:rsid w:val="0089627D"/>
    <w:rsid w:val="00896526"/>
    <w:rsid w:val="00896636"/>
    <w:rsid w:val="008966CB"/>
    <w:rsid w:val="00896740"/>
    <w:rsid w:val="008967FE"/>
    <w:rsid w:val="00896A3D"/>
    <w:rsid w:val="00896AD9"/>
    <w:rsid w:val="00896AE8"/>
    <w:rsid w:val="00897015"/>
    <w:rsid w:val="00897134"/>
    <w:rsid w:val="008971CD"/>
    <w:rsid w:val="008971DB"/>
    <w:rsid w:val="008973F4"/>
    <w:rsid w:val="00897411"/>
    <w:rsid w:val="00897585"/>
    <w:rsid w:val="0089760A"/>
    <w:rsid w:val="0089770A"/>
    <w:rsid w:val="008977A8"/>
    <w:rsid w:val="00897932"/>
    <w:rsid w:val="00897A43"/>
    <w:rsid w:val="00897BCC"/>
    <w:rsid w:val="00897D08"/>
    <w:rsid w:val="00897DD9"/>
    <w:rsid w:val="00897EE7"/>
    <w:rsid w:val="008A0066"/>
    <w:rsid w:val="008A0275"/>
    <w:rsid w:val="008A0330"/>
    <w:rsid w:val="008A03C2"/>
    <w:rsid w:val="008A043A"/>
    <w:rsid w:val="008A0690"/>
    <w:rsid w:val="008A06FB"/>
    <w:rsid w:val="008A0703"/>
    <w:rsid w:val="008A0730"/>
    <w:rsid w:val="008A0A0F"/>
    <w:rsid w:val="008A0A8E"/>
    <w:rsid w:val="008A0EA9"/>
    <w:rsid w:val="008A114A"/>
    <w:rsid w:val="008A1478"/>
    <w:rsid w:val="008A1568"/>
    <w:rsid w:val="008A1796"/>
    <w:rsid w:val="008A1887"/>
    <w:rsid w:val="008A1C44"/>
    <w:rsid w:val="008A1C73"/>
    <w:rsid w:val="008A208D"/>
    <w:rsid w:val="008A2205"/>
    <w:rsid w:val="008A222A"/>
    <w:rsid w:val="008A23B8"/>
    <w:rsid w:val="008A2407"/>
    <w:rsid w:val="008A29B2"/>
    <w:rsid w:val="008A2B89"/>
    <w:rsid w:val="008A2E58"/>
    <w:rsid w:val="008A2F7F"/>
    <w:rsid w:val="008A31DE"/>
    <w:rsid w:val="008A3407"/>
    <w:rsid w:val="008A34AA"/>
    <w:rsid w:val="008A3983"/>
    <w:rsid w:val="008A3C32"/>
    <w:rsid w:val="008A3D94"/>
    <w:rsid w:val="008A3EF5"/>
    <w:rsid w:val="008A42AB"/>
    <w:rsid w:val="008A434B"/>
    <w:rsid w:val="008A47CB"/>
    <w:rsid w:val="008A4855"/>
    <w:rsid w:val="008A48ED"/>
    <w:rsid w:val="008A4A19"/>
    <w:rsid w:val="008A4B8F"/>
    <w:rsid w:val="008A4BCF"/>
    <w:rsid w:val="008A4DE5"/>
    <w:rsid w:val="008A505B"/>
    <w:rsid w:val="008A5246"/>
    <w:rsid w:val="008A5328"/>
    <w:rsid w:val="008A55B5"/>
    <w:rsid w:val="008A55C6"/>
    <w:rsid w:val="008A56F3"/>
    <w:rsid w:val="008A5B15"/>
    <w:rsid w:val="008A5DEC"/>
    <w:rsid w:val="008A5F6E"/>
    <w:rsid w:val="008A5FE3"/>
    <w:rsid w:val="008A6063"/>
    <w:rsid w:val="008A62A0"/>
    <w:rsid w:val="008A6383"/>
    <w:rsid w:val="008A671A"/>
    <w:rsid w:val="008A67CE"/>
    <w:rsid w:val="008A6811"/>
    <w:rsid w:val="008A6990"/>
    <w:rsid w:val="008A69A6"/>
    <w:rsid w:val="008A6A37"/>
    <w:rsid w:val="008A6A83"/>
    <w:rsid w:val="008A6BD0"/>
    <w:rsid w:val="008A70E8"/>
    <w:rsid w:val="008A7190"/>
    <w:rsid w:val="008A738D"/>
    <w:rsid w:val="008A7410"/>
    <w:rsid w:val="008A74C6"/>
    <w:rsid w:val="008A77CB"/>
    <w:rsid w:val="008A7809"/>
    <w:rsid w:val="008A7983"/>
    <w:rsid w:val="008A7A4D"/>
    <w:rsid w:val="008A7B08"/>
    <w:rsid w:val="008A7B0C"/>
    <w:rsid w:val="008A7D57"/>
    <w:rsid w:val="008B004A"/>
    <w:rsid w:val="008B02D9"/>
    <w:rsid w:val="008B03C9"/>
    <w:rsid w:val="008B04DA"/>
    <w:rsid w:val="008B0582"/>
    <w:rsid w:val="008B05BE"/>
    <w:rsid w:val="008B06F4"/>
    <w:rsid w:val="008B0935"/>
    <w:rsid w:val="008B09A9"/>
    <w:rsid w:val="008B0A60"/>
    <w:rsid w:val="008B0B98"/>
    <w:rsid w:val="008B0C72"/>
    <w:rsid w:val="008B0FC0"/>
    <w:rsid w:val="008B0FF4"/>
    <w:rsid w:val="008B11F0"/>
    <w:rsid w:val="008B12E1"/>
    <w:rsid w:val="008B1541"/>
    <w:rsid w:val="008B1676"/>
    <w:rsid w:val="008B1793"/>
    <w:rsid w:val="008B194D"/>
    <w:rsid w:val="008B1A01"/>
    <w:rsid w:val="008B1E6B"/>
    <w:rsid w:val="008B1FC3"/>
    <w:rsid w:val="008B2070"/>
    <w:rsid w:val="008B20E5"/>
    <w:rsid w:val="008B223D"/>
    <w:rsid w:val="008B231D"/>
    <w:rsid w:val="008B2344"/>
    <w:rsid w:val="008B2553"/>
    <w:rsid w:val="008B27AA"/>
    <w:rsid w:val="008B282C"/>
    <w:rsid w:val="008B2926"/>
    <w:rsid w:val="008B29DA"/>
    <w:rsid w:val="008B2AB1"/>
    <w:rsid w:val="008B2AEA"/>
    <w:rsid w:val="008B2CF7"/>
    <w:rsid w:val="008B2E10"/>
    <w:rsid w:val="008B3469"/>
    <w:rsid w:val="008B34BE"/>
    <w:rsid w:val="008B3974"/>
    <w:rsid w:val="008B399F"/>
    <w:rsid w:val="008B3B35"/>
    <w:rsid w:val="008B3BFF"/>
    <w:rsid w:val="008B3D4F"/>
    <w:rsid w:val="008B3EAC"/>
    <w:rsid w:val="008B3FA1"/>
    <w:rsid w:val="008B3FA3"/>
    <w:rsid w:val="008B4553"/>
    <w:rsid w:val="008B4587"/>
    <w:rsid w:val="008B46D2"/>
    <w:rsid w:val="008B470A"/>
    <w:rsid w:val="008B4713"/>
    <w:rsid w:val="008B48ED"/>
    <w:rsid w:val="008B4C69"/>
    <w:rsid w:val="008B50AC"/>
    <w:rsid w:val="008B525E"/>
    <w:rsid w:val="008B52F5"/>
    <w:rsid w:val="008B52F8"/>
    <w:rsid w:val="008B537B"/>
    <w:rsid w:val="008B5614"/>
    <w:rsid w:val="008B565F"/>
    <w:rsid w:val="008B587B"/>
    <w:rsid w:val="008B589B"/>
    <w:rsid w:val="008B58CB"/>
    <w:rsid w:val="008B5981"/>
    <w:rsid w:val="008B5A94"/>
    <w:rsid w:val="008B5C01"/>
    <w:rsid w:val="008B6048"/>
    <w:rsid w:val="008B6168"/>
    <w:rsid w:val="008B6196"/>
    <w:rsid w:val="008B61C2"/>
    <w:rsid w:val="008B63A1"/>
    <w:rsid w:val="008B6452"/>
    <w:rsid w:val="008B646A"/>
    <w:rsid w:val="008B64DD"/>
    <w:rsid w:val="008B6539"/>
    <w:rsid w:val="008B6591"/>
    <w:rsid w:val="008B66E5"/>
    <w:rsid w:val="008B67B7"/>
    <w:rsid w:val="008B67E6"/>
    <w:rsid w:val="008B6AA8"/>
    <w:rsid w:val="008B6BC5"/>
    <w:rsid w:val="008B7071"/>
    <w:rsid w:val="008B7330"/>
    <w:rsid w:val="008B7A56"/>
    <w:rsid w:val="008B7CA6"/>
    <w:rsid w:val="008B7CBB"/>
    <w:rsid w:val="008B7CD5"/>
    <w:rsid w:val="008B7D97"/>
    <w:rsid w:val="008B7DB8"/>
    <w:rsid w:val="008B7DF6"/>
    <w:rsid w:val="008C05B0"/>
    <w:rsid w:val="008C067C"/>
    <w:rsid w:val="008C069A"/>
    <w:rsid w:val="008C070F"/>
    <w:rsid w:val="008C0965"/>
    <w:rsid w:val="008C0CEC"/>
    <w:rsid w:val="008C11F9"/>
    <w:rsid w:val="008C179B"/>
    <w:rsid w:val="008C1899"/>
    <w:rsid w:val="008C1A44"/>
    <w:rsid w:val="008C1B50"/>
    <w:rsid w:val="008C2004"/>
    <w:rsid w:val="008C209B"/>
    <w:rsid w:val="008C2103"/>
    <w:rsid w:val="008C21D1"/>
    <w:rsid w:val="008C2298"/>
    <w:rsid w:val="008C23E1"/>
    <w:rsid w:val="008C248B"/>
    <w:rsid w:val="008C2642"/>
    <w:rsid w:val="008C274C"/>
    <w:rsid w:val="008C2A2F"/>
    <w:rsid w:val="008C2C8E"/>
    <w:rsid w:val="008C2D9F"/>
    <w:rsid w:val="008C300A"/>
    <w:rsid w:val="008C30CB"/>
    <w:rsid w:val="008C327A"/>
    <w:rsid w:val="008C32C3"/>
    <w:rsid w:val="008C361E"/>
    <w:rsid w:val="008C3733"/>
    <w:rsid w:val="008C389C"/>
    <w:rsid w:val="008C3968"/>
    <w:rsid w:val="008C39BA"/>
    <w:rsid w:val="008C3AA2"/>
    <w:rsid w:val="008C3B9A"/>
    <w:rsid w:val="008C3EF2"/>
    <w:rsid w:val="008C3F0D"/>
    <w:rsid w:val="008C4128"/>
    <w:rsid w:val="008C42B6"/>
    <w:rsid w:val="008C44EB"/>
    <w:rsid w:val="008C4513"/>
    <w:rsid w:val="008C499E"/>
    <w:rsid w:val="008C4B13"/>
    <w:rsid w:val="008C4C5A"/>
    <w:rsid w:val="008C4F8D"/>
    <w:rsid w:val="008C52FB"/>
    <w:rsid w:val="008C5622"/>
    <w:rsid w:val="008C5DCD"/>
    <w:rsid w:val="008C5E27"/>
    <w:rsid w:val="008C5FB1"/>
    <w:rsid w:val="008C601A"/>
    <w:rsid w:val="008C60B5"/>
    <w:rsid w:val="008C6C01"/>
    <w:rsid w:val="008C6CB7"/>
    <w:rsid w:val="008C6D4C"/>
    <w:rsid w:val="008C703C"/>
    <w:rsid w:val="008C705D"/>
    <w:rsid w:val="008C709D"/>
    <w:rsid w:val="008C732B"/>
    <w:rsid w:val="008C74C4"/>
    <w:rsid w:val="008C7A83"/>
    <w:rsid w:val="008C7CAE"/>
    <w:rsid w:val="008C7D77"/>
    <w:rsid w:val="008C7D91"/>
    <w:rsid w:val="008C7F47"/>
    <w:rsid w:val="008D005B"/>
    <w:rsid w:val="008D0631"/>
    <w:rsid w:val="008D0692"/>
    <w:rsid w:val="008D074E"/>
    <w:rsid w:val="008D0913"/>
    <w:rsid w:val="008D0A68"/>
    <w:rsid w:val="008D0B25"/>
    <w:rsid w:val="008D0BED"/>
    <w:rsid w:val="008D0CA0"/>
    <w:rsid w:val="008D0E9D"/>
    <w:rsid w:val="008D0ED4"/>
    <w:rsid w:val="008D1162"/>
    <w:rsid w:val="008D1201"/>
    <w:rsid w:val="008D14AE"/>
    <w:rsid w:val="008D14F7"/>
    <w:rsid w:val="008D16B2"/>
    <w:rsid w:val="008D16EC"/>
    <w:rsid w:val="008D1806"/>
    <w:rsid w:val="008D195B"/>
    <w:rsid w:val="008D1A90"/>
    <w:rsid w:val="008D1C89"/>
    <w:rsid w:val="008D1CB4"/>
    <w:rsid w:val="008D1E37"/>
    <w:rsid w:val="008D2186"/>
    <w:rsid w:val="008D2278"/>
    <w:rsid w:val="008D2297"/>
    <w:rsid w:val="008D280B"/>
    <w:rsid w:val="008D2841"/>
    <w:rsid w:val="008D28A3"/>
    <w:rsid w:val="008D2A91"/>
    <w:rsid w:val="008D2F71"/>
    <w:rsid w:val="008D2F93"/>
    <w:rsid w:val="008D2FE1"/>
    <w:rsid w:val="008D3128"/>
    <w:rsid w:val="008D31FF"/>
    <w:rsid w:val="008D3618"/>
    <w:rsid w:val="008D36CB"/>
    <w:rsid w:val="008D373B"/>
    <w:rsid w:val="008D37ED"/>
    <w:rsid w:val="008D3940"/>
    <w:rsid w:val="008D39F1"/>
    <w:rsid w:val="008D3A50"/>
    <w:rsid w:val="008D3B5C"/>
    <w:rsid w:val="008D3BA1"/>
    <w:rsid w:val="008D3D45"/>
    <w:rsid w:val="008D3DFB"/>
    <w:rsid w:val="008D3E4A"/>
    <w:rsid w:val="008D3F5D"/>
    <w:rsid w:val="008D3F98"/>
    <w:rsid w:val="008D4069"/>
    <w:rsid w:val="008D40C8"/>
    <w:rsid w:val="008D42AA"/>
    <w:rsid w:val="008D42F8"/>
    <w:rsid w:val="008D4336"/>
    <w:rsid w:val="008D44E7"/>
    <w:rsid w:val="008D4ABD"/>
    <w:rsid w:val="008D4C12"/>
    <w:rsid w:val="008D4D74"/>
    <w:rsid w:val="008D4F38"/>
    <w:rsid w:val="008D4F41"/>
    <w:rsid w:val="008D4F8F"/>
    <w:rsid w:val="008D50F6"/>
    <w:rsid w:val="008D5253"/>
    <w:rsid w:val="008D553C"/>
    <w:rsid w:val="008D587A"/>
    <w:rsid w:val="008D5C88"/>
    <w:rsid w:val="008D5D31"/>
    <w:rsid w:val="008D5DAB"/>
    <w:rsid w:val="008D5DC9"/>
    <w:rsid w:val="008D5EA6"/>
    <w:rsid w:val="008D5EEB"/>
    <w:rsid w:val="008D5F0B"/>
    <w:rsid w:val="008D5F13"/>
    <w:rsid w:val="008D6547"/>
    <w:rsid w:val="008D6615"/>
    <w:rsid w:val="008D671F"/>
    <w:rsid w:val="008D6744"/>
    <w:rsid w:val="008D6B40"/>
    <w:rsid w:val="008D7007"/>
    <w:rsid w:val="008D70A0"/>
    <w:rsid w:val="008D70DD"/>
    <w:rsid w:val="008D70E4"/>
    <w:rsid w:val="008D7123"/>
    <w:rsid w:val="008D732B"/>
    <w:rsid w:val="008D73A1"/>
    <w:rsid w:val="008D7591"/>
    <w:rsid w:val="008D7707"/>
    <w:rsid w:val="008D788E"/>
    <w:rsid w:val="008D7B33"/>
    <w:rsid w:val="008D7C2B"/>
    <w:rsid w:val="008D7C85"/>
    <w:rsid w:val="008D7C95"/>
    <w:rsid w:val="008D7E2D"/>
    <w:rsid w:val="008E0661"/>
    <w:rsid w:val="008E07EC"/>
    <w:rsid w:val="008E0834"/>
    <w:rsid w:val="008E0870"/>
    <w:rsid w:val="008E08BA"/>
    <w:rsid w:val="008E0924"/>
    <w:rsid w:val="008E0A8B"/>
    <w:rsid w:val="008E0AFA"/>
    <w:rsid w:val="008E0B40"/>
    <w:rsid w:val="008E0C42"/>
    <w:rsid w:val="008E0D25"/>
    <w:rsid w:val="008E0F3E"/>
    <w:rsid w:val="008E0F68"/>
    <w:rsid w:val="008E10AC"/>
    <w:rsid w:val="008E1170"/>
    <w:rsid w:val="008E133C"/>
    <w:rsid w:val="008E13A2"/>
    <w:rsid w:val="008E14AA"/>
    <w:rsid w:val="008E14F1"/>
    <w:rsid w:val="008E1952"/>
    <w:rsid w:val="008E1BB0"/>
    <w:rsid w:val="008E1BDB"/>
    <w:rsid w:val="008E1F48"/>
    <w:rsid w:val="008E20F0"/>
    <w:rsid w:val="008E2174"/>
    <w:rsid w:val="008E22A3"/>
    <w:rsid w:val="008E2325"/>
    <w:rsid w:val="008E23AB"/>
    <w:rsid w:val="008E2543"/>
    <w:rsid w:val="008E2746"/>
    <w:rsid w:val="008E2B11"/>
    <w:rsid w:val="008E2BC5"/>
    <w:rsid w:val="008E2F42"/>
    <w:rsid w:val="008E3072"/>
    <w:rsid w:val="008E30AE"/>
    <w:rsid w:val="008E3323"/>
    <w:rsid w:val="008E3387"/>
    <w:rsid w:val="008E3676"/>
    <w:rsid w:val="008E38E9"/>
    <w:rsid w:val="008E3B39"/>
    <w:rsid w:val="008E3B8F"/>
    <w:rsid w:val="008E3C06"/>
    <w:rsid w:val="008E3D2F"/>
    <w:rsid w:val="008E3D71"/>
    <w:rsid w:val="008E4083"/>
    <w:rsid w:val="008E42D6"/>
    <w:rsid w:val="008E43A8"/>
    <w:rsid w:val="008E463C"/>
    <w:rsid w:val="008E46A3"/>
    <w:rsid w:val="008E4822"/>
    <w:rsid w:val="008E488A"/>
    <w:rsid w:val="008E4A44"/>
    <w:rsid w:val="008E4A60"/>
    <w:rsid w:val="008E4AB0"/>
    <w:rsid w:val="008E4B4D"/>
    <w:rsid w:val="008E4C19"/>
    <w:rsid w:val="008E4D18"/>
    <w:rsid w:val="008E4FA3"/>
    <w:rsid w:val="008E5086"/>
    <w:rsid w:val="008E50F6"/>
    <w:rsid w:val="008E55BD"/>
    <w:rsid w:val="008E55D8"/>
    <w:rsid w:val="008E5699"/>
    <w:rsid w:val="008E5748"/>
    <w:rsid w:val="008E5D06"/>
    <w:rsid w:val="008E5DB1"/>
    <w:rsid w:val="008E5DBB"/>
    <w:rsid w:val="008E5F3E"/>
    <w:rsid w:val="008E601C"/>
    <w:rsid w:val="008E608B"/>
    <w:rsid w:val="008E608C"/>
    <w:rsid w:val="008E6568"/>
    <w:rsid w:val="008E6A1A"/>
    <w:rsid w:val="008E6A9F"/>
    <w:rsid w:val="008E6CE5"/>
    <w:rsid w:val="008E6D57"/>
    <w:rsid w:val="008E740E"/>
    <w:rsid w:val="008E7607"/>
    <w:rsid w:val="008E7DEB"/>
    <w:rsid w:val="008E7EA6"/>
    <w:rsid w:val="008E7ECA"/>
    <w:rsid w:val="008F0291"/>
    <w:rsid w:val="008F0B7D"/>
    <w:rsid w:val="008F0CCE"/>
    <w:rsid w:val="008F0EB1"/>
    <w:rsid w:val="008F1060"/>
    <w:rsid w:val="008F1155"/>
    <w:rsid w:val="008F11C3"/>
    <w:rsid w:val="008F1440"/>
    <w:rsid w:val="008F1839"/>
    <w:rsid w:val="008F1C57"/>
    <w:rsid w:val="008F230A"/>
    <w:rsid w:val="008F2A90"/>
    <w:rsid w:val="008F2B02"/>
    <w:rsid w:val="008F2C75"/>
    <w:rsid w:val="008F2D07"/>
    <w:rsid w:val="008F2E3A"/>
    <w:rsid w:val="008F2F44"/>
    <w:rsid w:val="008F3321"/>
    <w:rsid w:val="008F33E3"/>
    <w:rsid w:val="008F3545"/>
    <w:rsid w:val="008F3588"/>
    <w:rsid w:val="008F35FE"/>
    <w:rsid w:val="008F3694"/>
    <w:rsid w:val="008F3721"/>
    <w:rsid w:val="008F38E7"/>
    <w:rsid w:val="008F399D"/>
    <w:rsid w:val="008F3BC3"/>
    <w:rsid w:val="008F4254"/>
    <w:rsid w:val="008F4428"/>
    <w:rsid w:val="008F465F"/>
    <w:rsid w:val="008F4759"/>
    <w:rsid w:val="008F4E96"/>
    <w:rsid w:val="008F508A"/>
    <w:rsid w:val="008F50C4"/>
    <w:rsid w:val="008F5245"/>
    <w:rsid w:val="008F52BB"/>
    <w:rsid w:val="008F53C9"/>
    <w:rsid w:val="008F54C1"/>
    <w:rsid w:val="008F55F4"/>
    <w:rsid w:val="008F56FC"/>
    <w:rsid w:val="008F5718"/>
    <w:rsid w:val="008F5953"/>
    <w:rsid w:val="008F5AC4"/>
    <w:rsid w:val="008F5BF7"/>
    <w:rsid w:val="008F5C4C"/>
    <w:rsid w:val="008F5C95"/>
    <w:rsid w:val="008F5CC4"/>
    <w:rsid w:val="008F5E83"/>
    <w:rsid w:val="008F5EC2"/>
    <w:rsid w:val="008F60D4"/>
    <w:rsid w:val="008F6407"/>
    <w:rsid w:val="008F64A1"/>
    <w:rsid w:val="008F64A5"/>
    <w:rsid w:val="008F65E9"/>
    <w:rsid w:val="008F6824"/>
    <w:rsid w:val="008F6D09"/>
    <w:rsid w:val="008F6E19"/>
    <w:rsid w:val="008F6E4B"/>
    <w:rsid w:val="008F6F27"/>
    <w:rsid w:val="008F74A6"/>
    <w:rsid w:val="008F753F"/>
    <w:rsid w:val="008F765B"/>
    <w:rsid w:val="008F79E4"/>
    <w:rsid w:val="008F7A03"/>
    <w:rsid w:val="008F7A84"/>
    <w:rsid w:val="008F7AE6"/>
    <w:rsid w:val="008F7CB0"/>
    <w:rsid w:val="008F7F52"/>
    <w:rsid w:val="008F7F60"/>
    <w:rsid w:val="008F7F78"/>
    <w:rsid w:val="00900083"/>
    <w:rsid w:val="009000AB"/>
    <w:rsid w:val="00900503"/>
    <w:rsid w:val="00900913"/>
    <w:rsid w:val="00900940"/>
    <w:rsid w:val="00900C61"/>
    <w:rsid w:val="00900F96"/>
    <w:rsid w:val="00901241"/>
    <w:rsid w:val="0090124D"/>
    <w:rsid w:val="00901394"/>
    <w:rsid w:val="009016C3"/>
    <w:rsid w:val="009016DE"/>
    <w:rsid w:val="00901934"/>
    <w:rsid w:val="00901A06"/>
    <w:rsid w:val="00901A68"/>
    <w:rsid w:val="00901BA0"/>
    <w:rsid w:val="00901CDF"/>
    <w:rsid w:val="00901CF0"/>
    <w:rsid w:val="00902028"/>
    <w:rsid w:val="0090219B"/>
    <w:rsid w:val="00902203"/>
    <w:rsid w:val="00902333"/>
    <w:rsid w:val="009025D7"/>
    <w:rsid w:val="00902B6C"/>
    <w:rsid w:val="00902B8A"/>
    <w:rsid w:val="00902C6B"/>
    <w:rsid w:val="00902C7F"/>
    <w:rsid w:val="00902CB0"/>
    <w:rsid w:val="00902F1B"/>
    <w:rsid w:val="00902F94"/>
    <w:rsid w:val="00902FDE"/>
    <w:rsid w:val="00903020"/>
    <w:rsid w:val="00903424"/>
    <w:rsid w:val="009037CD"/>
    <w:rsid w:val="009038B7"/>
    <w:rsid w:val="00903A5E"/>
    <w:rsid w:val="00903AB7"/>
    <w:rsid w:val="00903E54"/>
    <w:rsid w:val="00903FF0"/>
    <w:rsid w:val="009042A8"/>
    <w:rsid w:val="00904409"/>
    <w:rsid w:val="00904484"/>
    <w:rsid w:val="009046CF"/>
    <w:rsid w:val="0090492E"/>
    <w:rsid w:val="00904B46"/>
    <w:rsid w:val="00904E64"/>
    <w:rsid w:val="00904EC2"/>
    <w:rsid w:val="00904F0B"/>
    <w:rsid w:val="009056F4"/>
    <w:rsid w:val="009057C5"/>
    <w:rsid w:val="00905945"/>
    <w:rsid w:val="00905A92"/>
    <w:rsid w:val="00905EC7"/>
    <w:rsid w:val="00905EFC"/>
    <w:rsid w:val="00906212"/>
    <w:rsid w:val="00906673"/>
    <w:rsid w:val="00906A01"/>
    <w:rsid w:val="00906CB4"/>
    <w:rsid w:val="00906D3B"/>
    <w:rsid w:val="00906E98"/>
    <w:rsid w:val="0090723F"/>
    <w:rsid w:val="00907354"/>
    <w:rsid w:val="009076D2"/>
    <w:rsid w:val="00907989"/>
    <w:rsid w:val="009079E5"/>
    <w:rsid w:val="009079FD"/>
    <w:rsid w:val="00907DFD"/>
    <w:rsid w:val="00907F20"/>
    <w:rsid w:val="0091011D"/>
    <w:rsid w:val="009102D5"/>
    <w:rsid w:val="009103E1"/>
    <w:rsid w:val="00910543"/>
    <w:rsid w:val="009107CA"/>
    <w:rsid w:val="00910841"/>
    <w:rsid w:val="00910A1B"/>
    <w:rsid w:val="00910CD6"/>
    <w:rsid w:val="00910DB1"/>
    <w:rsid w:val="00910F07"/>
    <w:rsid w:val="0091118F"/>
    <w:rsid w:val="009112AE"/>
    <w:rsid w:val="009112BD"/>
    <w:rsid w:val="0091150B"/>
    <w:rsid w:val="0091167C"/>
    <w:rsid w:val="00911999"/>
    <w:rsid w:val="00911A77"/>
    <w:rsid w:val="00911DB3"/>
    <w:rsid w:val="0091205B"/>
    <w:rsid w:val="0091205C"/>
    <w:rsid w:val="0091218B"/>
    <w:rsid w:val="00912237"/>
    <w:rsid w:val="00912447"/>
    <w:rsid w:val="0091262C"/>
    <w:rsid w:val="00912AF8"/>
    <w:rsid w:val="00912FE2"/>
    <w:rsid w:val="009131ED"/>
    <w:rsid w:val="0091379C"/>
    <w:rsid w:val="00913884"/>
    <w:rsid w:val="0091388D"/>
    <w:rsid w:val="009139D2"/>
    <w:rsid w:val="00913F20"/>
    <w:rsid w:val="00913F3C"/>
    <w:rsid w:val="009140A8"/>
    <w:rsid w:val="009140E2"/>
    <w:rsid w:val="009141FE"/>
    <w:rsid w:val="00914320"/>
    <w:rsid w:val="00914523"/>
    <w:rsid w:val="0091461E"/>
    <w:rsid w:val="009147F9"/>
    <w:rsid w:val="009148E5"/>
    <w:rsid w:val="0091493F"/>
    <w:rsid w:val="009149D3"/>
    <w:rsid w:val="00914B24"/>
    <w:rsid w:val="00914BAA"/>
    <w:rsid w:val="00914C0B"/>
    <w:rsid w:val="00914E10"/>
    <w:rsid w:val="00914EBA"/>
    <w:rsid w:val="00914EFF"/>
    <w:rsid w:val="00914F27"/>
    <w:rsid w:val="00914F7F"/>
    <w:rsid w:val="0091570D"/>
    <w:rsid w:val="00915868"/>
    <w:rsid w:val="00915AAA"/>
    <w:rsid w:val="00915B54"/>
    <w:rsid w:val="00915DEA"/>
    <w:rsid w:val="00916596"/>
    <w:rsid w:val="009169EB"/>
    <w:rsid w:val="009172A5"/>
    <w:rsid w:val="009172FC"/>
    <w:rsid w:val="009175D2"/>
    <w:rsid w:val="009178CB"/>
    <w:rsid w:val="0091792E"/>
    <w:rsid w:val="00917969"/>
    <w:rsid w:val="00917BA6"/>
    <w:rsid w:val="00917D79"/>
    <w:rsid w:val="00917EA2"/>
    <w:rsid w:val="00917ECE"/>
    <w:rsid w:val="0092013D"/>
    <w:rsid w:val="00920200"/>
    <w:rsid w:val="00920351"/>
    <w:rsid w:val="00920390"/>
    <w:rsid w:val="009203F8"/>
    <w:rsid w:val="00920468"/>
    <w:rsid w:val="00920780"/>
    <w:rsid w:val="009207A9"/>
    <w:rsid w:val="00920816"/>
    <w:rsid w:val="00920A23"/>
    <w:rsid w:val="00920A27"/>
    <w:rsid w:val="00920A3F"/>
    <w:rsid w:val="00920B37"/>
    <w:rsid w:val="00920B81"/>
    <w:rsid w:val="00920C5F"/>
    <w:rsid w:val="00920CDB"/>
    <w:rsid w:val="00920F5B"/>
    <w:rsid w:val="00920F7C"/>
    <w:rsid w:val="00920FD7"/>
    <w:rsid w:val="009212E5"/>
    <w:rsid w:val="0092138F"/>
    <w:rsid w:val="00921413"/>
    <w:rsid w:val="00921739"/>
    <w:rsid w:val="00921743"/>
    <w:rsid w:val="00921777"/>
    <w:rsid w:val="00921828"/>
    <w:rsid w:val="00921868"/>
    <w:rsid w:val="009218B8"/>
    <w:rsid w:val="00921907"/>
    <w:rsid w:val="00921999"/>
    <w:rsid w:val="009219C9"/>
    <w:rsid w:val="00921B63"/>
    <w:rsid w:val="00921C1C"/>
    <w:rsid w:val="0092211E"/>
    <w:rsid w:val="0092217B"/>
    <w:rsid w:val="00922259"/>
    <w:rsid w:val="009222CE"/>
    <w:rsid w:val="0092252B"/>
    <w:rsid w:val="009225D7"/>
    <w:rsid w:val="0092275B"/>
    <w:rsid w:val="00922799"/>
    <w:rsid w:val="00922AE7"/>
    <w:rsid w:val="00922CCA"/>
    <w:rsid w:val="00922E36"/>
    <w:rsid w:val="00922F3B"/>
    <w:rsid w:val="009231D2"/>
    <w:rsid w:val="00923445"/>
    <w:rsid w:val="009234EC"/>
    <w:rsid w:val="00923893"/>
    <w:rsid w:val="00923942"/>
    <w:rsid w:val="00923E4B"/>
    <w:rsid w:val="009241B9"/>
    <w:rsid w:val="00924547"/>
    <w:rsid w:val="0092462B"/>
    <w:rsid w:val="009246B9"/>
    <w:rsid w:val="0092477D"/>
    <w:rsid w:val="00924CEE"/>
    <w:rsid w:val="00924E7D"/>
    <w:rsid w:val="0092544E"/>
    <w:rsid w:val="00925460"/>
    <w:rsid w:val="00925629"/>
    <w:rsid w:val="0092580E"/>
    <w:rsid w:val="00925A42"/>
    <w:rsid w:val="00925AF0"/>
    <w:rsid w:val="00925D18"/>
    <w:rsid w:val="00925ED6"/>
    <w:rsid w:val="0092627F"/>
    <w:rsid w:val="009264D2"/>
    <w:rsid w:val="00926523"/>
    <w:rsid w:val="00926594"/>
    <w:rsid w:val="0092665C"/>
    <w:rsid w:val="00926ADE"/>
    <w:rsid w:val="00926FC7"/>
    <w:rsid w:val="009273CF"/>
    <w:rsid w:val="0092744E"/>
    <w:rsid w:val="00927491"/>
    <w:rsid w:val="0092762A"/>
    <w:rsid w:val="0092770A"/>
    <w:rsid w:val="00927961"/>
    <w:rsid w:val="00927B36"/>
    <w:rsid w:val="0093041E"/>
    <w:rsid w:val="009305A3"/>
    <w:rsid w:val="0093070A"/>
    <w:rsid w:val="0093095C"/>
    <w:rsid w:val="00930EF4"/>
    <w:rsid w:val="0093119F"/>
    <w:rsid w:val="00931424"/>
    <w:rsid w:val="0093174D"/>
    <w:rsid w:val="00931932"/>
    <w:rsid w:val="00932046"/>
    <w:rsid w:val="00932238"/>
    <w:rsid w:val="0093226F"/>
    <w:rsid w:val="0093236F"/>
    <w:rsid w:val="0093244C"/>
    <w:rsid w:val="00932537"/>
    <w:rsid w:val="0093253C"/>
    <w:rsid w:val="0093257F"/>
    <w:rsid w:val="00932710"/>
    <w:rsid w:val="00932B65"/>
    <w:rsid w:val="00932C37"/>
    <w:rsid w:val="00932E90"/>
    <w:rsid w:val="00933216"/>
    <w:rsid w:val="0093366C"/>
    <w:rsid w:val="0093373E"/>
    <w:rsid w:val="00933754"/>
    <w:rsid w:val="00933A3F"/>
    <w:rsid w:val="00933C6D"/>
    <w:rsid w:val="00933CED"/>
    <w:rsid w:val="00933D8F"/>
    <w:rsid w:val="0093408C"/>
    <w:rsid w:val="00934127"/>
    <w:rsid w:val="009342AB"/>
    <w:rsid w:val="00934317"/>
    <w:rsid w:val="00934334"/>
    <w:rsid w:val="0093443E"/>
    <w:rsid w:val="009344DD"/>
    <w:rsid w:val="00934664"/>
    <w:rsid w:val="009346E9"/>
    <w:rsid w:val="009347F1"/>
    <w:rsid w:val="00934A46"/>
    <w:rsid w:val="00934A9B"/>
    <w:rsid w:val="00934AFC"/>
    <w:rsid w:val="00934B6A"/>
    <w:rsid w:val="00934CDE"/>
    <w:rsid w:val="009350F8"/>
    <w:rsid w:val="00935193"/>
    <w:rsid w:val="00935515"/>
    <w:rsid w:val="0093574A"/>
    <w:rsid w:val="00935A34"/>
    <w:rsid w:val="00935F88"/>
    <w:rsid w:val="009361BB"/>
    <w:rsid w:val="009361DA"/>
    <w:rsid w:val="009362D3"/>
    <w:rsid w:val="0093649E"/>
    <w:rsid w:val="00936513"/>
    <w:rsid w:val="009365B6"/>
    <w:rsid w:val="00936B8A"/>
    <w:rsid w:val="00936BFA"/>
    <w:rsid w:val="00936C0A"/>
    <w:rsid w:val="00936F55"/>
    <w:rsid w:val="00937183"/>
    <w:rsid w:val="00937396"/>
    <w:rsid w:val="009373DC"/>
    <w:rsid w:val="009373E3"/>
    <w:rsid w:val="00937C37"/>
    <w:rsid w:val="00937CB5"/>
    <w:rsid w:val="00937CE4"/>
    <w:rsid w:val="00937D31"/>
    <w:rsid w:val="00937D5C"/>
    <w:rsid w:val="00937D5F"/>
    <w:rsid w:val="00937DF1"/>
    <w:rsid w:val="00937F34"/>
    <w:rsid w:val="00937F7E"/>
    <w:rsid w:val="0094020D"/>
    <w:rsid w:val="00940240"/>
    <w:rsid w:val="009405E7"/>
    <w:rsid w:val="00940663"/>
    <w:rsid w:val="0094072A"/>
    <w:rsid w:val="009407B9"/>
    <w:rsid w:val="0094087B"/>
    <w:rsid w:val="00940B83"/>
    <w:rsid w:val="00940D71"/>
    <w:rsid w:val="00940E0B"/>
    <w:rsid w:val="0094113A"/>
    <w:rsid w:val="00941647"/>
    <w:rsid w:val="009416E8"/>
    <w:rsid w:val="00941AE1"/>
    <w:rsid w:val="00941B0D"/>
    <w:rsid w:val="00941BA0"/>
    <w:rsid w:val="00941BE3"/>
    <w:rsid w:val="00941D79"/>
    <w:rsid w:val="00942212"/>
    <w:rsid w:val="00942233"/>
    <w:rsid w:val="009423F1"/>
    <w:rsid w:val="0094271D"/>
    <w:rsid w:val="009429C7"/>
    <w:rsid w:val="00942B7D"/>
    <w:rsid w:val="00942BC0"/>
    <w:rsid w:val="00943393"/>
    <w:rsid w:val="009435CD"/>
    <w:rsid w:val="009435EF"/>
    <w:rsid w:val="0094377A"/>
    <w:rsid w:val="00943991"/>
    <w:rsid w:val="00943E4D"/>
    <w:rsid w:val="00943ED2"/>
    <w:rsid w:val="0094413C"/>
    <w:rsid w:val="009442C7"/>
    <w:rsid w:val="00944746"/>
    <w:rsid w:val="0094483C"/>
    <w:rsid w:val="00944C34"/>
    <w:rsid w:val="00944C37"/>
    <w:rsid w:val="00944E75"/>
    <w:rsid w:val="00944ECD"/>
    <w:rsid w:val="00944EEC"/>
    <w:rsid w:val="0094506C"/>
    <w:rsid w:val="00945155"/>
    <w:rsid w:val="00945181"/>
    <w:rsid w:val="009453B5"/>
    <w:rsid w:val="009454A5"/>
    <w:rsid w:val="009454C3"/>
    <w:rsid w:val="00945720"/>
    <w:rsid w:val="0094572B"/>
    <w:rsid w:val="009458DA"/>
    <w:rsid w:val="0094598B"/>
    <w:rsid w:val="00945BA3"/>
    <w:rsid w:val="00945D0B"/>
    <w:rsid w:val="00945DF1"/>
    <w:rsid w:val="00945E32"/>
    <w:rsid w:val="00945EC9"/>
    <w:rsid w:val="00945EDD"/>
    <w:rsid w:val="00946071"/>
    <w:rsid w:val="009460A5"/>
    <w:rsid w:val="009460F3"/>
    <w:rsid w:val="00946163"/>
    <w:rsid w:val="009461D8"/>
    <w:rsid w:val="0094634A"/>
    <w:rsid w:val="009464B9"/>
    <w:rsid w:val="00946513"/>
    <w:rsid w:val="00946593"/>
    <w:rsid w:val="009468A9"/>
    <w:rsid w:val="009470D4"/>
    <w:rsid w:val="0094720B"/>
    <w:rsid w:val="00947621"/>
    <w:rsid w:val="00947656"/>
    <w:rsid w:val="00947843"/>
    <w:rsid w:val="00947A71"/>
    <w:rsid w:val="00947A73"/>
    <w:rsid w:val="00947C28"/>
    <w:rsid w:val="00947D14"/>
    <w:rsid w:val="00947D6F"/>
    <w:rsid w:val="00947E54"/>
    <w:rsid w:val="00950033"/>
    <w:rsid w:val="0095044B"/>
    <w:rsid w:val="00950504"/>
    <w:rsid w:val="0095054E"/>
    <w:rsid w:val="00950678"/>
    <w:rsid w:val="00950958"/>
    <w:rsid w:val="00950C2C"/>
    <w:rsid w:val="00950D5B"/>
    <w:rsid w:val="00950F5C"/>
    <w:rsid w:val="00950FCA"/>
    <w:rsid w:val="00950FFE"/>
    <w:rsid w:val="00951148"/>
    <w:rsid w:val="009511B3"/>
    <w:rsid w:val="009513D3"/>
    <w:rsid w:val="00951612"/>
    <w:rsid w:val="00951990"/>
    <w:rsid w:val="00951AD2"/>
    <w:rsid w:val="00951AF1"/>
    <w:rsid w:val="00951B54"/>
    <w:rsid w:val="00951C25"/>
    <w:rsid w:val="00951EE5"/>
    <w:rsid w:val="00952137"/>
    <w:rsid w:val="00952147"/>
    <w:rsid w:val="00952533"/>
    <w:rsid w:val="00952BC6"/>
    <w:rsid w:val="00953136"/>
    <w:rsid w:val="009535D2"/>
    <w:rsid w:val="009535FB"/>
    <w:rsid w:val="00953600"/>
    <w:rsid w:val="00953811"/>
    <w:rsid w:val="009538A2"/>
    <w:rsid w:val="00953A94"/>
    <w:rsid w:val="00953EDB"/>
    <w:rsid w:val="00954274"/>
    <w:rsid w:val="0095470C"/>
    <w:rsid w:val="009549C3"/>
    <w:rsid w:val="00954D52"/>
    <w:rsid w:val="00954EC0"/>
    <w:rsid w:val="00955051"/>
    <w:rsid w:val="0095516C"/>
    <w:rsid w:val="00955178"/>
    <w:rsid w:val="00955207"/>
    <w:rsid w:val="009556CB"/>
    <w:rsid w:val="009557EA"/>
    <w:rsid w:val="0095588B"/>
    <w:rsid w:val="009558A9"/>
    <w:rsid w:val="009558FC"/>
    <w:rsid w:val="00955909"/>
    <w:rsid w:val="00955E28"/>
    <w:rsid w:val="009561D7"/>
    <w:rsid w:val="00956383"/>
    <w:rsid w:val="009568BC"/>
    <w:rsid w:val="009568D4"/>
    <w:rsid w:val="00956942"/>
    <w:rsid w:val="00956D57"/>
    <w:rsid w:val="00956E9C"/>
    <w:rsid w:val="00956F50"/>
    <w:rsid w:val="00957533"/>
    <w:rsid w:val="0095774A"/>
    <w:rsid w:val="00957961"/>
    <w:rsid w:val="009579A5"/>
    <w:rsid w:val="00957C49"/>
    <w:rsid w:val="00957F35"/>
    <w:rsid w:val="0096022E"/>
    <w:rsid w:val="00960281"/>
    <w:rsid w:val="009602FD"/>
    <w:rsid w:val="00960621"/>
    <w:rsid w:val="00960906"/>
    <w:rsid w:val="00960AEF"/>
    <w:rsid w:val="00960EA0"/>
    <w:rsid w:val="00960F11"/>
    <w:rsid w:val="00960FEA"/>
    <w:rsid w:val="00961386"/>
    <w:rsid w:val="00961427"/>
    <w:rsid w:val="009617D5"/>
    <w:rsid w:val="00961A8C"/>
    <w:rsid w:val="00961CF6"/>
    <w:rsid w:val="00961E90"/>
    <w:rsid w:val="00961F10"/>
    <w:rsid w:val="00961F5F"/>
    <w:rsid w:val="00962150"/>
    <w:rsid w:val="00962253"/>
    <w:rsid w:val="00962254"/>
    <w:rsid w:val="009628BB"/>
    <w:rsid w:val="00962A42"/>
    <w:rsid w:val="00962C81"/>
    <w:rsid w:val="00962DA7"/>
    <w:rsid w:val="00962EE1"/>
    <w:rsid w:val="00963154"/>
    <w:rsid w:val="00963247"/>
    <w:rsid w:val="0096342D"/>
    <w:rsid w:val="00963546"/>
    <w:rsid w:val="00963767"/>
    <w:rsid w:val="009639AD"/>
    <w:rsid w:val="00963A1A"/>
    <w:rsid w:val="00963B80"/>
    <w:rsid w:val="00963C08"/>
    <w:rsid w:val="00963DF5"/>
    <w:rsid w:val="00963E23"/>
    <w:rsid w:val="0096427B"/>
    <w:rsid w:val="00964351"/>
    <w:rsid w:val="00964767"/>
    <w:rsid w:val="00964824"/>
    <w:rsid w:val="00964961"/>
    <w:rsid w:val="00964A48"/>
    <w:rsid w:val="00964AAD"/>
    <w:rsid w:val="00964C27"/>
    <w:rsid w:val="00964D45"/>
    <w:rsid w:val="009651CE"/>
    <w:rsid w:val="00965300"/>
    <w:rsid w:val="009654A9"/>
    <w:rsid w:val="009654EE"/>
    <w:rsid w:val="009657F9"/>
    <w:rsid w:val="00965B30"/>
    <w:rsid w:val="00965DA2"/>
    <w:rsid w:val="00965DFF"/>
    <w:rsid w:val="009664F2"/>
    <w:rsid w:val="00966588"/>
    <w:rsid w:val="0096662C"/>
    <w:rsid w:val="00966721"/>
    <w:rsid w:val="00966726"/>
    <w:rsid w:val="009667EB"/>
    <w:rsid w:val="00966871"/>
    <w:rsid w:val="00966B5D"/>
    <w:rsid w:val="00966B72"/>
    <w:rsid w:val="00966D9D"/>
    <w:rsid w:val="00966E0E"/>
    <w:rsid w:val="00966EBB"/>
    <w:rsid w:val="00966EBD"/>
    <w:rsid w:val="009670F6"/>
    <w:rsid w:val="0096743B"/>
    <w:rsid w:val="00967447"/>
    <w:rsid w:val="00967588"/>
    <w:rsid w:val="009675D0"/>
    <w:rsid w:val="009676FA"/>
    <w:rsid w:val="00967939"/>
    <w:rsid w:val="00967C5C"/>
    <w:rsid w:val="00967D90"/>
    <w:rsid w:val="00967E1C"/>
    <w:rsid w:val="00967F26"/>
    <w:rsid w:val="009700C8"/>
    <w:rsid w:val="009701EF"/>
    <w:rsid w:val="0097027B"/>
    <w:rsid w:val="009703D4"/>
    <w:rsid w:val="00970429"/>
    <w:rsid w:val="00970469"/>
    <w:rsid w:val="0097059A"/>
    <w:rsid w:val="009705AA"/>
    <w:rsid w:val="00970632"/>
    <w:rsid w:val="0097077B"/>
    <w:rsid w:val="009708F9"/>
    <w:rsid w:val="00970907"/>
    <w:rsid w:val="0097129F"/>
    <w:rsid w:val="009712B5"/>
    <w:rsid w:val="00971400"/>
    <w:rsid w:val="00971614"/>
    <w:rsid w:val="00971A2E"/>
    <w:rsid w:val="00971AA5"/>
    <w:rsid w:val="00971AD5"/>
    <w:rsid w:val="00971B56"/>
    <w:rsid w:val="00971C20"/>
    <w:rsid w:val="00971EA7"/>
    <w:rsid w:val="0097220F"/>
    <w:rsid w:val="00972303"/>
    <w:rsid w:val="00972387"/>
    <w:rsid w:val="009725A6"/>
    <w:rsid w:val="009725CD"/>
    <w:rsid w:val="00972701"/>
    <w:rsid w:val="009727E2"/>
    <w:rsid w:val="00972954"/>
    <w:rsid w:val="00972B0F"/>
    <w:rsid w:val="00972CF7"/>
    <w:rsid w:val="00972DF3"/>
    <w:rsid w:val="00972F88"/>
    <w:rsid w:val="009730BB"/>
    <w:rsid w:val="0097335B"/>
    <w:rsid w:val="00973429"/>
    <w:rsid w:val="00973949"/>
    <w:rsid w:val="00973A24"/>
    <w:rsid w:val="00973AEA"/>
    <w:rsid w:val="00974002"/>
    <w:rsid w:val="0097405D"/>
    <w:rsid w:val="00974060"/>
    <w:rsid w:val="00974145"/>
    <w:rsid w:val="009745AB"/>
    <w:rsid w:val="00974689"/>
    <w:rsid w:val="009747BD"/>
    <w:rsid w:val="00974846"/>
    <w:rsid w:val="00974863"/>
    <w:rsid w:val="0097497A"/>
    <w:rsid w:val="0097498E"/>
    <w:rsid w:val="00974CA5"/>
    <w:rsid w:val="00974DAF"/>
    <w:rsid w:val="00974F0B"/>
    <w:rsid w:val="00974F1D"/>
    <w:rsid w:val="009750F8"/>
    <w:rsid w:val="009753B8"/>
    <w:rsid w:val="00975469"/>
    <w:rsid w:val="0097550D"/>
    <w:rsid w:val="00975BE6"/>
    <w:rsid w:val="00975D96"/>
    <w:rsid w:val="00975DB0"/>
    <w:rsid w:val="00975E95"/>
    <w:rsid w:val="00975F5D"/>
    <w:rsid w:val="0097646D"/>
    <w:rsid w:val="009767F7"/>
    <w:rsid w:val="0097683C"/>
    <w:rsid w:val="00976902"/>
    <w:rsid w:val="0097698C"/>
    <w:rsid w:val="00976BEF"/>
    <w:rsid w:val="00976F14"/>
    <w:rsid w:val="00976FA7"/>
    <w:rsid w:val="0097785A"/>
    <w:rsid w:val="00977B4A"/>
    <w:rsid w:val="00977B59"/>
    <w:rsid w:val="00977DB1"/>
    <w:rsid w:val="00977E1F"/>
    <w:rsid w:val="00977F20"/>
    <w:rsid w:val="00980308"/>
    <w:rsid w:val="00980AD5"/>
    <w:rsid w:val="00980B70"/>
    <w:rsid w:val="00980C90"/>
    <w:rsid w:val="00980CB9"/>
    <w:rsid w:val="00980D35"/>
    <w:rsid w:val="00980D8D"/>
    <w:rsid w:val="00980EDD"/>
    <w:rsid w:val="009810D6"/>
    <w:rsid w:val="00981214"/>
    <w:rsid w:val="00981313"/>
    <w:rsid w:val="009816D1"/>
    <w:rsid w:val="00981912"/>
    <w:rsid w:val="0098196C"/>
    <w:rsid w:val="00981A2A"/>
    <w:rsid w:val="00981A92"/>
    <w:rsid w:val="00981B3E"/>
    <w:rsid w:val="00981BBC"/>
    <w:rsid w:val="00981D50"/>
    <w:rsid w:val="00981F5C"/>
    <w:rsid w:val="00982115"/>
    <w:rsid w:val="00982138"/>
    <w:rsid w:val="009823A3"/>
    <w:rsid w:val="009825F0"/>
    <w:rsid w:val="0098278E"/>
    <w:rsid w:val="00982B9F"/>
    <w:rsid w:val="00982C6C"/>
    <w:rsid w:val="00982E11"/>
    <w:rsid w:val="00982F2D"/>
    <w:rsid w:val="00983014"/>
    <w:rsid w:val="009830EA"/>
    <w:rsid w:val="00983623"/>
    <w:rsid w:val="00983712"/>
    <w:rsid w:val="00983917"/>
    <w:rsid w:val="00983942"/>
    <w:rsid w:val="009839C8"/>
    <w:rsid w:val="00983AA1"/>
    <w:rsid w:val="00983AE9"/>
    <w:rsid w:val="00983B42"/>
    <w:rsid w:val="00983BC9"/>
    <w:rsid w:val="00983BEA"/>
    <w:rsid w:val="00983C4B"/>
    <w:rsid w:val="00983F82"/>
    <w:rsid w:val="00983FA6"/>
    <w:rsid w:val="0098418C"/>
    <w:rsid w:val="00984256"/>
    <w:rsid w:val="009843F8"/>
    <w:rsid w:val="00984532"/>
    <w:rsid w:val="00984636"/>
    <w:rsid w:val="0098466D"/>
    <w:rsid w:val="009847A5"/>
    <w:rsid w:val="00984AA3"/>
    <w:rsid w:val="00984C25"/>
    <w:rsid w:val="00984D37"/>
    <w:rsid w:val="00984DB5"/>
    <w:rsid w:val="00984E98"/>
    <w:rsid w:val="00984F70"/>
    <w:rsid w:val="00984FDB"/>
    <w:rsid w:val="0098515B"/>
    <w:rsid w:val="009851AB"/>
    <w:rsid w:val="00985441"/>
    <w:rsid w:val="00985484"/>
    <w:rsid w:val="00985CF7"/>
    <w:rsid w:val="00985D31"/>
    <w:rsid w:val="00985F4F"/>
    <w:rsid w:val="00985F84"/>
    <w:rsid w:val="00986071"/>
    <w:rsid w:val="0098632A"/>
    <w:rsid w:val="009863EB"/>
    <w:rsid w:val="009864AA"/>
    <w:rsid w:val="009864DA"/>
    <w:rsid w:val="0098651A"/>
    <w:rsid w:val="00986809"/>
    <w:rsid w:val="00986A8D"/>
    <w:rsid w:val="00986C3C"/>
    <w:rsid w:val="00986DFF"/>
    <w:rsid w:val="00987158"/>
    <w:rsid w:val="0098715B"/>
    <w:rsid w:val="00987170"/>
    <w:rsid w:val="009873BB"/>
    <w:rsid w:val="009876C6"/>
    <w:rsid w:val="00987774"/>
    <w:rsid w:val="009877FC"/>
    <w:rsid w:val="00987870"/>
    <w:rsid w:val="00987A13"/>
    <w:rsid w:val="00987CC8"/>
    <w:rsid w:val="00987CDC"/>
    <w:rsid w:val="00987DC0"/>
    <w:rsid w:val="00987E02"/>
    <w:rsid w:val="00987E1A"/>
    <w:rsid w:val="0099008D"/>
    <w:rsid w:val="0099035C"/>
    <w:rsid w:val="00990659"/>
    <w:rsid w:val="0099075B"/>
    <w:rsid w:val="009908A1"/>
    <w:rsid w:val="00990BB8"/>
    <w:rsid w:val="00990BE4"/>
    <w:rsid w:val="00990C99"/>
    <w:rsid w:val="00990ED8"/>
    <w:rsid w:val="0099112D"/>
    <w:rsid w:val="00991350"/>
    <w:rsid w:val="00991414"/>
    <w:rsid w:val="009914A7"/>
    <w:rsid w:val="00991597"/>
    <w:rsid w:val="00991631"/>
    <w:rsid w:val="00991664"/>
    <w:rsid w:val="00991B32"/>
    <w:rsid w:val="00991DCF"/>
    <w:rsid w:val="00992065"/>
    <w:rsid w:val="00992100"/>
    <w:rsid w:val="00992188"/>
    <w:rsid w:val="00992390"/>
    <w:rsid w:val="009926DE"/>
    <w:rsid w:val="00992908"/>
    <w:rsid w:val="00992916"/>
    <w:rsid w:val="00992A0B"/>
    <w:rsid w:val="00992A1D"/>
    <w:rsid w:val="00992A70"/>
    <w:rsid w:val="00992B5A"/>
    <w:rsid w:val="00992CB0"/>
    <w:rsid w:val="00992DE9"/>
    <w:rsid w:val="00992EA5"/>
    <w:rsid w:val="00993781"/>
    <w:rsid w:val="00993AA2"/>
    <w:rsid w:val="00993B6D"/>
    <w:rsid w:val="00993C74"/>
    <w:rsid w:val="00993DA3"/>
    <w:rsid w:val="00993DE8"/>
    <w:rsid w:val="00994003"/>
    <w:rsid w:val="00994117"/>
    <w:rsid w:val="00994672"/>
    <w:rsid w:val="009946D8"/>
    <w:rsid w:val="00994749"/>
    <w:rsid w:val="00995239"/>
    <w:rsid w:val="009954DB"/>
    <w:rsid w:val="00995518"/>
    <w:rsid w:val="00995893"/>
    <w:rsid w:val="00995929"/>
    <w:rsid w:val="00995977"/>
    <w:rsid w:val="00995A95"/>
    <w:rsid w:val="00995C45"/>
    <w:rsid w:val="00995CED"/>
    <w:rsid w:val="00995EE8"/>
    <w:rsid w:val="00995F28"/>
    <w:rsid w:val="00996203"/>
    <w:rsid w:val="00996264"/>
    <w:rsid w:val="009962F3"/>
    <w:rsid w:val="009963EE"/>
    <w:rsid w:val="0099670C"/>
    <w:rsid w:val="00996A37"/>
    <w:rsid w:val="00996A74"/>
    <w:rsid w:val="00996BFA"/>
    <w:rsid w:val="00996DE4"/>
    <w:rsid w:val="00997041"/>
    <w:rsid w:val="00997191"/>
    <w:rsid w:val="009971D9"/>
    <w:rsid w:val="0099751B"/>
    <w:rsid w:val="009975BA"/>
    <w:rsid w:val="00997706"/>
    <w:rsid w:val="00997C3C"/>
    <w:rsid w:val="00997DE1"/>
    <w:rsid w:val="009A025C"/>
    <w:rsid w:val="009A03AB"/>
    <w:rsid w:val="009A0404"/>
    <w:rsid w:val="009A054C"/>
    <w:rsid w:val="009A06BE"/>
    <w:rsid w:val="009A0CCE"/>
    <w:rsid w:val="009A0E81"/>
    <w:rsid w:val="009A12E5"/>
    <w:rsid w:val="009A1359"/>
    <w:rsid w:val="009A147C"/>
    <w:rsid w:val="009A14D5"/>
    <w:rsid w:val="009A1675"/>
    <w:rsid w:val="009A179E"/>
    <w:rsid w:val="009A1899"/>
    <w:rsid w:val="009A19CE"/>
    <w:rsid w:val="009A1A53"/>
    <w:rsid w:val="009A1B20"/>
    <w:rsid w:val="009A1B62"/>
    <w:rsid w:val="009A1BB8"/>
    <w:rsid w:val="009A1CB4"/>
    <w:rsid w:val="009A1DFB"/>
    <w:rsid w:val="009A2103"/>
    <w:rsid w:val="009A23AB"/>
    <w:rsid w:val="009A247C"/>
    <w:rsid w:val="009A2598"/>
    <w:rsid w:val="009A2E46"/>
    <w:rsid w:val="009A2E65"/>
    <w:rsid w:val="009A31C6"/>
    <w:rsid w:val="009A32CB"/>
    <w:rsid w:val="009A35A1"/>
    <w:rsid w:val="009A3ABF"/>
    <w:rsid w:val="009A3AD9"/>
    <w:rsid w:val="009A3B88"/>
    <w:rsid w:val="009A3EB0"/>
    <w:rsid w:val="009A4213"/>
    <w:rsid w:val="009A42E8"/>
    <w:rsid w:val="009A496F"/>
    <w:rsid w:val="009A4EA4"/>
    <w:rsid w:val="009A5147"/>
    <w:rsid w:val="009A53AF"/>
    <w:rsid w:val="009A540F"/>
    <w:rsid w:val="009A5441"/>
    <w:rsid w:val="009A553A"/>
    <w:rsid w:val="009A575A"/>
    <w:rsid w:val="009A58C9"/>
    <w:rsid w:val="009A58DC"/>
    <w:rsid w:val="009A5C93"/>
    <w:rsid w:val="009A623F"/>
    <w:rsid w:val="009A65D6"/>
    <w:rsid w:val="009A6641"/>
    <w:rsid w:val="009A6752"/>
    <w:rsid w:val="009A678D"/>
    <w:rsid w:val="009A6FFB"/>
    <w:rsid w:val="009A702C"/>
    <w:rsid w:val="009A70BC"/>
    <w:rsid w:val="009A72E3"/>
    <w:rsid w:val="009A747B"/>
    <w:rsid w:val="009A757B"/>
    <w:rsid w:val="009A7678"/>
    <w:rsid w:val="009A7760"/>
    <w:rsid w:val="009A78CE"/>
    <w:rsid w:val="009A79A3"/>
    <w:rsid w:val="009B0204"/>
    <w:rsid w:val="009B0250"/>
    <w:rsid w:val="009B088C"/>
    <w:rsid w:val="009B08B6"/>
    <w:rsid w:val="009B0A3A"/>
    <w:rsid w:val="009B0A63"/>
    <w:rsid w:val="009B0B0C"/>
    <w:rsid w:val="009B0C46"/>
    <w:rsid w:val="009B0C4D"/>
    <w:rsid w:val="009B0CA1"/>
    <w:rsid w:val="009B0D23"/>
    <w:rsid w:val="009B0D37"/>
    <w:rsid w:val="009B0DB8"/>
    <w:rsid w:val="009B0E2D"/>
    <w:rsid w:val="009B0F45"/>
    <w:rsid w:val="009B117F"/>
    <w:rsid w:val="009B17DA"/>
    <w:rsid w:val="009B17E9"/>
    <w:rsid w:val="009B1864"/>
    <w:rsid w:val="009B19BD"/>
    <w:rsid w:val="009B1B4F"/>
    <w:rsid w:val="009B1D26"/>
    <w:rsid w:val="009B1E79"/>
    <w:rsid w:val="009B1E9E"/>
    <w:rsid w:val="009B2362"/>
    <w:rsid w:val="009B2409"/>
    <w:rsid w:val="009B2484"/>
    <w:rsid w:val="009B250B"/>
    <w:rsid w:val="009B25B1"/>
    <w:rsid w:val="009B2603"/>
    <w:rsid w:val="009B2796"/>
    <w:rsid w:val="009B2B6A"/>
    <w:rsid w:val="009B2DF6"/>
    <w:rsid w:val="009B2EAA"/>
    <w:rsid w:val="009B31C7"/>
    <w:rsid w:val="009B3261"/>
    <w:rsid w:val="009B3366"/>
    <w:rsid w:val="009B34BD"/>
    <w:rsid w:val="009B35D4"/>
    <w:rsid w:val="009B3680"/>
    <w:rsid w:val="009B38FF"/>
    <w:rsid w:val="009B3A3B"/>
    <w:rsid w:val="009B3B92"/>
    <w:rsid w:val="009B3BCC"/>
    <w:rsid w:val="009B3D8A"/>
    <w:rsid w:val="009B3DED"/>
    <w:rsid w:val="009B3E61"/>
    <w:rsid w:val="009B3ECA"/>
    <w:rsid w:val="009B40C4"/>
    <w:rsid w:val="009B40D3"/>
    <w:rsid w:val="009B42F1"/>
    <w:rsid w:val="009B45CC"/>
    <w:rsid w:val="009B45DF"/>
    <w:rsid w:val="009B49AC"/>
    <w:rsid w:val="009B4A55"/>
    <w:rsid w:val="009B4AC7"/>
    <w:rsid w:val="009B4C97"/>
    <w:rsid w:val="009B4CBE"/>
    <w:rsid w:val="009B4DC9"/>
    <w:rsid w:val="009B4EB3"/>
    <w:rsid w:val="009B50EF"/>
    <w:rsid w:val="009B50F9"/>
    <w:rsid w:val="009B57DD"/>
    <w:rsid w:val="009B58E2"/>
    <w:rsid w:val="009B5A68"/>
    <w:rsid w:val="009B5ADF"/>
    <w:rsid w:val="009B5C3B"/>
    <w:rsid w:val="009B5CD3"/>
    <w:rsid w:val="009B5E2F"/>
    <w:rsid w:val="009B5E35"/>
    <w:rsid w:val="009B5E68"/>
    <w:rsid w:val="009B5E71"/>
    <w:rsid w:val="009B5F52"/>
    <w:rsid w:val="009B60BD"/>
    <w:rsid w:val="009B61A3"/>
    <w:rsid w:val="009B6561"/>
    <w:rsid w:val="009B65DA"/>
    <w:rsid w:val="009B68A4"/>
    <w:rsid w:val="009B6A8F"/>
    <w:rsid w:val="009B6B6D"/>
    <w:rsid w:val="009B6B88"/>
    <w:rsid w:val="009B6BC2"/>
    <w:rsid w:val="009B6C31"/>
    <w:rsid w:val="009B6E03"/>
    <w:rsid w:val="009B6E98"/>
    <w:rsid w:val="009B71D0"/>
    <w:rsid w:val="009B7230"/>
    <w:rsid w:val="009B72D0"/>
    <w:rsid w:val="009B72F3"/>
    <w:rsid w:val="009B748D"/>
    <w:rsid w:val="009B75F9"/>
    <w:rsid w:val="009B78E8"/>
    <w:rsid w:val="009B7ABB"/>
    <w:rsid w:val="009B7B4D"/>
    <w:rsid w:val="009B7C8B"/>
    <w:rsid w:val="009B7CBA"/>
    <w:rsid w:val="009B7D6D"/>
    <w:rsid w:val="009B7DC0"/>
    <w:rsid w:val="009B7F63"/>
    <w:rsid w:val="009C00C7"/>
    <w:rsid w:val="009C03A7"/>
    <w:rsid w:val="009C03B9"/>
    <w:rsid w:val="009C082B"/>
    <w:rsid w:val="009C0870"/>
    <w:rsid w:val="009C0B9B"/>
    <w:rsid w:val="009C0DC0"/>
    <w:rsid w:val="009C0E1E"/>
    <w:rsid w:val="009C0FF8"/>
    <w:rsid w:val="009C13AC"/>
    <w:rsid w:val="009C1608"/>
    <w:rsid w:val="009C188B"/>
    <w:rsid w:val="009C19D6"/>
    <w:rsid w:val="009C1AA2"/>
    <w:rsid w:val="009C25C5"/>
    <w:rsid w:val="009C26E4"/>
    <w:rsid w:val="009C283C"/>
    <w:rsid w:val="009C2939"/>
    <w:rsid w:val="009C2B4A"/>
    <w:rsid w:val="009C2B9B"/>
    <w:rsid w:val="009C2BC3"/>
    <w:rsid w:val="009C2D5F"/>
    <w:rsid w:val="009C3358"/>
    <w:rsid w:val="009C3594"/>
    <w:rsid w:val="009C359E"/>
    <w:rsid w:val="009C35E4"/>
    <w:rsid w:val="009C37C0"/>
    <w:rsid w:val="009C39FA"/>
    <w:rsid w:val="009C3DB9"/>
    <w:rsid w:val="009C406D"/>
    <w:rsid w:val="009C4079"/>
    <w:rsid w:val="009C42C4"/>
    <w:rsid w:val="009C445C"/>
    <w:rsid w:val="009C4507"/>
    <w:rsid w:val="009C4570"/>
    <w:rsid w:val="009C4645"/>
    <w:rsid w:val="009C471D"/>
    <w:rsid w:val="009C4B29"/>
    <w:rsid w:val="009C4B85"/>
    <w:rsid w:val="009C4D31"/>
    <w:rsid w:val="009C4D60"/>
    <w:rsid w:val="009C4DC6"/>
    <w:rsid w:val="009C54E4"/>
    <w:rsid w:val="009C5603"/>
    <w:rsid w:val="009C56C6"/>
    <w:rsid w:val="009C56D3"/>
    <w:rsid w:val="009C582E"/>
    <w:rsid w:val="009C5852"/>
    <w:rsid w:val="009C58E9"/>
    <w:rsid w:val="009C5D6D"/>
    <w:rsid w:val="009C5DD5"/>
    <w:rsid w:val="009C5E01"/>
    <w:rsid w:val="009C5F41"/>
    <w:rsid w:val="009C6144"/>
    <w:rsid w:val="009C62F6"/>
    <w:rsid w:val="009C639A"/>
    <w:rsid w:val="009C64A9"/>
    <w:rsid w:val="009C66F6"/>
    <w:rsid w:val="009C67EC"/>
    <w:rsid w:val="009C6B62"/>
    <w:rsid w:val="009C6FCD"/>
    <w:rsid w:val="009C713D"/>
    <w:rsid w:val="009C72D9"/>
    <w:rsid w:val="009C74F9"/>
    <w:rsid w:val="009C75BD"/>
    <w:rsid w:val="009C7621"/>
    <w:rsid w:val="009C7669"/>
    <w:rsid w:val="009C7B7B"/>
    <w:rsid w:val="009C7C25"/>
    <w:rsid w:val="009C7EF4"/>
    <w:rsid w:val="009D0110"/>
    <w:rsid w:val="009D0185"/>
    <w:rsid w:val="009D02C4"/>
    <w:rsid w:val="009D04A9"/>
    <w:rsid w:val="009D04C4"/>
    <w:rsid w:val="009D0621"/>
    <w:rsid w:val="009D08A3"/>
    <w:rsid w:val="009D0998"/>
    <w:rsid w:val="009D09DE"/>
    <w:rsid w:val="009D0B50"/>
    <w:rsid w:val="009D0C32"/>
    <w:rsid w:val="009D0C92"/>
    <w:rsid w:val="009D0EB2"/>
    <w:rsid w:val="009D0F1D"/>
    <w:rsid w:val="009D1543"/>
    <w:rsid w:val="009D15F6"/>
    <w:rsid w:val="009D16A9"/>
    <w:rsid w:val="009D17A9"/>
    <w:rsid w:val="009D1917"/>
    <w:rsid w:val="009D1A99"/>
    <w:rsid w:val="009D1AC1"/>
    <w:rsid w:val="009D1B0E"/>
    <w:rsid w:val="009D1C9C"/>
    <w:rsid w:val="009D1D60"/>
    <w:rsid w:val="009D2031"/>
    <w:rsid w:val="009D20ED"/>
    <w:rsid w:val="009D23E5"/>
    <w:rsid w:val="009D2504"/>
    <w:rsid w:val="009D275D"/>
    <w:rsid w:val="009D292D"/>
    <w:rsid w:val="009D292F"/>
    <w:rsid w:val="009D2A48"/>
    <w:rsid w:val="009D2B3E"/>
    <w:rsid w:val="009D2F66"/>
    <w:rsid w:val="009D33C5"/>
    <w:rsid w:val="009D341A"/>
    <w:rsid w:val="009D353E"/>
    <w:rsid w:val="009D35D8"/>
    <w:rsid w:val="009D3671"/>
    <w:rsid w:val="009D3757"/>
    <w:rsid w:val="009D3978"/>
    <w:rsid w:val="009D3C40"/>
    <w:rsid w:val="009D4096"/>
    <w:rsid w:val="009D4117"/>
    <w:rsid w:val="009D41A0"/>
    <w:rsid w:val="009D41C8"/>
    <w:rsid w:val="009D443F"/>
    <w:rsid w:val="009D4653"/>
    <w:rsid w:val="009D4AE5"/>
    <w:rsid w:val="009D4C2F"/>
    <w:rsid w:val="009D4C6D"/>
    <w:rsid w:val="009D4C75"/>
    <w:rsid w:val="009D4DAD"/>
    <w:rsid w:val="009D5145"/>
    <w:rsid w:val="009D5700"/>
    <w:rsid w:val="009D575C"/>
    <w:rsid w:val="009D5B7B"/>
    <w:rsid w:val="009D5FE5"/>
    <w:rsid w:val="009D60C8"/>
    <w:rsid w:val="009D6284"/>
    <w:rsid w:val="009D64B3"/>
    <w:rsid w:val="009D650D"/>
    <w:rsid w:val="009D67E6"/>
    <w:rsid w:val="009D698B"/>
    <w:rsid w:val="009D6F50"/>
    <w:rsid w:val="009D7311"/>
    <w:rsid w:val="009D732D"/>
    <w:rsid w:val="009D7458"/>
    <w:rsid w:val="009D74F9"/>
    <w:rsid w:val="009D7562"/>
    <w:rsid w:val="009D7612"/>
    <w:rsid w:val="009D762F"/>
    <w:rsid w:val="009D7856"/>
    <w:rsid w:val="009D7907"/>
    <w:rsid w:val="009D7973"/>
    <w:rsid w:val="009D7AE9"/>
    <w:rsid w:val="009D7B26"/>
    <w:rsid w:val="009D7B69"/>
    <w:rsid w:val="009D7B9B"/>
    <w:rsid w:val="009D7DC2"/>
    <w:rsid w:val="009E020B"/>
    <w:rsid w:val="009E0394"/>
    <w:rsid w:val="009E0725"/>
    <w:rsid w:val="009E07A3"/>
    <w:rsid w:val="009E0832"/>
    <w:rsid w:val="009E0844"/>
    <w:rsid w:val="009E08EC"/>
    <w:rsid w:val="009E0989"/>
    <w:rsid w:val="009E0A15"/>
    <w:rsid w:val="009E0A5F"/>
    <w:rsid w:val="009E0D64"/>
    <w:rsid w:val="009E0E02"/>
    <w:rsid w:val="009E0E10"/>
    <w:rsid w:val="009E0E15"/>
    <w:rsid w:val="009E117D"/>
    <w:rsid w:val="009E11F4"/>
    <w:rsid w:val="009E1BEC"/>
    <w:rsid w:val="009E1C28"/>
    <w:rsid w:val="009E219F"/>
    <w:rsid w:val="009E229D"/>
    <w:rsid w:val="009E22BA"/>
    <w:rsid w:val="009E2757"/>
    <w:rsid w:val="009E292F"/>
    <w:rsid w:val="009E2BD3"/>
    <w:rsid w:val="009E2CDD"/>
    <w:rsid w:val="009E2DB9"/>
    <w:rsid w:val="009E2EE6"/>
    <w:rsid w:val="009E3556"/>
    <w:rsid w:val="009E3600"/>
    <w:rsid w:val="009E3688"/>
    <w:rsid w:val="009E36A5"/>
    <w:rsid w:val="009E393E"/>
    <w:rsid w:val="009E3A29"/>
    <w:rsid w:val="009E3EBA"/>
    <w:rsid w:val="009E3F2E"/>
    <w:rsid w:val="009E40AD"/>
    <w:rsid w:val="009E40EC"/>
    <w:rsid w:val="009E434E"/>
    <w:rsid w:val="009E4368"/>
    <w:rsid w:val="009E4446"/>
    <w:rsid w:val="009E45F3"/>
    <w:rsid w:val="009E470E"/>
    <w:rsid w:val="009E478C"/>
    <w:rsid w:val="009E4802"/>
    <w:rsid w:val="009E4A40"/>
    <w:rsid w:val="009E4A51"/>
    <w:rsid w:val="009E4A60"/>
    <w:rsid w:val="009E4ACF"/>
    <w:rsid w:val="009E4AEE"/>
    <w:rsid w:val="009E4B73"/>
    <w:rsid w:val="009E4C08"/>
    <w:rsid w:val="009E4C0A"/>
    <w:rsid w:val="009E4C9B"/>
    <w:rsid w:val="009E4D22"/>
    <w:rsid w:val="009E4DD5"/>
    <w:rsid w:val="009E566C"/>
    <w:rsid w:val="009E5B34"/>
    <w:rsid w:val="009E6308"/>
    <w:rsid w:val="009E64D5"/>
    <w:rsid w:val="009E6613"/>
    <w:rsid w:val="009E677C"/>
    <w:rsid w:val="009E68EB"/>
    <w:rsid w:val="009E6AFE"/>
    <w:rsid w:val="009E6BDC"/>
    <w:rsid w:val="009E7488"/>
    <w:rsid w:val="009E7522"/>
    <w:rsid w:val="009E7622"/>
    <w:rsid w:val="009E7DA5"/>
    <w:rsid w:val="009E7EF8"/>
    <w:rsid w:val="009F00E7"/>
    <w:rsid w:val="009F01AA"/>
    <w:rsid w:val="009F0383"/>
    <w:rsid w:val="009F058A"/>
    <w:rsid w:val="009F0668"/>
    <w:rsid w:val="009F07A1"/>
    <w:rsid w:val="009F08D2"/>
    <w:rsid w:val="009F0915"/>
    <w:rsid w:val="009F0A4E"/>
    <w:rsid w:val="009F0BA1"/>
    <w:rsid w:val="009F0BA3"/>
    <w:rsid w:val="009F0CD1"/>
    <w:rsid w:val="009F0DDC"/>
    <w:rsid w:val="009F106A"/>
    <w:rsid w:val="009F113F"/>
    <w:rsid w:val="009F1302"/>
    <w:rsid w:val="009F159A"/>
    <w:rsid w:val="009F1AA1"/>
    <w:rsid w:val="009F1CDC"/>
    <w:rsid w:val="009F1D73"/>
    <w:rsid w:val="009F1EAE"/>
    <w:rsid w:val="009F1FE3"/>
    <w:rsid w:val="009F24D6"/>
    <w:rsid w:val="009F251A"/>
    <w:rsid w:val="009F2530"/>
    <w:rsid w:val="009F2601"/>
    <w:rsid w:val="009F265A"/>
    <w:rsid w:val="009F2696"/>
    <w:rsid w:val="009F294C"/>
    <w:rsid w:val="009F2E01"/>
    <w:rsid w:val="009F2EEC"/>
    <w:rsid w:val="009F30E0"/>
    <w:rsid w:val="009F3135"/>
    <w:rsid w:val="009F356D"/>
    <w:rsid w:val="009F3684"/>
    <w:rsid w:val="009F38AC"/>
    <w:rsid w:val="009F393D"/>
    <w:rsid w:val="009F3B5A"/>
    <w:rsid w:val="009F3CD0"/>
    <w:rsid w:val="009F3D52"/>
    <w:rsid w:val="009F3FC4"/>
    <w:rsid w:val="009F40CF"/>
    <w:rsid w:val="009F4444"/>
    <w:rsid w:val="009F4452"/>
    <w:rsid w:val="009F44B0"/>
    <w:rsid w:val="009F44F1"/>
    <w:rsid w:val="009F477A"/>
    <w:rsid w:val="009F4807"/>
    <w:rsid w:val="009F48B5"/>
    <w:rsid w:val="009F48B7"/>
    <w:rsid w:val="009F48FB"/>
    <w:rsid w:val="009F4964"/>
    <w:rsid w:val="009F4968"/>
    <w:rsid w:val="009F4B37"/>
    <w:rsid w:val="009F4B86"/>
    <w:rsid w:val="009F4F75"/>
    <w:rsid w:val="009F52DD"/>
    <w:rsid w:val="009F52F0"/>
    <w:rsid w:val="009F53C5"/>
    <w:rsid w:val="009F53E7"/>
    <w:rsid w:val="009F552B"/>
    <w:rsid w:val="009F552F"/>
    <w:rsid w:val="009F55B6"/>
    <w:rsid w:val="009F55F9"/>
    <w:rsid w:val="009F5694"/>
    <w:rsid w:val="009F5722"/>
    <w:rsid w:val="009F591D"/>
    <w:rsid w:val="009F5A24"/>
    <w:rsid w:val="009F5BA4"/>
    <w:rsid w:val="009F5CCC"/>
    <w:rsid w:val="009F5CCE"/>
    <w:rsid w:val="009F5D30"/>
    <w:rsid w:val="009F5ECD"/>
    <w:rsid w:val="009F61C4"/>
    <w:rsid w:val="009F6309"/>
    <w:rsid w:val="009F64F0"/>
    <w:rsid w:val="009F6543"/>
    <w:rsid w:val="009F6573"/>
    <w:rsid w:val="009F6591"/>
    <w:rsid w:val="009F6AE9"/>
    <w:rsid w:val="009F6B0A"/>
    <w:rsid w:val="009F6B1D"/>
    <w:rsid w:val="009F70A0"/>
    <w:rsid w:val="009F711C"/>
    <w:rsid w:val="009F74D6"/>
    <w:rsid w:val="009F75BC"/>
    <w:rsid w:val="009F761E"/>
    <w:rsid w:val="009F7842"/>
    <w:rsid w:val="009F79AA"/>
    <w:rsid w:val="009F79DD"/>
    <w:rsid w:val="009F7A65"/>
    <w:rsid w:val="009F7A6B"/>
    <w:rsid w:val="009F7CC2"/>
    <w:rsid w:val="009F7CF0"/>
    <w:rsid w:val="009F7D4A"/>
    <w:rsid w:val="009F7D8C"/>
    <w:rsid w:val="009F7E0C"/>
    <w:rsid w:val="009F7E7D"/>
    <w:rsid w:val="009F7EF0"/>
    <w:rsid w:val="00A00358"/>
    <w:rsid w:val="00A004EC"/>
    <w:rsid w:val="00A006F5"/>
    <w:rsid w:val="00A00775"/>
    <w:rsid w:val="00A007D7"/>
    <w:rsid w:val="00A0084D"/>
    <w:rsid w:val="00A008DC"/>
    <w:rsid w:val="00A00928"/>
    <w:rsid w:val="00A00AFC"/>
    <w:rsid w:val="00A00CD5"/>
    <w:rsid w:val="00A01187"/>
    <w:rsid w:val="00A011DD"/>
    <w:rsid w:val="00A012C6"/>
    <w:rsid w:val="00A01327"/>
    <w:rsid w:val="00A016B1"/>
    <w:rsid w:val="00A018F6"/>
    <w:rsid w:val="00A01944"/>
    <w:rsid w:val="00A01C75"/>
    <w:rsid w:val="00A01C85"/>
    <w:rsid w:val="00A0206B"/>
    <w:rsid w:val="00A02461"/>
    <w:rsid w:val="00A0255F"/>
    <w:rsid w:val="00A0260C"/>
    <w:rsid w:val="00A026BB"/>
    <w:rsid w:val="00A02A06"/>
    <w:rsid w:val="00A02BB4"/>
    <w:rsid w:val="00A02CDD"/>
    <w:rsid w:val="00A0306B"/>
    <w:rsid w:val="00A030AB"/>
    <w:rsid w:val="00A034CE"/>
    <w:rsid w:val="00A0351D"/>
    <w:rsid w:val="00A0354F"/>
    <w:rsid w:val="00A035B8"/>
    <w:rsid w:val="00A03609"/>
    <w:rsid w:val="00A036EC"/>
    <w:rsid w:val="00A03DAE"/>
    <w:rsid w:val="00A04262"/>
    <w:rsid w:val="00A04358"/>
    <w:rsid w:val="00A04818"/>
    <w:rsid w:val="00A048A1"/>
    <w:rsid w:val="00A048E1"/>
    <w:rsid w:val="00A04B94"/>
    <w:rsid w:val="00A04D33"/>
    <w:rsid w:val="00A04FCC"/>
    <w:rsid w:val="00A05145"/>
    <w:rsid w:val="00A05525"/>
    <w:rsid w:val="00A05531"/>
    <w:rsid w:val="00A05564"/>
    <w:rsid w:val="00A056BA"/>
    <w:rsid w:val="00A056D6"/>
    <w:rsid w:val="00A0590A"/>
    <w:rsid w:val="00A059CD"/>
    <w:rsid w:val="00A05CCA"/>
    <w:rsid w:val="00A05F99"/>
    <w:rsid w:val="00A05FF3"/>
    <w:rsid w:val="00A060B4"/>
    <w:rsid w:val="00A061E1"/>
    <w:rsid w:val="00A06439"/>
    <w:rsid w:val="00A0648B"/>
    <w:rsid w:val="00A064FC"/>
    <w:rsid w:val="00A06552"/>
    <w:rsid w:val="00A06633"/>
    <w:rsid w:val="00A0666E"/>
    <w:rsid w:val="00A06723"/>
    <w:rsid w:val="00A0697D"/>
    <w:rsid w:val="00A06BD1"/>
    <w:rsid w:val="00A06C9E"/>
    <w:rsid w:val="00A06CE4"/>
    <w:rsid w:val="00A06D46"/>
    <w:rsid w:val="00A06F74"/>
    <w:rsid w:val="00A06F7A"/>
    <w:rsid w:val="00A06FB2"/>
    <w:rsid w:val="00A07010"/>
    <w:rsid w:val="00A07075"/>
    <w:rsid w:val="00A07109"/>
    <w:rsid w:val="00A072CE"/>
    <w:rsid w:val="00A07332"/>
    <w:rsid w:val="00A0733F"/>
    <w:rsid w:val="00A075AE"/>
    <w:rsid w:val="00A07742"/>
    <w:rsid w:val="00A077E7"/>
    <w:rsid w:val="00A079C0"/>
    <w:rsid w:val="00A07DA5"/>
    <w:rsid w:val="00A07DD4"/>
    <w:rsid w:val="00A07E3A"/>
    <w:rsid w:val="00A07FB5"/>
    <w:rsid w:val="00A10133"/>
    <w:rsid w:val="00A1030C"/>
    <w:rsid w:val="00A10410"/>
    <w:rsid w:val="00A1065B"/>
    <w:rsid w:val="00A10677"/>
    <w:rsid w:val="00A107AE"/>
    <w:rsid w:val="00A1088E"/>
    <w:rsid w:val="00A10936"/>
    <w:rsid w:val="00A10A61"/>
    <w:rsid w:val="00A10C45"/>
    <w:rsid w:val="00A10D0E"/>
    <w:rsid w:val="00A110E0"/>
    <w:rsid w:val="00A1130F"/>
    <w:rsid w:val="00A11381"/>
    <w:rsid w:val="00A11492"/>
    <w:rsid w:val="00A11567"/>
    <w:rsid w:val="00A1159D"/>
    <w:rsid w:val="00A115B5"/>
    <w:rsid w:val="00A1165D"/>
    <w:rsid w:val="00A11697"/>
    <w:rsid w:val="00A11725"/>
    <w:rsid w:val="00A1183E"/>
    <w:rsid w:val="00A11978"/>
    <w:rsid w:val="00A11AAC"/>
    <w:rsid w:val="00A11B01"/>
    <w:rsid w:val="00A11B46"/>
    <w:rsid w:val="00A11CA0"/>
    <w:rsid w:val="00A122B0"/>
    <w:rsid w:val="00A122DD"/>
    <w:rsid w:val="00A123BF"/>
    <w:rsid w:val="00A124EA"/>
    <w:rsid w:val="00A1285A"/>
    <w:rsid w:val="00A12B17"/>
    <w:rsid w:val="00A12B7C"/>
    <w:rsid w:val="00A12CA3"/>
    <w:rsid w:val="00A12D41"/>
    <w:rsid w:val="00A12D6C"/>
    <w:rsid w:val="00A12EA2"/>
    <w:rsid w:val="00A13059"/>
    <w:rsid w:val="00A1320A"/>
    <w:rsid w:val="00A13339"/>
    <w:rsid w:val="00A13482"/>
    <w:rsid w:val="00A136FB"/>
    <w:rsid w:val="00A13765"/>
    <w:rsid w:val="00A13840"/>
    <w:rsid w:val="00A13B83"/>
    <w:rsid w:val="00A13C40"/>
    <w:rsid w:val="00A13EC1"/>
    <w:rsid w:val="00A13FE5"/>
    <w:rsid w:val="00A140B9"/>
    <w:rsid w:val="00A14258"/>
    <w:rsid w:val="00A143BB"/>
    <w:rsid w:val="00A14611"/>
    <w:rsid w:val="00A147D9"/>
    <w:rsid w:val="00A149D9"/>
    <w:rsid w:val="00A14C5D"/>
    <w:rsid w:val="00A14D25"/>
    <w:rsid w:val="00A14D57"/>
    <w:rsid w:val="00A14E8B"/>
    <w:rsid w:val="00A15025"/>
    <w:rsid w:val="00A154CC"/>
    <w:rsid w:val="00A155A3"/>
    <w:rsid w:val="00A155A7"/>
    <w:rsid w:val="00A15638"/>
    <w:rsid w:val="00A156C4"/>
    <w:rsid w:val="00A1593D"/>
    <w:rsid w:val="00A159AA"/>
    <w:rsid w:val="00A15A4A"/>
    <w:rsid w:val="00A15BBD"/>
    <w:rsid w:val="00A15C5F"/>
    <w:rsid w:val="00A15EAA"/>
    <w:rsid w:val="00A15FD5"/>
    <w:rsid w:val="00A15FDF"/>
    <w:rsid w:val="00A16496"/>
    <w:rsid w:val="00A169E1"/>
    <w:rsid w:val="00A16A2D"/>
    <w:rsid w:val="00A16A4C"/>
    <w:rsid w:val="00A16A89"/>
    <w:rsid w:val="00A16B71"/>
    <w:rsid w:val="00A17053"/>
    <w:rsid w:val="00A17102"/>
    <w:rsid w:val="00A1724E"/>
    <w:rsid w:val="00A1724F"/>
    <w:rsid w:val="00A17403"/>
    <w:rsid w:val="00A179D9"/>
    <w:rsid w:val="00A17AF0"/>
    <w:rsid w:val="00A17BC0"/>
    <w:rsid w:val="00A17C20"/>
    <w:rsid w:val="00A17D3C"/>
    <w:rsid w:val="00A20415"/>
    <w:rsid w:val="00A2079B"/>
    <w:rsid w:val="00A20858"/>
    <w:rsid w:val="00A20BCC"/>
    <w:rsid w:val="00A20CB7"/>
    <w:rsid w:val="00A20E9F"/>
    <w:rsid w:val="00A20EBB"/>
    <w:rsid w:val="00A20F13"/>
    <w:rsid w:val="00A210F1"/>
    <w:rsid w:val="00A210FC"/>
    <w:rsid w:val="00A21104"/>
    <w:rsid w:val="00A21167"/>
    <w:rsid w:val="00A21AEF"/>
    <w:rsid w:val="00A21C13"/>
    <w:rsid w:val="00A21E25"/>
    <w:rsid w:val="00A21E7D"/>
    <w:rsid w:val="00A21EFD"/>
    <w:rsid w:val="00A22168"/>
    <w:rsid w:val="00A224A2"/>
    <w:rsid w:val="00A225AD"/>
    <w:rsid w:val="00A2275B"/>
    <w:rsid w:val="00A22814"/>
    <w:rsid w:val="00A22EB5"/>
    <w:rsid w:val="00A22FC1"/>
    <w:rsid w:val="00A231CD"/>
    <w:rsid w:val="00A236ED"/>
    <w:rsid w:val="00A2391D"/>
    <w:rsid w:val="00A239A4"/>
    <w:rsid w:val="00A23C53"/>
    <w:rsid w:val="00A23DFE"/>
    <w:rsid w:val="00A2401F"/>
    <w:rsid w:val="00A24109"/>
    <w:rsid w:val="00A242EE"/>
    <w:rsid w:val="00A24310"/>
    <w:rsid w:val="00A248BE"/>
    <w:rsid w:val="00A24AE3"/>
    <w:rsid w:val="00A24BED"/>
    <w:rsid w:val="00A24BFC"/>
    <w:rsid w:val="00A24CC2"/>
    <w:rsid w:val="00A24F11"/>
    <w:rsid w:val="00A25335"/>
    <w:rsid w:val="00A25F26"/>
    <w:rsid w:val="00A25F70"/>
    <w:rsid w:val="00A261A1"/>
    <w:rsid w:val="00A2620D"/>
    <w:rsid w:val="00A2621D"/>
    <w:rsid w:val="00A2635E"/>
    <w:rsid w:val="00A264B3"/>
    <w:rsid w:val="00A266BB"/>
    <w:rsid w:val="00A26B5D"/>
    <w:rsid w:val="00A26C70"/>
    <w:rsid w:val="00A2700C"/>
    <w:rsid w:val="00A27190"/>
    <w:rsid w:val="00A272D6"/>
    <w:rsid w:val="00A27325"/>
    <w:rsid w:val="00A2751E"/>
    <w:rsid w:val="00A276B1"/>
    <w:rsid w:val="00A27744"/>
    <w:rsid w:val="00A27E97"/>
    <w:rsid w:val="00A27FC3"/>
    <w:rsid w:val="00A300DD"/>
    <w:rsid w:val="00A30577"/>
    <w:rsid w:val="00A306A3"/>
    <w:rsid w:val="00A30834"/>
    <w:rsid w:val="00A30895"/>
    <w:rsid w:val="00A308CE"/>
    <w:rsid w:val="00A30920"/>
    <w:rsid w:val="00A30A36"/>
    <w:rsid w:val="00A30C00"/>
    <w:rsid w:val="00A30F4E"/>
    <w:rsid w:val="00A3165B"/>
    <w:rsid w:val="00A31668"/>
    <w:rsid w:val="00A31681"/>
    <w:rsid w:val="00A31706"/>
    <w:rsid w:val="00A3178B"/>
    <w:rsid w:val="00A3183E"/>
    <w:rsid w:val="00A318DA"/>
    <w:rsid w:val="00A31CF1"/>
    <w:rsid w:val="00A31D40"/>
    <w:rsid w:val="00A31E83"/>
    <w:rsid w:val="00A321E6"/>
    <w:rsid w:val="00A32294"/>
    <w:rsid w:val="00A322EC"/>
    <w:rsid w:val="00A3236A"/>
    <w:rsid w:val="00A32512"/>
    <w:rsid w:val="00A325EA"/>
    <w:rsid w:val="00A3269D"/>
    <w:rsid w:val="00A32808"/>
    <w:rsid w:val="00A328B6"/>
    <w:rsid w:val="00A32923"/>
    <w:rsid w:val="00A3295E"/>
    <w:rsid w:val="00A32A85"/>
    <w:rsid w:val="00A32C11"/>
    <w:rsid w:val="00A32CCF"/>
    <w:rsid w:val="00A32DE9"/>
    <w:rsid w:val="00A330AF"/>
    <w:rsid w:val="00A331F7"/>
    <w:rsid w:val="00A3324A"/>
    <w:rsid w:val="00A33298"/>
    <w:rsid w:val="00A336AA"/>
    <w:rsid w:val="00A33848"/>
    <w:rsid w:val="00A339F7"/>
    <w:rsid w:val="00A33AD8"/>
    <w:rsid w:val="00A33EC1"/>
    <w:rsid w:val="00A33FF2"/>
    <w:rsid w:val="00A34165"/>
    <w:rsid w:val="00A342C0"/>
    <w:rsid w:val="00A3430C"/>
    <w:rsid w:val="00A3454C"/>
    <w:rsid w:val="00A3458F"/>
    <w:rsid w:val="00A347E5"/>
    <w:rsid w:val="00A34837"/>
    <w:rsid w:val="00A348DB"/>
    <w:rsid w:val="00A34A02"/>
    <w:rsid w:val="00A35003"/>
    <w:rsid w:val="00A35025"/>
    <w:rsid w:val="00A350EC"/>
    <w:rsid w:val="00A3514F"/>
    <w:rsid w:val="00A351BC"/>
    <w:rsid w:val="00A35229"/>
    <w:rsid w:val="00A35459"/>
    <w:rsid w:val="00A35461"/>
    <w:rsid w:val="00A3550A"/>
    <w:rsid w:val="00A3551A"/>
    <w:rsid w:val="00A35669"/>
    <w:rsid w:val="00A358DD"/>
    <w:rsid w:val="00A3599F"/>
    <w:rsid w:val="00A35A3C"/>
    <w:rsid w:val="00A35AF8"/>
    <w:rsid w:val="00A35D69"/>
    <w:rsid w:val="00A35E0D"/>
    <w:rsid w:val="00A35FDF"/>
    <w:rsid w:val="00A35FE7"/>
    <w:rsid w:val="00A3614A"/>
    <w:rsid w:val="00A36158"/>
    <w:rsid w:val="00A362F8"/>
    <w:rsid w:val="00A36716"/>
    <w:rsid w:val="00A36939"/>
    <w:rsid w:val="00A36968"/>
    <w:rsid w:val="00A369EF"/>
    <w:rsid w:val="00A36AB5"/>
    <w:rsid w:val="00A36AB9"/>
    <w:rsid w:val="00A36C17"/>
    <w:rsid w:val="00A36D46"/>
    <w:rsid w:val="00A36E7C"/>
    <w:rsid w:val="00A37175"/>
    <w:rsid w:val="00A371C0"/>
    <w:rsid w:val="00A373FA"/>
    <w:rsid w:val="00A3743A"/>
    <w:rsid w:val="00A37463"/>
    <w:rsid w:val="00A37519"/>
    <w:rsid w:val="00A378CB"/>
    <w:rsid w:val="00A3798C"/>
    <w:rsid w:val="00A379B5"/>
    <w:rsid w:val="00A37DE6"/>
    <w:rsid w:val="00A37F4C"/>
    <w:rsid w:val="00A401B9"/>
    <w:rsid w:val="00A40382"/>
    <w:rsid w:val="00A40560"/>
    <w:rsid w:val="00A4058E"/>
    <w:rsid w:val="00A4076F"/>
    <w:rsid w:val="00A4085F"/>
    <w:rsid w:val="00A40922"/>
    <w:rsid w:val="00A40C76"/>
    <w:rsid w:val="00A40C78"/>
    <w:rsid w:val="00A40F55"/>
    <w:rsid w:val="00A412A5"/>
    <w:rsid w:val="00A412E4"/>
    <w:rsid w:val="00A4130A"/>
    <w:rsid w:val="00A417E4"/>
    <w:rsid w:val="00A41BE3"/>
    <w:rsid w:val="00A41C4A"/>
    <w:rsid w:val="00A41DC3"/>
    <w:rsid w:val="00A42799"/>
    <w:rsid w:val="00A42933"/>
    <w:rsid w:val="00A42937"/>
    <w:rsid w:val="00A429BB"/>
    <w:rsid w:val="00A42ACF"/>
    <w:rsid w:val="00A42BD0"/>
    <w:rsid w:val="00A42C2A"/>
    <w:rsid w:val="00A42DC5"/>
    <w:rsid w:val="00A42EE3"/>
    <w:rsid w:val="00A4316E"/>
    <w:rsid w:val="00A436BF"/>
    <w:rsid w:val="00A43B66"/>
    <w:rsid w:val="00A43BA6"/>
    <w:rsid w:val="00A43BBD"/>
    <w:rsid w:val="00A43BEB"/>
    <w:rsid w:val="00A43DD9"/>
    <w:rsid w:val="00A43FC9"/>
    <w:rsid w:val="00A440A2"/>
    <w:rsid w:val="00A440EB"/>
    <w:rsid w:val="00A445AD"/>
    <w:rsid w:val="00A44E9A"/>
    <w:rsid w:val="00A45229"/>
    <w:rsid w:val="00A452FB"/>
    <w:rsid w:val="00A45363"/>
    <w:rsid w:val="00A4551F"/>
    <w:rsid w:val="00A45530"/>
    <w:rsid w:val="00A4558D"/>
    <w:rsid w:val="00A45637"/>
    <w:rsid w:val="00A457CD"/>
    <w:rsid w:val="00A4582C"/>
    <w:rsid w:val="00A458D1"/>
    <w:rsid w:val="00A458D6"/>
    <w:rsid w:val="00A45A1E"/>
    <w:rsid w:val="00A45ACB"/>
    <w:rsid w:val="00A45B78"/>
    <w:rsid w:val="00A45C4E"/>
    <w:rsid w:val="00A45E07"/>
    <w:rsid w:val="00A45EB4"/>
    <w:rsid w:val="00A45ED0"/>
    <w:rsid w:val="00A46023"/>
    <w:rsid w:val="00A462A9"/>
    <w:rsid w:val="00A46561"/>
    <w:rsid w:val="00A4657A"/>
    <w:rsid w:val="00A46646"/>
    <w:rsid w:val="00A468F9"/>
    <w:rsid w:val="00A46A27"/>
    <w:rsid w:val="00A46CAF"/>
    <w:rsid w:val="00A470C8"/>
    <w:rsid w:val="00A473F1"/>
    <w:rsid w:val="00A475BC"/>
    <w:rsid w:val="00A4769A"/>
    <w:rsid w:val="00A47858"/>
    <w:rsid w:val="00A47AA7"/>
    <w:rsid w:val="00A47BDF"/>
    <w:rsid w:val="00A47BFF"/>
    <w:rsid w:val="00A47D7D"/>
    <w:rsid w:val="00A47E6E"/>
    <w:rsid w:val="00A47E7A"/>
    <w:rsid w:val="00A47F0B"/>
    <w:rsid w:val="00A500D2"/>
    <w:rsid w:val="00A50106"/>
    <w:rsid w:val="00A50260"/>
    <w:rsid w:val="00A503C0"/>
    <w:rsid w:val="00A50537"/>
    <w:rsid w:val="00A507C0"/>
    <w:rsid w:val="00A50801"/>
    <w:rsid w:val="00A50A06"/>
    <w:rsid w:val="00A50BE8"/>
    <w:rsid w:val="00A50E0B"/>
    <w:rsid w:val="00A50EB3"/>
    <w:rsid w:val="00A50EE4"/>
    <w:rsid w:val="00A51090"/>
    <w:rsid w:val="00A5117B"/>
    <w:rsid w:val="00A513D4"/>
    <w:rsid w:val="00A514D9"/>
    <w:rsid w:val="00A51768"/>
    <w:rsid w:val="00A5189E"/>
    <w:rsid w:val="00A51CDB"/>
    <w:rsid w:val="00A51E01"/>
    <w:rsid w:val="00A51FAD"/>
    <w:rsid w:val="00A521FC"/>
    <w:rsid w:val="00A523DD"/>
    <w:rsid w:val="00A5247A"/>
    <w:rsid w:val="00A524FC"/>
    <w:rsid w:val="00A52A05"/>
    <w:rsid w:val="00A52C8B"/>
    <w:rsid w:val="00A5313B"/>
    <w:rsid w:val="00A53141"/>
    <w:rsid w:val="00A532DD"/>
    <w:rsid w:val="00A53359"/>
    <w:rsid w:val="00A533D8"/>
    <w:rsid w:val="00A536ED"/>
    <w:rsid w:val="00A537D8"/>
    <w:rsid w:val="00A537E4"/>
    <w:rsid w:val="00A538D7"/>
    <w:rsid w:val="00A53918"/>
    <w:rsid w:val="00A539BE"/>
    <w:rsid w:val="00A53A60"/>
    <w:rsid w:val="00A53A78"/>
    <w:rsid w:val="00A53AAC"/>
    <w:rsid w:val="00A53AC6"/>
    <w:rsid w:val="00A53DE4"/>
    <w:rsid w:val="00A54264"/>
    <w:rsid w:val="00A54311"/>
    <w:rsid w:val="00A54444"/>
    <w:rsid w:val="00A54499"/>
    <w:rsid w:val="00A5489B"/>
    <w:rsid w:val="00A548B3"/>
    <w:rsid w:val="00A548D8"/>
    <w:rsid w:val="00A549B7"/>
    <w:rsid w:val="00A54BF4"/>
    <w:rsid w:val="00A54C2C"/>
    <w:rsid w:val="00A55250"/>
    <w:rsid w:val="00A5530D"/>
    <w:rsid w:val="00A553C2"/>
    <w:rsid w:val="00A555A9"/>
    <w:rsid w:val="00A555AA"/>
    <w:rsid w:val="00A55691"/>
    <w:rsid w:val="00A55828"/>
    <w:rsid w:val="00A5595C"/>
    <w:rsid w:val="00A55B84"/>
    <w:rsid w:val="00A55C1F"/>
    <w:rsid w:val="00A55D95"/>
    <w:rsid w:val="00A56190"/>
    <w:rsid w:val="00A561D8"/>
    <w:rsid w:val="00A56201"/>
    <w:rsid w:val="00A5626F"/>
    <w:rsid w:val="00A56316"/>
    <w:rsid w:val="00A5642F"/>
    <w:rsid w:val="00A5654D"/>
    <w:rsid w:val="00A56627"/>
    <w:rsid w:val="00A56912"/>
    <w:rsid w:val="00A56A39"/>
    <w:rsid w:val="00A56A4F"/>
    <w:rsid w:val="00A56B12"/>
    <w:rsid w:val="00A57105"/>
    <w:rsid w:val="00A57148"/>
    <w:rsid w:val="00A57209"/>
    <w:rsid w:val="00A57389"/>
    <w:rsid w:val="00A577D3"/>
    <w:rsid w:val="00A5799D"/>
    <w:rsid w:val="00A57E99"/>
    <w:rsid w:val="00A60532"/>
    <w:rsid w:val="00A606B5"/>
    <w:rsid w:val="00A60A3B"/>
    <w:rsid w:val="00A60E41"/>
    <w:rsid w:val="00A60F1E"/>
    <w:rsid w:val="00A60FDD"/>
    <w:rsid w:val="00A61043"/>
    <w:rsid w:val="00A61139"/>
    <w:rsid w:val="00A611AC"/>
    <w:rsid w:val="00A611B5"/>
    <w:rsid w:val="00A61720"/>
    <w:rsid w:val="00A61977"/>
    <w:rsid w:val="00A61B91"/>
    <w:rsid w:val="00A61D44"/>
    <w:rsid w:val="00A61EE5"/>
    <w:rsid w:val="00A61FE5"/>
    <w:rsid w:val="00A62052"/>
    <w:rsid w:val="00A62275"/>
    <w:rsid w:val="00A623C7"/>
    <w:rsid w:val="00A6256C"/>
    <w:rsid w:val="00A6259C"/>
    <w:rsid w:val="00A625D8"/>
    <w:rsid w:val="00A62B51"/>
    <w:rsid w:val="00A62CD4"/>
    <w:rsid w:val="00A62DC8"/>
    <w:rsid w:val="00A62E2B"/>
    <w:rsid w:val="00A632FB"/>
    <w:rsid w:val="00A6335C"/>
    <w:rsid w:val="00A63516"/>
    <w:rsid w:val="00A6365C"/>
    <w:rsid w:val="00A6380F"/>
    <w:rsid w:val="00A63892"/>
    <w:rsid w:val="00A63A43"/>
    <w:rsid w:val="00A63B80"/>
    <w:rsid w:val="00A63C7E"/>
    <w:rsid w:val="00A64384"/>
    <w:rsid w:val="00A6482F"/>
    <w:rsid w:val="00A648CC"/>
    <w:rsid w:val="00A64D01"/>
    <w:rsid w:val="00A64EB3"/>
    <w:rsid w:val="00A64FE6"/>
    <w:rsid w:val="00A65058"/>
    <w:rsid w:val="00A6517C"/>
    <w:rsid w:val="00A652B5"/>
    <w:rsid w:val="00A65679"/>
    <w:rsid w:val="00A65726"/>
    <w:rsid w:val="00A6586C"/>
    <w:rsid w:val="00A658ED"/>
    <w:rsid w:val="00A65AF1"/>
    <w:rsid w:val="00A6613F"/>
    <w:rsid w:val="00A662AC"/>
    <w:rsid w:val="00A6646E"/>
    <w:rsid w:val="00A66472"/>
    <w:rsid w:val="00A6647C"/>
    <w:rsid w:val="00A66B09"/>
    <w:rsid w:val="00A66E16"/>
    <w:rsid w:val="00A66F35"/>
    <w:rsid w:val="00A66F37"/>
    <w:rsid w:val="00A67026"/>
    <w:rsid w:val="00A670C8"/>
    <w:rsid w:val="00A67B38"/>
    <w:rsid w:val="00A67CD1"/>
    <w:rsid w:val="00A67EF9"/>
    <w:rsid w:val="00A7005D"/>
    <w:rsid w:val="00A70116"/>
    <w:rsid w:val="00A706B0"/>
    <w:rsid w:val="00A706CA"/>
    <w:rsid w:val="00A706F7"/>
    <w:rsid w:val="00A70705"/>
    <w:rsid w:val="00A70777"/>
    <w:rsid w:val="00A70A54"/>
    <w:rsid w:val="00A70D28"/>
    <w:rsid w:val="00A70D2B"/>
    <w:rsid w:val="00A7137A"/>
    <w:rsid w:val="00A718A6"/>
    <w:rsid w:val="00A71A2E"/>
    <w:rsid w:val="00A71B63"/>
    <w:rsid w:val="00A71F4E"/>
    <w:rsid w:val="00A72024"/>
    <w:rsid w:val="00A7214E"/>
    <w:rsid w:val="00A721BD"/>
    <w:rsid w:val="00A721EC"/>
    <w:rsid w:val="00A722F7"/>
    <w:rsid w:val="00A72A0A"/>
    <w:rsid w:val="00A72B3D"/>
    <w:rsid w:val="00A72DFB"/>
    <w:rsid w:val="00A73246"/>
    <w:rsid w:val="00A737AE"/>
    <w:rsid w:val="00A73C1E"/>
    <w:rsid w:val="00A73DC0"/>
    <w:rsid w:val="00A73E0F"/>
    <w:rsid w:val="00A73F06"/>
    <w:rsid w:val="00A7421B"/>
    <w:rsid w:val="00A743C4"/>
    <w:rsid w:val="00A7445C"/>
    <w:rsid w:val="00A746D5"/>
    <w:rsid w:val="00A7471A"/>
    <w:rsid w:val="00A74D4A"/>
    <w:rsid w:val="00A74E46"/>
    <w:rsid w:val="00A75070"/>
    <w:rsid w:val="00A75075"/>
    <w:rsid w:val="00A7523E"/>
    <w:rsid w:val="00A75270"/>
    <w:rsid w:val="00A7548B"/>
    <w:rsid w:val="00A757D1"/>
    <w:rsid w:val="00A7581C"/>
    <w:rsid w:val="00A75893"/>
    <w:rsid w:val="00A758B0"/>
    <w:rsid w:val="00A758BC"/>
    <w:rsid w:val="00A759F2"/>
    <w:rsid w:val="00A75A1D"/>
    <w:rsid w:val="00A76212"/>
    <w:rsid w:val="00A76377"/>
    <w:rsid w:val="00A76484"/>
    <w:rsid w:val="00A76A51"/>
    <w:rsid w:val="00A76BDD"/>
    <w:rsid w:val="00A76DFB"/>
    <w:rsid w:val="00A76F23"/>
    <w:rsid w:val="00A77014"/>
    <w:rsid w:val="00A77064"/>
    <w:rsid w:val="00A772F5"/>
    <w:rsid w:val="00A772FD"/>
    <w:rsid w:val="00A7756E"/>
    <w:rsid w:val="00A776BD"/>
    <w:rsid w:val="00A777E1"/>
    <w:rsid w:val="00A77BE2"/>
    <w:rsid w:val="00A77C95"/>
    <w:rsid w:val="00A77D36"/>
    <w:rsid w:val="00A77D4C"/>
    <w:rsid w:val="00A77E14"/>
    <w:rsid w:val="00A801EE"/>
    <w:rsid w:val="00A80265"/>
    <w:rsid w:val="00A8027A"/>
    <w:rsid w:val="00A809B7"/>
    <w:rsid w:val="00A80B3C"/>
    <w:rsid w:val="00A80BDA"/>
    <w:rsid w:val="00A80D25"/>
    <w:rsid w:val="00A80DB3"/>
    <w:rsid w:val="00A80FBC"/>
    <w:rsid w:val="00A80FE8"/>
    <w:rsid w:val="00A815F3"/>
    <w:rsid w:val="00A8168E"/>
    <w:rsid w:val="00A818A5"/>
    <w:rsid w:val="00A81A24"/>
    <w:rsid w:val="00A81A9B"/>
    <w:rsid w:val="00A81FFE"/>
    <w:rsid w:val="00A820EB"/>
    <w:rsid w:val="00A8217A"/>
    <w:rsid w:val="00A82419"/>
    <w:rsid w:val="00A8244A"/>
    <w:rsid w:val="00A82682"/>
    <w:rsid w:val="00A8274A"/>
    <w:rsid w:val="00A82CF4"/>
    <w:rsid w:val="00A82E63"/>
    <w:rsid w:val="00A82E6E"/>
    <w:rsid w:val="00A83366"/>
    <w:rsid w:val="00A8364C"/>
    <w:rsid w:val="00A838BB"/>
    <w:rsid w:val="00A83966"/>
    <w:rsid w:val="00A839CC"/>
    <w:rsid w:val="00A83A5E"/>
    <w:rsid w:val="00A83E76"/>
    <w:rsid w:val="00A83ED1"/>
    <w:rsid w:val="00A84176"/>
    <w:rsid w:val="00A848F3"/>
    <w:rsid w:val="00A849AB"/>
    <w:rsid w:val="00A84B3E"/>
    <w:rsid w:val="00A84C26"/>
    <w:rsid w:val="00A84E0B"/>
    <w:rsid w:val="00A84F75"/>
    <w:rsid w:val="00A85044"/>
    <w:rsid w:val="00A8508A"/>
    <w:rsid w:val="00A850E8"/>
    <w:rsid w:val="00A85117"/>
    <w:rsid w:val="00A85279"/>
    <w:rsid w:val="00A85402"/>
    <w:rsid w:val="00A85644"/>
    <w:rsid w:val="00A85775"/>
    <w:rsid w:val="00A857ED"/>
    <w:rsid w:val="00A85ABF"/>
    <w:rsid w:val="00A85BBE"/>
    <w:rsid w:val="00A85C84"/>
    <w:rsid w:val="00A85C9E"/>
    <w:rsid w:val="00A861A1"/>
    <w:rsid w:val="00A86267"/>
    <w:rsid w:val="00A86288"/>
    <w:rsid w:val="00A86290"/>
    <w:rsid w:val="00A8638B"/>
    <w:rsid w:val="00A86832"/>
    <w:rsid w:val="00A86C80"/>
    <w:rsid w:val="00A86DBE"/>
    <w:rsid w:val="00A86F1C"/>
    <w:rsid w:val="00A86FF6"/>
    <w:rsid w:val="00A87174"/>
    <w:rsid w:val="00A87241"/>
    <w:rsid w:val="00A87263"/>
    <w:rsid w:val="00A87478"/>
    <w:rsid w:val="00A874D8"/>
    <w:rsid w:val="00A87611"/>
    <w:rsid w:val="00A877DB"/>
    <w:rsid w:val="00A879A2"/>
    <w:rsid w:val="00A87BD2"/>
    <w:rsid w:val="00A87E40"/>
    <w:rsid w:val="00A901B8"/>
    <w:rsid w:val="00A901C2"/>
    <w:rsid w:val="00A901CC"/>
    <w:rsid w:val="00A90338"/>
    <w:rsid w:val="00A90374"/>
    <w:rsid w:val="00A903E6"/>
    <w:rsid w:val="00A9044A"/>
    <w:rsid w:val="00A90516"/>
    <w:rsid w:val="00A9074C"/>
    <w:rsid w:val="00A9091F"/>
    <w:rsid w:val="00A90927"/>
    <w:rsid w:val="00A9092A"/>
    <w:rsid w:val="00A90BE8"/>
    <w:rsid w:val="00A90D89"/>
    <w:rsid w:val="00A91010"/>
    <w:rsid w:val="00A9107E"/>
    <w:rsid w:val="00A9109C"/>
    <w:rsid w:val="00A910DE"/>
    <w:rsid w:val="00A91210"/>
    <w:rsid w:val="00A91593"/>
    <w:rsid w:val="00A915AA"/>
    <w:rsid w:val="00A915AB"/>
    <w:rsid w:val="00A91BEF"/>
    <w:rsid w:val="00A91D4B"/>
    <w:rsid w:val="00A91EEF"/>
    <w:rsid w:val="00A92304"/>
    <w:rsid w:val="00A9239A"/>
    <w:rsid w:val="00A92469"/>
    <w:rsid w:val="00A92540"/>
    <w:rsid w:val="00A92826"/>
    <w:rsid w:val="00A928A4"/>
    <w:rsid w:val="00A92BC4"/>
    <w:rsid w:val="00A92BDD"/>
    <w:rsid w:val="00A92BE0"/>
    <w:rsid w:val="00A92D87"/>
    <w:rsid w:val="00A92DB8"/>
    <w:rsid w:val="00A92DCC"/>
    <w:rsid w:val="00A92E22"/>
    <w:rsid w:val="00A93008"/>
    <w:rsid w:val="00A93025"/>
    <w:rsid w:val="00A9308F"/>
    <w:rsid w:val="00A9351C"/>
    <w:rsid w:val="00A935EE"/>
    <w:rsid w:val="00A93663"/>
    <w:rsid w:val="00A938E8"/>
    <w:rsid w:val="00A93970"/>
    <w:rsid w:val="00A93E39"/>
    <w:rsid w:val="00A93E99"/>
    <w:rsid w:val="00A93ECC"/>
    <w:rsid w:val="00A93FEF"/>
    <w:rsid w:val="00A941E2"/>
    <w:rsid w:val="00A947BD"/>
    <w:rsid w:val="00A94B1F"/>
    <w:rsid w:val="00A94B32"/>
    <w:rsid w:val="00A94CF7"/>
    <w:rsid w:val="00A94D27"/>
    <w:rsid w:val="00A9518B"/>
    <w:rsid w:val="00A952D1"/>
    <w:rsid w:val="00A95339"/>
    <w:rsid w:val="00A95678"/>
    <w:rsid w:val="00A95954"/>
    <w:rsid w:val="00A95B2D"/>
    <w:rsid w:val="00A95C43"/>
    <w:rsid w:val="00A95DDC"/>
    <w:rsid w:val="00A95FF6"/>
    <w:rsid w:val="00A96043"/>
    <w:rsid w:val="00A96100"/>
    <w:rsid w:val="00A96106"/>
    <w:rsid w:val="00A96182"/>
    <w:rsid w:val="00A965C2"/>
    <w:rsid w:val="00A965C9"/>
    <w:rsid w:val="00A967CF"/>
    <w:rsid w:val="00A96909"/>
    <w:rsid w:val="00A96A77"/>
    <w:rsid w:val="00A96A93"/>
    <w:rsid w:val="00A96ED4"/>
    <w:rsid w:val="00A9718D"/>
    <w:rsid w:val="00A972DD"/>
    <w:rsid w:val="00A97384"/>
    <w:rsid w:val="00A9760E"/>
    <w:rsid w:val="00A976F9"/>
    <w:rsid w:val="00A97BC2"/>
    <w:rsid w:val="00A97D12"/>
    <w:rsid w:val="00AA0247"/>
    <w:rsid w:val="00AA0587"/>
    <w:rsid w:val="00AA0798"/>
    <w:rsid w:val="00AA081C"/>
    <w:rsid w:val="00AA09A9"/>
    <w:rsid w:val="00AA0A83"/>
    <w:rsid w:val="00AA0C74"/>
    <w:rsid w:val="00AA0C7C"/>
    <w:rsid w:val="00AA0C98"/>
    <w:rsid w:val="00AA0DF0"/>
    <w:rsid w:val="00AA0F4D"/>
    <w:rsid w:val="00AA1314"/>
    <w:rsid w:val="00AA1845"/>
    <w:rsid w:val="00AA1944"/>
    <w:rsid w:val="00AA1B47"/>
    <w:rsid w:val="00AA1DB9"/>
    <w:rsid w:val="00AA1F03"/>
    <w:rsid w:val="00AA2084"/>
    <w:rsid w:val="00AA2372"/>
    <w:rsid w:val="00AA26B9"/>
    <w:rsid w:val="00AA26C8"/>
    <w:rsid w:val="00AA27D5"/>
    <w:rsid w:val="00AA290F"/>
    <w:rsid w:val="00AA2AFE"/>
    <w:rsid w:val="00AA2AFF"/>
    <w:rsid w:val="00AA2B74"/>
    <w:rsid w:val="00AA2DF6"/>
    <w:rsid w:val="00AA2E98"/>
    <w:rsid w:val="00AA30B7"/>
    <w:rsid w:val="00AA321C"/>
    <w:rsid w:val="00AA33A7"/>
    <w:rsid w:val="00AA38AE"/>
    <w:rsid w:val="00AA3B5B"/>
    <w:rsid w:val="00AA3C48"/>
    <w:rsid w:val="00AA3D3B"/>
    <w:rsid w:val="00AA3E2D"/>
    <w:rsid w:val="00AA40F3"/>
    <w:rsid w:val="00AA4171"/>
    <w:rsid w:val="00AA41D2"/>
    <w:rsid w:val="00AA431A"/>
    <w:rsid w:val="00AA43AD"/>
    <w:rsid w:val="00AA4525"/>
    <w:rsid w:val="00AA452E"/>
    <w:rsid w:val="00AA4615"/>
    <w:rsid w:val="00AA4663"/>
    <w:rsid w:val="00AA4895"/>
    <w:rsid w:val="00AA4A6B"/>
    <w:rsid w:val="00AA4CDE"/>
    <w:rsid w:val="00AA4D66"/>
    <w:rsid w:val="00AA4DDF"/>
    <w:rsid w:val="00AA4E71"/>
    <w:rsid w:val="00AA50B2"/>
    <w:rsid w:val="00AA511E"/>
    <w:rsid w:val="00AA5226"/>
    <w:rsid w:val="00AA5447"/>
    <w:rsid w:val="00AA5A56"/>
    <w:rsid w:val="00AA5A87"/>
    <w:rsid w:val="00AA5B37"/>
    <w:rsid w:val="00AA5C88"/>
    <w:rsid w:val="00AA5C97"/>
    <w:rsid w:val="00AA5D3A"/>
    <w:rsid w:val="00AA5E13"/>
    <w:rsid w:val="00AA5EDC"/>
    <w:rsid w:val="00AA6026"/>
    <w:rsid w:val="00AA61D4"/>
    <w:rsid w:val="00AA633F"/>
    <w:rsid w:val="00AA63DD"/>
    <w:rsid w:val="00AA641E"/>
    <w:rsid w:val="00AA6572"/>
    <w:rsid w:val="00AA65F9"/>
    <w:rsid w:val="00AA694E"/>
    <w:rsid w:val="00AA6A98"/>
    <w:rsid w:val="00AA6EE9"/>
    <w:rsid w:val="00AA7127"/>
    <w:rsid w:val="00AA724F"/>
    <w:rsid w:val="00AA728E"/>
    <w:rsid w:val="00AA76B8"/>
    <w:rsid w:val="00AA76CF"/>
    <w:rsid w:val="00AA781D"/>
    <w:rsid w:val="00AA79C3"/>
    <w:rsid w:val="00AA7BA6"/>
    <w:rsid w:val="00AA7D5F"/>
    <w:rsid w:val="00AA7DC1"/>
    <w:rsid w:val="00AB0006"/>
    <w:rsid w:val="00AB0199"/>
    <w:rsid w:val="00AB070C"/>
    <w:rsid w:val="00AB0BA7"/>
    <w:rsid w:val="00AB0D7C"/>
    <w:rsid w:val="00AB0ED3"/>
    <w:rsid w:val="00AB0F02"/>
    <w:rsid w:val="00AB0F06"/>
    <w:rsid w:val="00AB10EE"/>
    <w:rsid w:val="00AB11E2"/>
    <w:rsid w:val="00AB1544"/>
    <w:rsid w:val="00AB1817"/>
    <w:rsid w:val="00AB186D"/>
    <w:rsid w:val="00AB18BB"/>
    <w:rsid w:val="00AB1B84"/>
    <w:rsid w:val="00AB1BC7"/>
    <w:rsid w:val="00AB1DA1"/>
    <w:rsid w:val="00AB1EF8"/>
    <w:rsid w:val="00AB2187"/>
    <w:rsid w:val="00AB21E4"/>
    <w:rsid w:val="00AB24C3"/>
    <w:rsid w:val="00AB2785"/>
    <w:rsid w:val="00AB281E"/>
    <w:rsid w:val="00AB2C40"/>
    <w:rsid w:val="00AB2C46"/>
    <w:rsid w:val="00AB2D62"/>
    <w:rsid w:val="00AB2E77"/>
    <w:rsid w:val="00AB2F24"/>
    <w:rsid w:val="00AB2F6A"/>
    <w:rsid w:val="00AB3263"/>
    <w:rsid w:val="00AB33CF"/>
    <w:rsid w:val="00AB33F6"/>
    <w:rsid w:val="00AB3463"/>
    <w:rsid w:val="00AB3684"/>
    <w:rsid w:val="00AB37D4"/>
    <w:rsid w:val="00AB3A92"/>
    <w:rsid w:val="00AB3C55"/>
    <w:rsid w:val="00AB3C86"/>
    <w:rsid w:val="00AB3E09"/>
    <w:rsid w:val="00AB4045"/>
    <w:rsid w:val="00AB4154"/>
    <w:rsid w:val="00AB4305"/>
    <w:rsid w:val="00AB4523"/>
    <w:rsid w:val="00AB4524"/>
    <w:rsid w:val="00AB460B"/>
    <w:rsid w:val="00AB475E"/>
    <w:rsid w:val="00AB49EA"/>
    <w:rsid w:val="00AB4BA7"/>
    <w:rsid w:val="00AB4BE7"/>
    <w:rsid w:val="00AB4CDE"/>
    <w:rsid w:val="00AB4D7E"/>
    <w:rsid w:val="00AB4E55"/>
    <w:rsid w:val="00AB4EFC"/>
    <w:rsid w:val="00AB4FA4"/>
    <w:rsid w:val="00AB5069"/>
    <w:rsid w:val="00AB514A"/>
    <w:rsid w:val="00AB56EC"/>
    <w:rsid w:val="00AB57AD"/>
    <w:rsid w:val="00AB589C"/>
    <w:rsid w:val="00AB5A29"/>
    <w:rsid w:val="00AB5CDF"/>
    <w:rsid w:val="00AB5D3A"/>
    <w:rsid w:val="00AB5EDC"/>
    <w:rsid w:val="00AB5F0C"/>
    <w:rsid w:val="00AB609B"/>
    <w:rsid w:val="00AB6174"/>
    <w:rsid w:val="00AB6820"/>
    <w:rsid w:val="00AB69B4"/>
    <w:rsid w:val="00AB6BF3"/>
    <w:rsid w:val="00AB6C4B"/>
    <w:rsid w:val="00AB6C90"/>
    <w:rsid w:val="00AB6D29"/>
    <w:rsid w:val="00AB6D32"/>
    <w:rsid w:val="00AB6DC8"/>
    <w:rsid w:val="00AB6F64"/>
    <w:rsid w:val="00AB7587"/>
    <w:rsid w:val="00AB79A0"/>
    <w:rsid w:val="00AB7EB1"/>
    <w:rsid w:val="00AB7F14"/>
    <w:rsid w:val="00AC0122"/>
    <w:rsid w:val="00AC0182"/>
    <w:rsid w:val="00AC04AA"/>
    <w:rsid w:val="00AC0782"/>
    <w:rsid w:val="00AC080A"/>
    <w:rsid w:val="00AC09D8"/>
    <w:rsid w:val="00AC0E46"/>
    <w:rsid w:val="00AC0E94"/>
    <w:rsid w:val="00AC1028"/>
    <w:rsid w:val="00AC10B3"/>
    <w:rsid w:val="00AC1182"/>
    <w:rsid w:val="00AC1415"/>
    <w:rsid w:val="00AC17E8"/>
    <w:rsid w:val="00AC187F"/>
    <w:rsid w:val="00AC1A19"/>
    <w:rsid w:val="00AC1AF0"/>
    <w:rsid w:val="00AC1B64"/>
    <w:rsid w:val="00AC1BD6"/>
    <w:rsid w:val="00AC1BE9"/>
    <w:rsid w:val="00AC205B"/>
    <w:rsid w:val="00AC21B3"/>
    <w:rsid w:val="00AC2341"/>
    <w:rsid w:val="00AC249C"/>
    <w:rsid w:val="00AC256F"/>
    <w:rsid w:val="00AC2778"/>
    <w:rsid w:val="00AC288E"/>
    <w:rsid w:val="00AC2A3F"/>
    <w:rsid w:val="00AC2AED"/>
    <w:rsid w:val="00AC2E77"/>
    <w:rsid w:val="00AC2F3C"/>
    <w:rsid w:val="00AC2FC4"/>
    <w:rsid w:val="00AC3012"/>
    <w:rsid w:val="00AC31F9"/>
    <w:rsid w:val="00AC33F0"/>
    <w:rsid w:val="00AC33F2"/>
    <w:rsid w:val="00AC3419"/>
    <w:rsid w:val="00AC35A0"/>
    <w:rsid w:val="00AC35D3"/>
    <w:rsid w:val="00AC3612"/>
    <w:rsid w:val="00AC36B1"/>
    <w:rsid w:val="00AC37E3"/>
    <w:rsid w:val="00AC393D"/>
    <w:rsid w:val="00AC39F4"/>
    <w:rsid w:val="00AC3A67"/>
    <w:rsid w:val="00AC3A6A"/>
    <w:rsid w:val="00AC3D27"/>
    <w:rsid w:val="00AC424E"/>
    <w:rsid w:val="00AC4419"/>
    <w:rsid w:val="00AC44BE"/>
    <w:rsid w:val="00AC454C"/>
    <w:rsid w:val="00AC4655"/>
    <w:rsid w:val="00AC47A5"/>
    <w:rsid w:val="00AC4BA9"/>
    <w:rsid w:val="00AC4D29"/>
    <w:rsid w:val="00AC4DD7"/>
    <w:rsid w:val="00AC50B2"/>
    <w:rsid w:val="00AC534B"/>
    <w:rsid w:val="00AC54C3"/>
    <w:rsid w:val="00AC5789"/>
    <w:rsid w:val="00AC5824"/>
    <w:rsid w:val="00AC59F8"/>
    <w:rsid w:val="00AC5B4A"/>
    <w:rsid w:val="00AC5EDF"/>
    <w:rsid w:val="00AC5FF2"/>
    <w:rsid w:val="00AC6370"/>
    <w:rsid w:val="00AC63E8"/>
    <w:rsid w:val="00AC6437"/>
    <w:rsid w:val="00AC69F4"/>
    <w:rsid w:val="00AC6CC3"/>
    <w:rsid w:val="00AC6DCB"/>
    <w:rsid w:val="00AC6E52"/>
    <w:rsid w:val="00AC7197"/>
    <w:rsid w:val="00AC72EB"/>
    <w:rsid w:val="00AC72EC"/>
    <w:rsid w:val="00AC762E"/>
    <w:rsid w:val="00AC7760"/>
    <w:rsid w:val="00AC7852"/>
    <w:rsid w:val="00AC7D4E"/>
    <w:rsid w:val="00AC7EF7"/>
    <w:rsid w:val="00AD08DD"/>
    <w:rsid w:val="00AD0919"/>
    <w:rsid w:val="00AD0ACC"/>
    <w:rsid w:val="00AD0C3B"/>
    <w:rsid w:val="00AD0C86"/>
    <w:rsid w:val="00AD0F5B"/>
    <w:rsid w:val="00AD113C"/>
    <w:rsid w:val="00AD12AE"/>
    <w:rsid w:val="00AD1594"/>
    <w:rsid w:val="00AD1619"/>
    <w:rsid w:val="00AD19C2"/>
    <w:rsid w:val="00AD19D5"/>
    <w:rsid w:val="00AD1AA8"/>
    <w:rsid w:val="00AD1BDC"/>
    <w:rsid w:val="00AD1C03"/>
    <w:rsid w:val="00AD1C26"/>
    <w:rsid w:val="00AD1C56"/>
    <w:rsid w:val="00AD1CDE"/>
    <w:rsid w:val="00AD1D6D"/>
    <w:rsid w:val="00AD1E53"/>
    <w:rsid w:val="00AD20C0"/>
    <w:rsid w:val="00AD2161"/>
    <w:rsid w:val="00AD217C"/>
    <w:rsid w:val="00AD217F"/>
    <w:rsid w:val="00AD226F"/>
    <w:rsid w:val="00AD242D"/>
    <w:rsid w:val="00AD24C9"/>
    <w:rsid w:val="00AD25A5"/>
    <w:rsid w:val="00AD262E"/>
    <w:rsid w:val="00AD27F4"/>
    <w:rsid w:val="00AD29A3"/>
    <w:rsid w:val="00AD2A81"/>
    <w:rsid w:val="00AD2C0D"/>
    <w:rsid w:val="00AD2DF7"/>
    <w:rsid w:val="00AD2E68"/>
    <w:rsid w:val="00AD2F61"/>
    <w:rsid w:val="00AD3006"/>
    <w:rsid w:val="00AD301F"/>
    <w:rsid w:val="00AD30BC"/>
    <w:rsid w:val="00AD314E"/>
    <w:rsid w:val="00AD3218"/>
    <w:rsid w:val="00AD35DA"/>
    <w:rsid w:val="00AD3626"/>
    <w:rsid w:val="00AD379E"/>
    <w:rsid w:val="00AD3BFE"/>
    <w:rsid w:val="00AD3C10"/>
    <w:rsid w:val="00AD3D81"/>
    <w:rsid w:val="00AD3DC2"/>
    <w:rsid w:val="00AD3F02"/>
    <w:rsid w:val="00AD4602"/>
    <w:rsid w:val="00AD4671"/>
    <w:rsid w:val="00AD4788"/>
    <w:rsid w:val="00AD47C3"/>
    <w:rsid w:val="00AD4A6F"/>
    <w:rsid w:val="00AD4A88"/>
    <w:rsid w:val="00AD4AE3"/>
    <w:rsid w:val="00AD4B87"/>
    <w:rsid w:val="00AD4D0E"/>
    <w:rsid w:val="00AD4DDD"/>
    <w:rsid w:val="00AD4E5C"/>
    <w:rsid w:val="00AD4FEE"/>
    <w:rsid w:val="00AD5001"/>
    <w:rsid w:val="00AD505F"/>
    <w:rsid w:val="00AD508D"/>
    <w:rsid w:val="00AD5350"/>
    <w:rsid w:val="00AD5621"/>
    <w:rsid w:val="00AD5721"/>
    <w:rsid w:val="00AD5D95"/>
    <w:rsid w:val="00AD5FD7"/>
    <w:rsid w:val="00AD62A0"/>
    <w:rsid w:val="00AD62AA"/>
    <w:rsid w:val="00AD632D"/>
    <w:rsid w:val="00AD6374"/>
    <w:rsid w:val="00AD681D"/>
    <w:rsid w:val="00AD698B"/>
    <w:rsid w:val="00AD69B1"/>
    <w:rsid w:val="00AD717C"/>
    <w:rsid w:val="00AD7197"/>
    <w:rsid w:val="00AD71F7"/>
    <w:rsid w:val="00AD76E3"/>
    <w:rsid w:val="00AD7702"/>
    <w:rsid w:val="00AD770B"/>
    <w:rsid w:val="00AD7BEC"/>
    <w:rsid w:val="00AD7CFC"/>
    <w:rsid w:val="00AD7E13"/>
    <w:rsid w:val="00AD7E27"/>
    <w:rsid w:val="00AD7E42"/>
    <w:rsid w:val="00AD7E93"/>
    <w:rsid w:val="00AD7E97"/>
    <w:rsid w:val="00AD7F82"/>
    <w:rsid w:val="00AE0080"/>
    <w:rsid w:val="00AE0085"/>
    <w:rsid w:val="00AE00B3"/>
    <w:rsid w:val="00AE01E9"/>
    <w:rsid w:val="00AE0308"/>
    <w:rsid w:val="00AE03A0"/>
    <w:rsid w:val="00AE0579"/>
    <w:rsid w:val="00AE07BB"/>
    <w:rsid w:val="00AE07EE"/>
    <w:rsid w:val="00AE089F"/>
    <w:rsid w:val="00AE091C"/>
    <w:rsid w:val="00AE0E01"/>
    <w:rsid w:val="00AE0E4D"/>
    <w:rsid w:val="00AE0F59"/>
    <w:rsid w:val="00AE10DC"/>
    <w:rsid w:val="00AE1182"/>
    <w:rsid w:val="00AE11E2"/>
    <w:rsid w:val="00AE11E5"/>
    <w:rsid w:val="00AE1277"/>
    <w:rsid w:val="00AE13BD"/>
    <w:rsid w:val="00AE145B"/>
    <w:rsid w:val="00AE1460"/>
    <w:rsid w:val="00AE14A4"/>
    <w:rsid w:val="00AE1625"/>
    <w:rsid w:val="00AE1742"/>
    <w:rsid w:val="00AE1870"/>
    <w:rsid w:val="00AE1902"/>
    <w:rsid w:val="00AE1A7D"/>
    <w:rsid w:val="00AE1BE8"/>
    <w:rsid w:val="00AE1F1B"/>
    <w:rsid w:val="00AE1F88"/>
    <w:rsid w:val="00AE2012"/>
    <w:rsid w:val="00AE222F"/>
    <w:rsid w:val="00AE240E"/>
    <w:rsid w:val="00AE2573"/>
    <w:rsid w:val="00AE26E8"/>
    <w:rsid w:val="00AE28D9"/>
    <w:rsid w:val="00AE2993"/>
    <w:rsid w:val="00AE2A07"/>
    <w:rsid w:val="00AE2ADE"/>
    <w:rsid w:val="00AE2E42"/>
    <w:rsid w:val="00AE3072"/>
    <w:rsid w:val="00AE3216"/>
    <w:rsid w:val="00AE343C"/>
    <w:rsid w:val="00AE34E9"/>
    <w:rsid w:val="00AE350F"/>
    <w:rsid w:val="00AE35F2"/>
    <w:rsid w:val="00AE37C7"/>
    <w:rsid w:val="00AE3863"/>
    <w:rsid w:val="00AE386F"/>
    <w:rsid w:val="00AE3B71"/>
    <w:rsid w:val="00AE3D48"/>
    <w:rsid w:val="00AE3D63"/>
    <w:rsid w:val="00AE3EDD"/>
    <w:rsid w:val="00AE416B"/>
    <w:rsid w:val="00AE463A"/>
    <w:rsid w:val="00AE49A0"/>
    <w:rsid w:val="00AE4A64"/>
    <w:rsid w:val="00AE4B4F"/>
    <w:rsid w:val="00AE5079"/>
    <w:rsid w:val="00AE5194"/>
    <w:rsid w:val="00AE52A9"/>
    <w:rsid w:val="00AE530C"/>
    <w:rsid w:val="00AE5700"/>
    <w:rsid w:val="00AE570C"/>
    <w:rsid w:val="00AE593F"/>
    <w:rsid w:val="00AE5998"/>
    <w:rsid w:val="00AE5B3F"/>
    <w:rsid w:val="00AE5CE7"/>
    <w:rsid w:val="00AE5D5D"/>
    <w:rsid w:val="00AE5DA3"/>
    <w:rsid w:val="00AE6077"/>
    <w:rsid w:val="00AE6086"/>
    <w:rsid w:val="00AE63A9"/>
    <w:rsid w:val="00AE64BA"/>
    <w:rsid w:val="00AE66D2"/>
    <w:rsid w:val="00AE6747"/>
    <w:rsid w:val="00AE67D0"/>
    <w:rsid w:val="00AE691C"/>
    <w:rsid w:val="00AE6925"/>
    <w:rsid w:val="00AE6960"/>
    <w:rsid w:val="00AE6AF1"/>
    <w:rsid w:val="00AE6B71"/>
    <w:rsid w:val="00AE6CA3"/>
    <w:rsid w:val="00AE6DD6"/>
    <w:rsid w:val="00AE6F7E"/>
    <w:rsid w:val="00AE7031"/>
    <w:rsid w:val="00AE714B"/>
    <w:rsid w:val="00AE737A"/>
    <w:rsid w:val="00AE74D6"/>
    <w:rsid w:val="00AE771A"/>
    <w:rsid w:val="00AE792B"/>
    <w:rsid w:val="00AE7A08"/>
    <w:rsid w:val="00AE7B8B"/>
    <w:rsid w:val="00AE7DA9"/>
    <w:rsid w:val="00AE7F34"/>
    <w:rsid w:val="00AE7F9D"/>
    <w:rsid w:val="00AE7FE3"/>
    <w:rsid w:val="00AF0126"/>
    <w:rsid w:val="00AF0141"/>
    <w:rsid w:val="00AF0145"/>
    <w:rsid w:val="00AF0278"/>
    <w:rsid w:val="00AF03D7"/>
    <w:rsid w:val="00AF04E7"/>
    <w:rsid w:val="00AF0815"/>
    <w:rsid w:val="00AF0C0A"/>
    <w:rsid w:val="00AF120D"/>
    <w:rsid w:val="00AF14C8"/>
    <w:rsid w:val="00AF169E"/>
    <w:rsid w:val="00AF1815"/>
    <w:rsid w:val="00AF1A4E"/>
    <w:rsid w:val="00AF1AF5"/>
    <w:rsid w:val="00AF1E30"/>
    <w:rsid w:val="00AF2076"/>
    <w:rsid w:val="00AF23B2"/>
    <w:rsid w:val="00AF24E8"/>
    <w:rsid w:val="00AF26D9"/>
    <w:rsid w:val="00AF2A88"/>
    <w:rsid w:val="00AF2AD5"/>
    <w:rsid w:val="00AF2C0C"/>
    <w:rsid w:val="00AF2C58"/>
    <w:rsid w:val="00AF2C77"/>
    <w:rsid w:val="00AF2D5B"/>
    <w:rsid w:val="00AF2FE1"/>
    <w:rsid w:val="00AF3265"/>
    <w:rsid w:val="00AF33EF"/>
    <w:rsid w:val="00AF340B"/>
    <w:rsid w:val="00AF3527"/>
    <w:rsid w:val="00AF36F1"/>
    <w:rsid w:val="00AF37BE"/>
    <w:rsid w:val="00AF3813"/>
    <w:rsid w:val="00AF39B1"/>
    <w:rsid w:val="00AF3BFA"/>
    <w:rsid w:val="00AF3FFD"/>
    <w:rsid w:val="00AF4105"/>
    <w:rsid w:val="00AF4310"/>
    <w:rsid w:val="00AF4351"/>
    <w:rsid w:val="00AF45E4"/>
    <w:rsid w:val="00AF4636"/>
    <w:rsid w:val="00AF4665"/>
    <w:rsid w:val="00AF46D1"/>
    <w:rsid w:val="00AF4822"/>
    <w:rsid w:val="00AF4AA8"/>
    <w:rsid w:val="00AF4AAB"/>
    <w:rsid w:val="00AF4B52"/>
    <w:rsid w:val="00AF4BA8"/>
    <w:rsid w:val="00AF4E47"/>
    <w:rsid w:val="00AF4E85"/>
    <w:rsid w:val="00AF5162"/>
    <w:rsid w:val="00AF51B2"/>
    <w:rsid w:val="00AF5287"/>
    <w:rsid w:val="00AF57A3"/>
    <w:rsid w:val="00AF599B"/>
    <w:rsid w:val="00AF5B85"/>
    <w:rsid w:val="00AF5C93"/>
    <w:rsid w:val="00AF5D42"/>
    <w:rsid w:val="00AF5D55"/>
    <w:rsid w:val="00AF5E92"/>
    <w:rsid w:val="00AF62D0"/>
    <w:rsid w:val="00AF64DC"/>
    <w:rsid w:val="00AF68D5"/>
    <w:rsid w:val="00AF698E"/>
    <w:rsid w:val="00AF6B37"/>
    <w:rsid w:val="00AF6EE9"/>
    <w:rsid w:val="00AF70BA"/>
    <w:rsid w:val="00AF716C"/>
    <w:rsid w:val="00AF726C"/>
    <w:rsid w:val="00AF73CF"/>
    <w:rsid w:val="00AF7712"/>
    <w:rsid w:val="00AF77CE"/>
    <w:rsid w:val="00AF77D7"/>
    <w:rsid w:val="00AF7844"/>
    <w:rsid w:val="00AF7849"/>
    <w:rsid w:val="00AF78AC"/>
    <w:rsid w:val="00AF7AF1"/>
    <w:rsid w:val="00AF7DC7"/>
    <w:rsid w:val="00AF7F64"/>
    <w:rsid w:val="00B0001A"/>
    <w:rsid w:val="00B00160"/>
    <w:rsid w:val="00B00211"/>
    <w:rsid w:val="00B00306"/>
    <w:rsid w:val="00B003C2"/>
    <w:rsid w:val="00B00407"/>
    <w:rsid w:val="00B00470"/>
    <w:rsid w:val="00B004B5"/>
    <w:rsid w:val="00B005C0"/>
    <w:rsid w:val="00B006E4"/>
    <w:rsid w:val="00B0071D"/>
    <w:rsid w:val="00B00842"/>
    <w:rsid w:val="00B00A18"/>
    <w:rsid w:val="00B00A38"/>
    <w:rsid w:val="00B00C28"/>
    <w:rsid w:val="00B00D7C"/>
    <w:rsid w:val="00B0127C"/>
    <w:rsid w:val="00B013A4"/>
    <w:rsid w:val="00B013CC"/>
    <w:rsid w:val="00B014CF"/>
    <w:rsid w:val="00B014DC"/>
    <w:rsid w:val="00B017FC"/>
    <w:rsid w:val="00B01A80"/>
    <w:rsid w:val="00B01AA9"/>
    <w:rsid w:val="00B01C5D"/>
    <w:rsid w:val="00B01D0D"/>
    <w:rsid w:val="00B01DA2"/>
    <w:rsid w:val="00B01F4E"/>
    <w:rsid w:val="00B01FD4"/>
    <w:rsid w:val="00B01FE1"/>
    <w:rsid w:val="00B02104"/>
    <w:rsid w:val="00B023FC"/>
    <w:rsid w:val="00B0241F"/>
    <w:rsid w:val="00B02A15"/>
    <w:rsid w:val="00B02C24"/>
    <w:rsid w:val="00B02CEC"/>
    <w:rsid w:val="00B02E44"/>
    <w:rsid w:val="00B02F65"/>
    <w:rsid w:val="00B02F96"/>
    <w:rsid w:val="00B03349"/>
    <w:rsid w:val="00B03543"/>
    <w:rsid w:val="00B03C1E"/>
    <w:rsid w:val="00B03C4F"/>
    <w:rsid w:val="00B03CE8"/>
    <w:rsid w:val="00B03DEB"/>
    <w:rsid w:val="00B03E4D"/>
    <w:rsid w:val="00B0426E"/>
    <w:rsid w:val="00B0428B"/>
    <w:rsid w:val="00B04331"/>
    <w:rsid w:val="00B04513"/>
    <w:rsid w:val="00B046DF"/>
    <w:rsid w:val="00B04755"/>
    <w:rsid w:val="00B04958"/>
    <w:rsid w:val="00B04992"/>
    <w:rsid w:val="00B04A53"/>
    <w:rsid w:val="00B04ABB"/>
    <w:rsid w:val="00B04B4A"/>
    <w:rsid w:val="00B04EDE"/>
    <w:rsid w:val="00B04EE0"/>
    <w:rsid w:val="00B04F05"/>
    <w:rsid w:val="00B052FC"/>
    <w:rsid w:val="00B05577"/>
    <w:rsid w:val="00B0557E"/>
    <w:rsid w:val="00B05637"/>
    <w:rsid w:val="00B05B4E"/>
    <w:rsid w:val="00B05C9C"/>
    <w:rsid w:val="00B05E11"/>
    <w:rsid w:val="00B06131"/>
    <w:rsid w:val="00B06300"/>
    <w:rsid w:val="00B06365"/>
    <w:rsid w:val="00B06392"/>
    <w:rsid w:val="00B06415"/>
    <w:rsid w:val="00B06434"/>
    <w:rsid w:val="00B06774"/>
    <w:rsid w:val="00B06C54"/>
    <w:rsid w:val="00B0725F"/>
    <w:rsid w:val="00B0736C"/>
    <w:rsid w:val="00B073F9"/>
    <w:rsid w:val="00B073FA"/>
    <w:rsid w:val="00B073FD"/>
    <w:rsid w:val="00B074E6"/>
    <w:rsid w:val="00B07576"/>
    <w:rsid w:val="00B077E5"/>
    <w:rsid w:val="00B078DE"/>
    <w:rsid w:val="00B07BCE"/>
    <w:rsid w:val="00B07D5F"/>
    <w:rsid w:val="00B102DA"/>
    <w:rsid w:val="00B10382"/>
    <w:rsid w:val="00B103D4"/>
    <w:rsid w:val="00B10625"/>
    <w:rsid w:val="00B107E4"/>
    <w:rsid w:val="00B1093A"/>
    <w:rsid w:val="00B10A01"/>
    <w:rsid w:val="00B10B1D"/>
    <w:rsid w:val="00B11068"/>
    <w:rsid w:val="00B110A5"/>
    <w:rsid w:val="00B11337"/>
    <w:rsid w:val="00B113EA"/>
    <w:rsid w:val="00B113FB"/>
    <w:rsid w:val="00B11520"/>
    <w:rsid w:val="00B11723"/>
    <w:rsid w:val="00B1180F"/>
    <w:rsid w:val="00B1187C"/>
    <w:rsid w:val="00B119C2"/>
    <w:rsid w:val="00B119E4"/>
    <w:rsid w:val="00B11CC4"/>
    <w:rsid w:val="00B11D81"/>
    <w:rsid w:val="00B11EE2"/>
    <w:rsid w:val="00B12139"/>
    <w:rsid w:val="00B12231"/>
    <w:rsid w:val="00B12242"/>
    <w:rsid w:val="00B122A3"/>
    <w:rsid w:val="00B12405"/>
    <w:rsid w:val="00B124C9"/>
    <w:rsid w:val="00B1257F"/>
    <w:rsid w:val="00B12730"/>
    <w:rsid w:val="00B12789"/>
    <w:rsid w:val="00B12907"/>
    <w:rsid w:val="00B129F7"/>
    <w:rsid w:val="00B12AA0"/>
    <w:rsid w:val="00B12B15"/>
    <w:rsid w:val="00B12CAB"/>
    <w:rsid w:val="00B12DED"/>
    <w:rsid w:val="00B13081"/>
    <w:rsid w:val="00B131CC"/>
    <w:rsid w:val="00B132B8"/>
    <w:rsid w:val="00B136F6"/>
    <w:rsid w:val="00B137D1"/>
    <w:rsid w:val="00B13806"/>
    <w:rsid w:val="00B13AB8"/>
    <w:rsid w:val="00B13B1C"/>
    <w:rsid w:val="00B13BD5"/>
    <w:rsid w:val="00B14249"/>
    <w:rsid w:val="00B142AD"/>
    <w:rsid w:val="00B14332"/>
    <w:rsid w:val="00B143E3"/>
    <w:rsid w:val="00B145D2"/>
    <w:rsid w:val="00B1476F"/>
    <w:rsid w:val="00B1493D"/>
    <w:rsid w:val="00B14A67"/>
    <w:rsid w:val="00B14B09"/>
    <w:rsid w:val="00B14D8B"/>
    <w:rsid w:val="00B14FC3"/>
    <w:rsid w:val="00B15025"/>
    <w:rsid w:val="00B15049"/>
    <w:rsid w:val="00B151C3"/>
    <w:rsid w:val="00B152BC"/>
    <w:rsid w:val="00B152C6"/>
    <w:rsid w:val="00B1538C"/>
    <w:rsid w:val="00B15513"/>
    <w:rsid w:val="00B155EC"/>
    <w:rsid w:val="00B156A9"/>
    <w:rsid w:val="00B15724"/>
    <w:rsid w:val="00B159AC"/>
    <w:rsid w:val="00B15B5D"/>
    <w:rsid w:val="00B15D38"/>
    <w:rsid w:val="00B15D68"/>
    <w:rsid w:val="00B15F66"/>
    <w:rsid w:val="00B15FFD"/>
    <w:rsid w:val="00B16227"/>
    <w:rsid w:val="00B16290"/>
    <w:rsid w:val="00B16365"/>
    <w:rsid w:val="00B1638B"/>
    <w:rsid w:val="00B1644C"/>
    <w:rsid w:val="00B16CA8"/>
    <w:rsid w:val="00B170B1"/>
    <w:rsid w:val="00B1730B"/>
    <w:rsid w:val="00B176BF"/>
    <w:rsid w:val="00B17771"/>
    <w:rsid w:val="00B17831"/>
    <w:rsid w:val="00B1797D"/>
    <w:rsid w:val="00B179A3"/>
    <w:rsid w:val="00B179E4"/>
    <w:rsid w:val="00B179E8"/>
    <w:rsid w:val="00B179FA"/>
    <w:rsid w:val="00B17A51"/>
    <w:rsid w:val="00B17BA1"/>
    <w:rsid w:val="00B20163"/>
    <w:rsid w:val="00B20273"/>
    <w:rsid w:val="00B20297"/>
    <w:rsid w:val="00B202FF"/>
    <w:rsid w:val="00B20451"/>
    <w:rsid w:val="00B2063A"/>
    <w:rsid w:val="00B2077C"/>
    <w:rsid w:val="00B2090A"/>
    <w:rsid w:val="00B20CA5"/>
    <w:rsid w:val="00B20CC2"/>
    <w:rsid w:val="00B20D24"/>
    <w:rsid w:val="00B20F2D"/>
    <w:rsid w:val="00B21288"/>
    <w:rsid w:val="00B214FB"/>
    <w:rsid w:val="00B216FA"/>
    <w:rsid w:val="00B217CB"/>
    <w:rsid w:val="00B21C71"/>
    <w:rsid w:val="00B21C92"/>
    <w:rsid w:val="00B21DC6"/>
    <w:rsid w:val="00B21EA3"/>
    <w:rsid w:val="00B2200E"/>
    <w:rsid w:val="00B2241A"/>
    <w:rsid w:val="00B226FB"/>
    <w:rsid w:val="00B22AE2"/>
    <w:rsid w:val="00B22B4F"/>
    <w:rsid w:val="00B22CE7"/>
    <w:rsid w:val="00B22DF1"/>
    <w:rsid w:val="00B2315E"/>
    <w:rsid w:val="00B2327D"/>
    <w:rsid w:val="00B2352A"/>
    <w:rsid w:val="00B23586"/>
    <w:rsid w:val="00B235E7"/>
    <w:rsid w:val="00B23721"/>
    <w:rsid w:val="00B23850"/>
    <w:rsid w:val="00B23A16"/>
    <w:rsid w:val="00B23AD3"/>
    <w:rsid w:val="00B23B86"/>
    <w:rsid w:val="00B23F86"/>
    <w:rsid w:val="00B2400C"/>
    <w:rsid w:val="00B24019"/>
    <w:rsid w:val="00B242DA"/>
    <w:rsid w:val="00B24420"/>
    <w:rsid w:val="00B2479E"/>
    <w:rsid w:val="00B247AD"/>
    <w:rsid w:val="00B24819"/>
    <w:rsid w:val="00B2483D"/>
    <w:rsid w:val="00B24AD7"/>
    <w:rsid w:val="00B24C8E"/>
    <w:rsid w:val="00B24E37"/>
    <w:rsid w:val="00B25088"/>
    <w:rsid w:val="00B2520B"/>
    <w:rsid w:val="00B25278"/>
    <w:rsid w:val="00B254AF"/>
    <w:rsid w:val="00B254BC"/>
    <w:rsid w:val="00B257F4"/>
    <w:rsid w:val="00B257F8"/>
    <w:rsid w:val="00B258F2"/>
    <w:rsid w:val="00B25E16"/>
    <w:rsid w:val="00B25E71"/>
    <w:rsid w:val="00B25EE8"/>
    <w:rsid w:val="00B25FB4"/>
    <w:rsid w:val="00B26241"/>
    <w:rsid w:val="00B26565"/>
    <w:rsid w:val="00B266F5"/>
    <w:rsid w:val="00B26713"/>
    <w:rsid w:val="00B26742"/>
    <w:rsid w:val="00B26762"/>
    <w:rsid w:val="00B26768"/>
    <w:rsid w:val="00B2676A"/>
    <w:rsid w:val="00B26B05"/>
    <w:rsid w:val="00B26BCD"/>
    <w:rsid w:val="00B26D03"/>
    <w:rsid w:val="00B26D31"/>
    <w:rsid w:val="00B270A3"/>
    <w:rsid w:val="00B272F7"/>
    <w:rsid w:val="00B27335"/>
    <w:rsid w:val="00B2736D"/>
    <w:rsid w:val="00B274CD"/>
    <w:rsid w:val="00B275A4"/>
    <w:rsid w:val="00B27642"/>
    <w:rsid w:val="00B276ED"/>
    <w:rsid w:val="00B277EF"/>
    <w:rsid w:val="00B2785E"/>
    <w:rsid w:val="00B2787D"/>
    <w:rsid w:val="00B279D2"/>
    <w:rsid w:val="00B27AAC"/>
    <w:rsid w:val="00B27B2D"/>
    <w:rsid w:val="00B27EAC"/>
    <w:rsid w:val="00B3016C"/>
    <w:rsid w:val="00B301A0"/>
    <w:rsid w:val="00B301C3"/>
    <w:rsid w:val="00B30495"/>
    <w:rsid w:val="00B304B3"/>
    <w:rsid w:val="00B307D3"/>
    <w:rsid w:val="00B30A46"/>
    <w:rsid w:val="00B30C1E"/>
    <w:rsid w:val="00B30E72"/>
    <w:rsid w:val="00B3117C"/>
    <w:rsid w:val="00B31B65"/>
    <w:rsid w:val="00B31BE4"/>
    <w:rsid w:val="00B31C2B"/>
    <w:rsid w:val="00B31EA1"/>
    <w:rsid w:val="00B31F33"/>
    <w:rsid w:val="00B31F44"/>
    <w:rsid w:val="00B3229A"/>
    <w:rsid w:val="00B32C6B"/>
    <w:rsid w:val="00B32D11"/>
    <w:rsid w:val="00B32FBF"/>
    <w:rsid w:val="00B3356B"/>
    <w:rsid w:val="00B33698"/>
    <w:rsid w:val="00B33B00"/>
    <w:rsid w:val="00B33B92"/>
    <w:rsid w:val="00B34151"/>
    <w:rsid w:val="00B34153"/>
    <w:rsid w:val="00B34278"/>
    <w:rsid w:val="00B345C2"/>
    <w:rsid w:val="00B345F3"/>
    <w:rsid w:val="00B346AF"/>
    <w:rsid w:val="00B3482B"/>
    <w:rsid w:val="00B34848"/>
    <w:rsid w:val="00B34B76"/>
    <w:rsid w:val="00B34BE7"/>
    <w:rsid w:val="00B34DB5"/>
    <w:rsid w:val="00B34FF6"/>
    <w:rsid w:val="00B350DE"/>
    <w:rsid w:val="00B35293"/>
    <w:rsid w:val="00B353A6"/>
    <w:rsid w:val="00B353AF"/>
    <w:rsid w:val="00B35417"/>
    <w:rsid w:val="00B3543E"/>
    <w:rsid w:val="00B355AB"/>
    <w:rsid w:val="00B35751"/>
    <w:rsid w:val="00B357E6"/>
    <w:rsid w:val="00B35D44"/>
    <w:rsid w:val="00B35E17"/>
    <w:rsid w:val="00B36018"/>
    <w:rsid w:val="00B36294"/>
    <w:rsid w:val="00B36388"/>
    <w:rsid w:val="00B36565"/>
    <w:rsid w:val="00B3661D"/>
    <w:rsid w:val="00B36621"/>
    <w:rsid w:val="00B366BE"/>
    <w:rsid w:val="00B366F3"/>
    <w:rsid w:val="00B36943"/>
    <w:rsid w:val="00B36960"/>
    <w:rsid w:val="00B3715D"/>
    <w:rsid w:val="00B3749F"/>
    <w:rsid w:val="00B374CC"/>
    <w:rsid w:val="00B375E0"/>
    <w:rsid w:val="00B3784E"/>
    <w:rsid w:val="00B378CF"/>
    <w:rsid w:val="00B37987"/>
    <w:rsid w:val="00B37C89"/>
    <w:rsid w:val="00B37CF7"/>
    <w:rsid w:val="00B37F5C"/>
    <w:rsid w:val="00B403F3"/>
    <w:rsid w:val="00B403FE"/>
    <w:rsid w:val="00B4064C"/>
    <w:rsid w:val="00B40AB8"/>
    <w:rsid w:val="00B40ABA"/>
    <w:rsid w:val="00B40C86"/>
    <w:rsid w:val="00B40D27"/>
    <w:rsid w:val="00B40EA4"/>
    <w:rsid w:val="00B4142F"/>
    <w:rsid w:val="00B41646"/>
    <w:rsid w:val="00B41658"/>
    <w:rsid w:val="00B416A7"/>
    <w:rsid w:val="00B41728"/>
    <w:rsid w:val="00B417B6"/>
    <w:rsid w:val="00B418FC"/>
    <w:rsid w:val="00B4192C"/>
    <w:rsid w:val="00B41C48"/>
    <w:rsid w:val="00B41EAD"/>
    <w:rsid w:val="00B41EC9"/>
    <w:rsid w:val="00B42119"/>
    <w:rsid w:val="00B427B5"/>
    <w:rsid w:val="00B429C7"/>
    <w:rsid w:val="00B42FF0"/>
    <w:rsid w:val="00B430A6"/>
    <w:rsid w:val="00B43369"/>
    <w:rsid w:val="00B4357D"/>
    <w:rsid w:val="00B4360F"/>
    <w:rsid w:val="00B43771"/>
    <w:rsid w:val="00B438F5"/>
    <w:rsid w:val="00B4391A"/>
    <w:rsid w:val="00B43DFA"/>
    <w:rsid w:val="00B43EA9"/>
    <w:rsid w:val="00B43ECF"/>
    <w:rsid w:val="00B43F91"/>
    <w:rsid w:val="00B43FCA"/>
    <w:rsid w:val="00B43FFC"/>
    <w:rsid w:val="00B4413A"/>
    <w:rsid w:val="00B44421"/>
    <w:rsid w:val="00B44432"/>
    <w:rsid w:val="00B44603"/>
    <w:rsid w:val="00B44689"/>
    <w:rsid w:val="00B44BB9"/>
    <w:rsid w:val="00B44BC2"/>
    <w:rsid w:val="00B44BDE"/>
    <w:rsid w:val="00B44CFD"/>
    <w:rsid w:val="00B44E8F"/>
    <w:rsid w:val="00B44F97"/>
    <w:rsid w:val="00B45024"/>
    <w:rsid w:val="00B45A3D"/>
    <w:rsid w:val="00B45AE2"/>
    <w:rsid w:val="00B45BC0"/>
    <w:rsid w:val="00B45C32"/>
    <w:rsid w:val="00B45D0B"/>
    <w:rsid w:val="00B45E2B"/>
    <w:rsid w:val="00B46160"/>
    <w:rsid w:val="00B46322"/>
    <w:rsid w:val="00B463C8"/>
    <w:rsid w:val="00B46431"/>
    <w:rsid w:val="00B4655D"/>
    <w:rsid w:val="00B4657B"/>
    <w:rsid w:val="00B465CE"/>
    <w:rsid w:val="00B46945"/>
    <w:rsid w:val="00B469F9"/>
    <w:rsid w:val="00B46B65"/>
    <w:rsid w:val="00B46B6B"/>
    <w:rsid w:val="00B46D49"/>
    <w:rsid w:val="00B46D52"/>
    <w:rsid w:val="00B46F29"/>
    <w:rsid w:val="00B46FC4"/>
    <w:rsid w:val="00B47731"/>
    <w:rsid w:val="00B4779C"/>
    <w:rsid w:val="00B477BC"/>
    <w:rsid w:val="00B47BAA"/>
    <w:rsid w:val="00B47C8F"/>
    <w:rsid w:val="00B47D18"/>
    <w:rsid w:val="00B47F03"/>
    <w:rsid w:val="00B5012B"/>
    <w:rsid w:val="00B50451"/>
    <w:rsid w:val="00B5057F"/>
    <w:rsid w:val="00B5078B"/>
    <w:rsid w:val="00B507D5"/>
    <w:rsid w:val="00B50859"/>
    <w:rsid w:val="00B50B02"/>
    <w:rsid w:val="00B50BCE"/>
    <w:rsid w:val="00B50D75"/>
    <w:rsid w:val="00B51084"/>
    <w:rsid w:val="00B51252"/>
    <w:rsid w:val="00B51261"/>
    <w:rsid w:val="00B5145D"/>
    <w:rsid w:val="00B514F3"/>
    <w:rsid w:val="00B51697"/>
    <w:rsid w:val="00B5185D"/>
    <w:rsid w:val="00B51A9E"/>
    <w:rsid w:val="00B51ACA"/>
    <w:rsid w:val="00B51B42"/>
    <w:rsid w:val="00B51B88"/>
    <w:rsid w:val="00B51BF8"/>
    <w:rsid w:val="00B51FCB"/>
    <w:rsid w:val="00B521E8"/>
    <w:rsid w:val="00B522AF"/>
    <w:rsid w:val="00B52511"/>
    <w:rsid w:val="00B5257A"/>
    <w:rsid w:val="00B527D4"/>
    <w:rsid w:val="00B527DF"/>
    <w:rsid w:val="00B52813"/>
    <w:rsid w:val="00B528B2"/>
    <w:rsid w:val="00B52995"/>
    <w:rsid w:val="00B52C57"/>
    <w:rsid w:val="00B52F0C"/>
    <w:rsid w:val="00B52F96"/>
    <w:rsid w:val="00B52FD3"/>
    <w:rsid w:val="00B530EC"/>
    <w:rsid w:val="00B5314C"/>
    <w:rsid w:val="00B53274"/>
    <w:rsid w:val="00B53314"/>
    <w:rsid w:val="00B533E3"/>
    <w:rsid w:val="00B535A6"/>
    <w:rsid w:val="00B53828"/>
    <w:rsid w:val="00B53A9C"/>
    <w:rsid w:val="00B53C32"/>
    <w:rsid w:val="00B53EFF"/>
    <w:rsid w:val="00B541E7"/>
    <w:rsid w:val="00B54378"/>
    <w:rsid w:val="00B5440B"/>
    <w:rsid w:val="00B54556"/>
    <w:rsid w:val="00B54640"/>
    <w:rsid w:val="00B54791"/>
    <w:rsid w:val="00B54A52"/>
    <w:rsid w:val="00B54A69"/>
    <w:rsid w:val="00B54B71"/>
    <w:rsid w:val="00B54C58"/>
    <w:rsid w:val="00B54D15"/>
    <w:rsid w:val="00B54EBF"/>
    <w:rsid w:val="00B55154"/>
    <w:rsid w:val="00B5521C"/>
    <w:rsid w:val="00B55264"/>
    <w:rsid w:val="00B554D3"/>
    <w:rsid w:val="00B55562"/>
    <w:rsid w:val="00B55788"/>
    <w:rsid w:val="00B55A4E"/>
    <w:rsid w:val="00B55B16"/>
    <w:rsid w:val="00B55B36"/>
    <w:rsid w:val="00B55C72"/>
    <w:rsid w:val="00B55E12"/>
    <w:rsid w:val="00B55E5F"/>
    <w:rsid w:val="00B56069"/>
    <w:rsid w:val="00B560B9"/>
    <w:rsid w:val="00B56328"/>
    <w:rsid w:val="00B56559"/>
    <w:rsid w:val="00B5684F"/>
    <w:rsid w:val="00B56906"/>
    <w:rsid w:val="00B56944"/>
    <w:rsid w:val="00B56AF1"/>
    <w:rsid w:val="00B56C59"/>
    <w:rsid w:val="00B56F14"/>
    <w:rsid w:val="00B57411"/>
    <w:rsid w:val="00B57471"/>
    <w:rsid w:val="00B574EA"/>
    <w:rsid w:val="00B57729"/>
    <w:rsid w:val="00B57955"/>
    <w:rsid w:val="00B57B26"/>
    <w:rsid w:val="00B57B5D"/>
    <w:rsid w:val="00B57E5A"/>
    <w:rsid w:val="00B57F55"/>
    <w:rsid w:val="00B6028F"/>
    <w:rsid w:val="00B602F1"/>
    <w:rsid w:val="00B602FD"/>
    <w:rsid w:val="00B60310"/>
    <w:rsid w:val="00B6035A"/>
    <w:rsid w:val="00B60366"/>
    <w:rsid w:val="00B6067A"/>
    <w:rsid w:val="00B607F8"/>
    <w:rsid w:val="00B60944"/>
    <w:rsid w:val="00B60ABC"/>
    <w:rsid w:val="00B60AC6"/>
    <w:rsid w:val="00B60C81"/>
    <w:rsid w:val="00B60D07"/>
    <w:rsid w:val="00B60D67"/>
    <w:rsid w:val="00B610BC"/>
    <w:rsid w:val="00B610F5"/>
    <w:rsid w:val="00B6144C"/>
    <w:rsid w:val="00B617F6"/>
    <w:rsid w:val="00B617FA"/>
    <w:rsid w:val="00B61973"/>
    <w:rsid w:val="00B61A20"/>
    <w:rsid w:val="00B61B2B"/>
    <w:rsid w:val="00B61C16"/>
    <w:rsid w:val="00B61E74"/>
    <w:rsid w:val="00B620D6"/>
    <w:rsid w:val="00B62177"/>
    <w:rsid w:val="00B6218C"/>
    <w:rsid w:val="00B62194"/>
    <w:rsid w:val="00B623EF"/>
    <w:rsid w:val="00B62417"/>
    <w:rsid w:val="00B628D0"/>
    <w:rsid w:val="00B629FB"/>
    <w:rsid w:val="00B62A38"/>
    <w:rsid w:val="00B62B17"/>
    <w:rsid w:val="00B62B1D"/>
    <w:rsid w:val="00B62DBF"/>
    <w:rsid w:val="00B63110"/>
    <w:rsid w:val="00B6314B"/>
    <w:rsid w:val="00B6338C"/>
    <w:rsid w:val="00B633B0"/>
    <w:rsid w:val="00B6393E"/>
    <w:rsid w:val="00B63E3D"/>
    <w:rsid w:val="00B63E61"/>
    <w:rsid w:val="00B63E6E"/>
    <w:rsid w:val="00B63EA1"/>
    <w:rsid w:val="00B64298"/>
    <w:rsid w:val="00B644D4"/>
    <w:rsid w:val="00B64524"/>
    <w:rsid w:val="00B645BB"/>
    <w:rsid w:val="00B6469A"/>
    <w:rsid w:val="00B64793"/>
    <w:rsid w:val="00B649ED"/>
    <w:rsid w:val="00B64A02"/>
    <w:rsid w:val="00B64C1D"/>
    <w:rsid w:val="00B64C60"/>
    <w:rsid w:val="00B64D6B"/>
    <w:rsid w:val="00B64DA9"/>
    <w:rsid w:val="00B64FBB"/>
    <w:rsid w:val="00B64FEE"/>
    <w:rsid w:val="00B65262"/>
    <w:rsid w:val="00B65495"/>
    <w:rsid w:val="00B654D8"/>
    <w:rsid w:val="00B65561"/>
    <w:rsid w:val="00B65631"/>
    <w:rsid w:val="00B6576E"/>
    <w:rsid w:val="00B65B45"/>
    <w:rsid w:val="00B65B5B"/>
    <w:rsid w:val="00B65BD8"/>
    <w:rsid w:val="00B65CA3"/>
    <w:rsid w:val="00B66849"/>
    <w:rsid w:val="00B66888"/>
    <w:rsid w:val="00B66AC1"/>
    <w:rsid w:val="00B66FFB"/>
    <w:rsid w:val="00B6707D"/>
    <w:rsid w:val="00B6715B"/>
    <w:rsid w:val="00B672D0"/>
    <w:rsid w:val="00B67354"/>
    <w:rsid w:val="00B67467"/>
    <w:rsid w:val="00B6754E"/>
    <w:rsid w:val="00B67C0C"/>
    <w:rsid w:val="00B67D5D"/>
    <w:rsid w:val="00B67F22"/>
    <w:rsid w:val="00B700A6"/>
    <w:rsid w:val="00B70171"/>
    <w:rsid w:val="00B702A8"/>
    <w:rsid w:val="00B70673"/>
    <w:rsid w:val="00B70679"/>
    <w:rsid w:val="00B709BC"/>
    <w:rsid w:val="00B70B12"/>
    <w:rsid w:val="00B70B5D"/>
    <w:rsid w:val="00B71196"/>
    <w:rsid w:val="00B711B4"/>
    <w:rsid w:val="00B7123F"/>
    <w:rsid w:val="00B7139B"/>
    <w:rsid w:val="00B713A1"/>
    <w:rsid w:val="00B713CA"/>
    <w:rsid w:val="00B71503"/>
    <w:rsid w:val="00B7152F"/>
    <w:rsid w:val="00B71557"/>
    <w:rsid w:val="00B71644"/>
    <w:rsid w:val="00B7178B"/>
    <w:rsid w:val="00B7185F"/>
    <w:rsid w:val="00B71B47"/>
    <w:rsid w:val="00B71D76"/>
    <w:rsid w:val="00B71ED0"/>
    <w:rsid w:val="00B72116"/>
    <w:rsid w:val="00B7211F"/>
    <w:rsid w:val="00B72156"/>
    <w:rsid w:val="00B72205"/>
    <w:rsid w:val="00B7226A"/>
    <w:rsid w:val="00B722C5"/>
    <w:rsid w:val="00B722F0"/>
    <w:rsid w:val="00B7244F"/>
    <w:rsid w:val="00B724E6"/>
    <w:rsid w:val="00B72673"/>
    <w:rsid w:val="00B727F0"/>
    <w:rsid w:val="00B72996"/>
    <w:rsid w:val="00B72AEA"/>
    <w:rsid w:val="00B73269"/>
    <w:rsid w:val="00B732C8"/>
    <w:rsid w:val="00B7352D"/>
    <w:rsid w:val="00B738F3"/>
    <w:rsid w:val="00B73963"/>
    <w:rsid w:val="00B73A98"/>
    <w:rsid w:val="00B73B18"/>
    <w:rsid w:val="00B73F0C"/>
    <w:rsid w:val="00B74504"/>
    <w:rsid w:val="00B74650"/>
    <w:rsid w:val="00B7484E"/>
    <w:rsid w:val="00B7497E"/>
    <w:rsid w:val="00B74B59"/>
    <w:rsid w:val="00B74FD6"/>
    <w:rsid w:val="00B7501A"/>
    <w:rsid w:val="00B750B2"/>
    <w:rsid w:val="00B75382"/>
    <w:rsid w:val="00B75541"/>
    <w:rsid w:val="00B756DB"/>
    <w:rsid w:val="00B757A5"/>
    <w:rsid w:val="00B75934"/>
    <w:rsid w:val="00B75A00"/>
    <w:rsid w:val="00B75DF4"/>
    <w:rsid w:val="00B75FFF"/>
    <w:rsid w:val="00B76043"/>
    <w:rsid w:val="00B760B9"/>
    <w:rsid w:val="00B761A8"/>
    <w:rsid w:val="00B76397"/>
    <w:rsid w:val="00B76495"/>
    <w:rsid w:val="00B765E5"/>
    <w:rsid w:val="00B76640"/>
    <w:rsid w:val="00B7668E"/>
    <w:rsid w:val="00B7673C"/>
    <w:rsid w:val="00B76894"/>
    <w:rsid w:val="00B7694A"/>
    <w:rsid w:val="00B77055"/>
    <w:rsid w:val="00B77158"/>
    <w:rsid w:val="00B7735D"/>
    <w:rsid w:val="00B77388"/>
    <w:rsid w:val="00B774B2"/>
    <w:rsid w:val="00B7752F"/>
    <w:rsid w:val="00B775AE"/>
    <w:rsid w:val="00B777B4"/>
    <w:rsid w:val="00B7783F"/>
    <w:rsid w:val="00B77939"/>
    <w:rsid w:val="00B779CA"/>
    <w:rsid w:val="00B77CA7"/>
    <w:rsid w:val="00B77E8B"/>
    <w:rsid w:val="00B77E9B"/>
    <w:rsid w:val="00B80111"/>
    <w:rsid w:val="00B804CF"/>
    <w:rsid w:val="00B805AA"/>
    <w:rsid w:val="00B8072A"/>
    <w:rsid w:val="00B808F4"/>
    <w:rsid w:val="00B8098D"/>
    <w:rsid w:val="00B80BEA"/>
    <w:rsid w:val="00B80C5C"/>
    <w:rsid w:val="00B80CD7"/>
    <w:rsid w:val="00B80EF6"/>
    <w:rsid w:val="00B81147"/>
    <w:rsid w:val="00B81381"/>
    <w:rsid w:val="00B81444"/>
    <w:rsid w:val="00B8193C"/>
    <w:rsid w:val="00B81A48"/>
    <w:rsid w:val="00B81D1D"/>
    <w:rsid w:val="00B823FD"/>
    <w:rsid w:val="00B824C3"/>
    <w:rsid w:val="00B82605"/>
    <w:rsid w:val="00B82606"/>
    <w:rsid w:val="00B82688"/>
    <w:rsid w:val="00B8299C"/>
    <w:rsid w:val="00B829E6"/>
    <w:rsid w:val="00B82E2D"/>
    <w:rsid w:val="00B82F98"/>
    <w:rsid w:val="00B83166"/>
    <w:rsid w:val="00B8316C"/>
    <w:rsid w:val="00B831CC"/>
    <w:rsid w:val="00B831FC"/>
    <w:rsid w:val="00B83252"/>
    <w:rsid w:val="00B83511"/>
    <w:rsid w:val="00B83BFE"/>
    <w:rsid w:val="00B83CD1"/>
    <w:rsid w:val="00B83E37"/>
    <w:rsid w:val="00B83EB0"/>
    <w:rsid w:val="00B84025"/>
    <w:rsid w:val="00B841ED"/>
    <w:rsid w:val="00B84271"/>
    <w:rsid w:val="00B84590"/>
    <w:rsid w:val="00B84647"/>
    <w:rsid w:val="00B846FC"/>
    <w:rsid w:val="00B847D4"/>
    <w:rsid w:val="00B8483B"/>
    <w:rsid w:val="00B84899"/>
    <w:rsid w:val="00B8489B"/>
    <w:rsid w:val="00B84AF0"/>
    <w:rsid w:val="00B84BC8"/>
    <w:rsid w:val="00B84D04"/>
    <w:rsid w:val="00B84E88"/>
    <w:rsid w:val="00B84F3D"/>
    <w:rsid w:val="00B851BC"/>
    <w:rsid w:val="00B85564"/>
    <w:rsid w:val="00B85946"/>
    <w:rsid w:val="00B85ABE"/>
    <w:rsid w:val="00B85D1B"/>
    <w:rsid w:val="00B85E1F"/>
    <w:rsid w:val="00B85F5D"/>
    <w:rsid w:val="00B86352"/>
    <w:rsid w:val="00B863D1"/>
    <w:rsid w:val="00B8674F"/>
    <w:rsid w:val="00B8682B"/>
    <w:rsid w:val="00B869AB"/>
    <w:rsid w:val="00B86C01"/>
    <w:rsid w:val="00B86E04"/>
    <w:rsid w:val="00B86E83"/>
    <w:rsid w:val="00B86F2C"/>
    <w:rsid w:val="00B86FAC"/>
    <w:rsid w:val="00B87046"/>
    <w:rsid w:val="00B870B9"/>
    <w:rsid w:val="00B8733B"/>
    <w:rsid w:val="00B876E1"/>
    <w:rsid w:val="00B8784A"/>
    <w:rsid w:val="00B87897"/>
    <w:rsid w:val="00B878E9"/>
    <w:rsid w:val="00B87A55"/>
    <w:rsid w:val="00B87C15"/>
    <w:rsid w:val="00B90211"/>
    <w:rsid w:val="00B903E8"/>
    <w:rsid w:val="00B90562"/>
    <w:rsid w:val="00B90863"/>
    <w:rsid w:val="00B90B2D"/>
    <w:rsid w:val="00B90C1F"/>
    <w:rsid w:val="00B90F58"/>
    <w:rsid w:val="00B90F86"/>
    <w:rsid w:val="00B91038"/>
    <w:rsid w:val="00B9113B"/>
    <w:rsid w:val="00B9138E"/>
    <w:rsid w:val="00B913F6"/>
    <w:rsid w:val="00B914BF"/>
    <w:rsid w:val="00B9178D"/>
    <w:rsid w:val="00B917E3"/>
    <w:rsid w:val="00B91A82"/>
    <w:rsid w:val="00B91AEF"/>
    <w:rsid w:val="00B91C71"/>
    <w:rsid w:val="00B91C99"/>
    <w:rsid w:val="00B91DAD"/>
    <w:rsid w:val="00B9231B"/>
    <w:rsid w:val="00B923D9"/>
    <w:rsid w:val="00B92406"/>
    <w:rsid w:val="00B9285F"/>
    <w:rsid w:val="00B92871"/>
    <w:rsid w:val="00B92B5C"/>
    <w:rsid w:val="00B92BCC"/>
    <w:rsid w:val="00B92CFF"/>
    <w:rsid w:val="00B92D99"/>
    <w:rsid w:val="00B92EFC"/>
    <w:rsid w:val="00B92F43"/>
    <w:rsid w:val="00B92F55"/>
    <w:rsid w:val="00B9303E"/>
    <w:rsid w:val="00B93061"/>
    <w:rsid w:val="00B931AD"/>
    <w:rsid w:val="00B9331B"/>
    <w:rsid w:val="00B93583"/>
    <w:rsid w:val="00B9374C"/>
    <w:rsid w:val="00B93B32"/>
    <w:rsid w:val="00B93BE2"/>
    <w:rsid w:val="00B93D1C"/>
    <w:rsid w:val="00B93EE7"/>
    <w:rsid w:val="00B93F72"/>
    <w:rsid w:val="00B93FE8"/>
    <w:rsid w:val="00B943CE"/>
    <w:rsid w:val="00B944DE"/>
    <w:rsid w:val="00B949B0"/>
    <w:rsid w:val="00B94CFF"/>
    <w:rsid w:val="00B94D6E"/>
    <w:rsid w:val="00B94E5C"/>
    <w:rsid w:val="00B94EE2"/>
    <w:rsid w:val="00B94FF7"/>
    <w:rsid w:val="00B95085"/>
    <w:rsid w:val="00B95135"/>
    <w:rsid w:val="00B95232"/>
    <w:rsid w:val="00B952B4"/>
    <w:rsid w:val="00B955B8"/>
    <w:rsid w:val="00B955ED"/>
    <w:rsid w:val="00B95602"/>
    <w:rsid w:val="00B9580E"/>
    <w:rsid w:val="00B95819"/>
    <w:rsid w:val="00B959BF"/>
    <w:rsid w:val="00B95A5E"/>
    <w:rsid w:val="00B95BD6"/>
    <w:rsid w:val="00B95D2C"/>
    <w:rsid w:val="00B95E55"/>
    <w:rsid w:val="00B95F2C"/>
    <w:rsid w:val="00B95FAF"/>
    <w:rsid w:val="00B96146"/>
    <w:rsid w:val="00B963A7"/>
    <w:rsid w:val="00B96533"/>
    <w:rsid w:val="00B96561"/>
    <w:rsid w:val="00B96683"/>
    <w:rsid w:val="00B96758"/>
    <w:rsid w:val="00B9699E"/>
    <w:rsid w:val="00B96A6B"/>
    <w:rsid w:val="00B96C6B"/>
    <w:rsid w:val="00B96D29"/>
    <w:rsid w:val="00B96E21"/>
    <w:rsid w:val="00B96F82"/>
    <w:rsid w:val="00B9729F"/>
    <w:rsid w:val="00B9739D"/>
    <w:rsid w:val="00B97658"/>
    <w:rsid w:val="00B9786A"/>
    <w:rsid w:val="00B97B02"/>
    <w:rsid w:val="00B97BDD"/>
    <w:rsid w:val="00B97DE4"/>
    <w:rsid w:val="00B97E01"/>
    <w:rsid w:val="00B97EA1"/>
    <w:rsid w:val="00B97F4B"/>
    <w:rsid w:val="00BA0457"/>
    <w:rsid w:val="00BA0460"/>
    <w:rsid w:val="00BA048D"/>
    <w:rsid w:val="00BA06AC"/>
    <w:rsid w:val="00BA094B"/>
    <w:rsid w:val="00BA0B42"/>
    <w:rsid w:val="00BA0C72"/>
    <w:rsid w:val="00BA0F27"/>
    <w:rsid w:val="00BA0FA4"/>
    <w:rsid w:val="00BA11D1"/>
    <w:rsid w:val="00BA1254"/>
    <w:rsid w:val="00BA13CA"/>
    <w:rsid w:val="00BA13F0"/>
    <w:rsid w:val="00BA1802"/>
    <w:rsid w:val="00BA18C4"/>
    <w:rsid w:val="00BA19DB"/>
    <w:rsid w:val="00BA1A33"/>
    <w:rsid w:val="00BA1AAC"/>
    <w:rsid w:val="00BA1CF9"/>
    <w:rsid w:val="00BA1DCD"/>
    <w:rsid w:val="00BA237E"/>
    <w:rsid w:val="00BA249C"/>
    <w:rsid w:val="00BA2613"/>
    <w:rsid w:val="00BA2BF2"/>
    <w:rsid w:val="00BA2C3C"/>
    <w:rsid w:val="00BA2EB5"/>
    <w:rsid w:val="00BA312E"/>
    <w:rsid w:val="00BA3182"/>
    <w:rsid w:val="00BA31CA"/>
    <w:rsid w:val="00BA344F"/>
    <w:rsid w:val="00BA34BC"/>
    <w:rsid w:val="00BA351C"/>
    <w:rsid w:val="00BA361D"/>
    <w:rsid w:val="00BA36FA"/>
    <w:rsid w:val="00BA36FB"/>
    <w:rsid w:val="00BA3888"/>
    <w:rsid w:val="00BA38AF"/>
    <w:rsid w:val="00BA3918"/>
    <w:rsid w:val="00BA3B2C"/>
    <w:rsid w:val="00BA3D64"/>
    <w:rsid w:val="00BA3FD0"/>
    <w:rsid w:val="00BA4010"/>
    <w:rsid w:val="00BA40F5"/>
    <w:rsid w:val="00BA416D"/>
    <w:rsid w:val="00BA432B"/>
    <w:rsid w:val="00BA4349"/>
    <w:rsid w:val="00BA435D"/>
    <w:rsid w:val="00BA44C1"/>
    <w:rsid w:val="00BA4759"/>
    <w:rsid w:val="00BA4A6C"/>
    <w:rsid w:val="00BA4B48"/>
    <w:rsid w:val="00BA4E67"/>
    <w:rsid w:val="00BA4FB8"/>
    <w:rsid w:val="00BA4FE6"/>
    <w:rsid w:val="00BA50B2"/>
    <w:rsid w:val="00BA5139"/>
    <w:rsid w:val="00BA537A"/>
    <w:rsid w:val="00BA550B"/>
    <w:rsid w:val="00BA5805"/>
    <w:rsid w:val="00BA590E"/>
    <w:rsid w:val="00BA5939"/>
    <w:rsid w:val="00BA5A92"/>
    <w:rsid w:val="00BA5B72"/>
    <w:rsid w:val="00BA5DA1"/>
    <w:rsid w:val="00BA5F71"/>
    <w:rsid w:val="00BA5F7E"/>
    <w:rsid w:val="00BA603C"/>
    <w:rsid w:val="00BA6196"/>
    <w:rsid w:val="00BA62A3"/>
    <w:rsid w:val="00BA63F8"/>
    <w:rsid w:val="00BA6499"/>
    <w:rsid w:val="00BA661B"/>
    <w:rsid w:val="00BA663E"/>
    <w:rsid w:val="00BA6BDE"/>
    <w:rsid w:val="00BA6D96"/>
    <w:rsid w:val="00BA6F3C"/>
    <w:rsid w:val="00BA7016"/>
    <w:rsid w:val="00BA7161"/>
    <w:rsid w:val="00BA7250"/>
    <w:rsid w:val="00BA7269"/>
    <w:rsid w:val="00BA7449"/>
    <w:rsid w:val="00BA75A7"/>
    <w:rsid w:val="00BA76DC"/>
    <w:rsid w:val="00BA786A"/>
    <w:rsid w:val="00BA7ADA"/>
    <w:rsid w:val="00BA7B97"/>
    <w:rsid w:val="00BB00DF"/>
    <w:rsid w:val="00BB057E"/>
    <w:rsid w:val="00BB06B6"/>
    <w:rsid w:val="00BB06F3"/>
    <w:rsid w:val="00BB07F7"/>
    <w:rsid w:val="00BB086B"/>
    <w:rsid w:val="00BB09B9"/>
    <w:rsid w:val="00BB09BE"/>
    <w:rsid w:val="00BB0A9A"/>
    <w:rsid w:val="00BB0B40"/>
    <w:rsid w:val="00BB0D32"/>
    <w:rsid w:val="00BB10A8"/>
    <w:rsid w:val="00BB119C"/>
    <w:rsid w:val="00BB11C4"/>
    <w:rsid w:val="00BB1434"/>
    <w:rsid w:val="00BB158E"/>
    <w:rsid w:val="00BB1593"/>
    <w:rsid w:val="00BB1641"/>
    <w:rsid w:val="00BB16CA"/>
    <w:rsid w:val="00BB1868"/>
    <w:rsid w:val="00BB1B02"/>
    <w:rsid w:val="00BB1C82"/>
    <w:rsid w:val="00BB1E65"/>
    <w:rsid w:val="00BB1F34"/>
    <w:rsid w:val="00BB1FDB"/>
    <w:rsid w:val="00BB2001"/>
    <w:rsid w:val="00BB2004"/>
    <w:rsid w:val="00BB201B"/>
    <w:rsid w:val="00BB203F"/>
    <w:rsid w:val="00BB2093"/>
    <w:rsid w:val="00BB21CA"/>
    <w:rsid w:val="00BB25C0"/>
    <w:rsid w:val="00BB264D"/>
    <w:rsid w:val="00BB2807"/>
    <w:rsid w:val="00BB291E"/>
    <w:rsid w:val="00BB2921"/>
    <w:rsid w:val="00BB2A4B"/>
    <w:rsid w:val="00BB2A90"/>
    <w:rsid w:val="00BB2B66"/>
    <w:rsid w:val="00BB3097"/>
    <w:rsid w:val="00BB3136"/>
    <w:rsid w:val="00BB3474"/>
    <w:rsid w:val="00BB39EB"/>
    <w:rsid w:val="00BB3AE2"/>
    <w:rsid w:val="00BB3D39"/>
    <w:rsid w:val="00BB3D60"/>
    <w:rsid w:val="00BB3DC9"/>
    <w:rsid w:val="00BB4152"/>
    <w:rsid w:val="00BB426B"/>
    <w:rsid w:val="00BB426E"/>
    <w:rsid w:val="00BB4271"/>
    <w:rsid w:val="00BB437A"/>
    <w:rsid w:val="00BB4540"/>
    <w:rsid w:val="00BB476B"/>
    <w:rsid w:val="00BB48CE"/>
    <w:rsid w:val="00BB4D4D"/>
    <w:rsid w:val="00BB5012"/>
    <w:rsid w:val="00BB5038"/>
    <w:rsid w:val="00BB50C2"/>
    <w:rsid w:val="00BB525C"/>
    <w:rsid w:val="00BB52E1"/>
    <w:rsid w:val="00BB532C"/>
    <w:rsid w:val="00BB5410"/>
    <w:rsid w:val="00BB55AF"/>
    <w:rsid w:val="00BB5823"/>
    <w:rsid w:val="00BB595D"/>
    <w:rsid w:val="00BB5B03"/>
    <w:rsid w:val="00BB5C05"/>
    <w:rsid w:val="00BB602D"/>
    <w:rsid w:val="00BB62FF"/>
    <w:rsid w:val="00BB66EC"/>
    <w:rsid w:val="00BB677A"/>
    <w:rsid w:val="00BB68C9"/>
    <w:rsid w:val="00BB69C2"/>
    <w:rsid w:val="00BB6B6A"/>
    <w:rsid w:val="00BB6BB5"/>
    <w:rsid w:val="00BB6CEC"/>
    <w:rsid w:val="00BB6EC7"/>
    <w:rsid w:val="00BB6EE6"/>
    <w:rsid w:val="00BB7026"/>
    <w:rsid w:val="00BB70C7"/>
    <w:rsid w:val="00BB7350"/>
    <w:rsid w:val="00BB751F"/>
    <w:rsid w:val="00BB79B1"/>
    <w:rsid w:val="00BB7C87"/>
    <w:rsid w:val="00BB7C8D"/>
    <w:rsid w:val="00BB7E2C"/>
    <w:rsid w:val="00BC000E"/>
    <w:rsid w:val="00BC005C"/>
    <w:rsid w:val="00BC05F4"/>
    <w:rsid w:val="00BC0DE8"/>
    <w:rsid w:val="00BC0EF2"/>
    <w:rsid w:val="00BC1020"/>
    <w:rsid w:val="00BC17B7"/>
    <w:rsid w:val="00BC1938"/>
    <w:rsid w:val="00BC1DC2"/>
    <w:rsid w:val="00BC1DE9"/>
    <w:rsid w:val="00BC1F1F"/>
    <w:rsid w:val="00BC2072"/>
    <w:rsid w:val="00BC2227"/>
    <w:rsid w:val="00BC2476"/>
    <w:rsid w:val="00BC257A"/>
    <w:rsid w:val="00BC261C"/>
    <w:rsid w:val="00BC2762"/>
    <w:rsid w:val="00BC2C81"/>
    <w:rsid w:val="00BC2CE1"/>
    <w:rsid w:val="00BC2D3E"/>
    <w:rsid w:val="00BC2E37"/>
    <w:rsid w:val="00BC3090"/>
    <w:rsid w:val="00BC3221"/>
    <w:rsid w:val="00BC3312"/>
    <w:rsid w:val="00BC33EA"/>
    <w:rsid w:val="00BC3B1A"/>
    <w:rsid w:val="00BC3D59"/>
    <w:rsid w:val="00BC3D62"/>
    <w:rsid w:val="00BC3E29"/>
    <w:rsid w:val="00BC3EE4"/>
    <w:rsid w:val="00BC3EF3"/>
    <w:rsid w:val="00BC3F1D"/>
    <w:rsid w:val="00BC3F7B"/>
    <w:rsid w:val="00BC4271"/>
    <w:rsid w:val="00BC474C"/>
    <w:rsid w:val="00BC48B0"/>
    <w:rsid w:val="00BC52F2"/>
    <w:rsid w:val="00BC56C8"/>
    <w:rsid w:val="00BC575D"/>
    <w:rsid w:val="00BC5E35"/>
    <w:rsid w:val="00BC6027"/>
    <w:rsid w:val="00BC60A0"/>
    <w:rsid w:val="00BC6295"/>
    <w:rsid w:val="00BC641B"/>
    <w:rsid w:val="00BC6545"/>
    <w:rsid w:val="00BC672F"/>
    <w:rsid w:val="00BC6885"/>
    <w:rsid w:val="00BC6945"/>
    <w:rsid w:val="00BC6CEC"/>
    <w:rsid w:val="00BC6DC5"/>
    <w:rsid w:val="00BC6E04"/>
    <w:rsid w:val="00BC6F04"/>
    <w:rsid w:val="00BC7190"/>
    <w:rsid w:val="00BC71B9"/>
    <w:rsid w:val="00BC7214"/>
    <w:rsid w:val="00BC728E"/>
    <w:rsid w:val="00BC72B4"/>
    <w:rsid w:val="00BC736B"/>
    <w:rsid w:val="00BC73A0"/>
    <w:rsid w:val="00BC750C"/>
    <w:rsid w:val="00BC75CB"/>
    <w:rsid w:val="00BC765C"/>
    <w:rsid w:val="00BC787B"/>
    <w:rsid w:val="00BC7A75"/>
    <w:rsid w:val="00BC7CC9"/>
    <w:rsid w:val="00BD0107"/>
    <w:rsid w:val="00BD0111"/>
    <w:rsid w:val="00BD04D5"/>
    <w:rsid w:val="00BD0588"/>
    <w:rsid w:val="00BD06E1"/>
    <w:rsid w:val="00BD095E"/>
    <w:rsid w:val="00BD09E5"/>
    <w:rsid w:val="00BD0A3E"/>
    <w:rsid w:val="00BD0C25"/>
    <w:rsid w:val="00BD10E9"/>
    <w:rsid w:val="00BD12ED"/>
    <w:rsid w:val="00BD1301"/>
    <w:rsid w:val="00BD1748"/>
    <w:rsid w:val="00BD1765"/>
    <w:rsid w:val="00BD1A82"/>
    <w:rsid w:val="00BD1B5A"/>
    <w:rsid w:val="00BD1B83"/>
    <w:rsid w:val="00BD1D5A"/>
    <w:rsid w:val="00BD1ECD"/>
    <w:rsid w:val="00BD1F98"/>
    <w:rsid w:val="00BD1FB1"/>
    <w:rsid w:val="00BD21E8"/>
    <w:rsid w:val="00BD21EC"/>
    <w:rsid w:val="00BD266C"/>
    <w:rsid w:val="00BD29B3"/>
    <w:rsid w:val="00BD2C7A"/>
    <w:rsid w:val="00BD379A"/>
    <w:rsid w:val="00BD37F7"/>
    <w:rsid w:val="00BD3928"/>
    <w:rsid w:val="00BD3B25"/>
    <w:rsid w:val="00BD3C99"/>
    <w:rsid w:val="00BD3D7C"/>
    <w:rsid w:val="00BD3FBC"/>
    <w:rsid w:val="00BD4085"/>
    <w:rsid w:val="00BD4143"/>
    <w:rsid w:val="00BD4327"/>
    <w:rsid w:val="00BD4388"/>
    <w:rsid w:val="00BD439D"/>
    <w:rsid w:val="00BD450C"/>
    <w:rsid w:val="00BD4558"/>
    <w:rsid w:val="00BD4570"/>
    <w:rsid w:val="00BD4591"/>
    <w:rsid w:val="00BD4B75"/>
    <w:rsid w:val="00BD4BD0"/>
    <w:rsid w:val="00BD4D7D"/>
    <w:rsid w:val="00BD4F53"/>
    <w:rsid w:val="00BD4F61"/>
    <w:rsid w:val="00BD5043"/>
    <w:rsid w:val="00BD51EC"/>
    <w:rsid w:val="00BD5455"/>
    <w:rsid w:val="00BD54A3"/>
    <w:rsid w:val="00BD5529"/>
    <w:rsid w:val="00BD56CE"/>
    <w:rsid w:val="00BD5777"/>
    <w:rsid w:val="00BD5818"/>
    <w:rsid w:val="00BD5896"/>
    <w:rsid w:val="00BD58BF"/>
    <w:rsid w:val="00BD5A9C"/>
    <w:rsid w:val="00BD5B28"/>
    <w:rsid w:val="00BD5BDC"/>
    <w:rsid w:val="00BD5ED0"/>
    <w:rsid w:val="00BD613E"/>
    <w:rsid w:val="00BD6260"/>
    <w:rsid w:val="00BD62D1"/>
    <w:rsid w:val="00BD6394"/>
    <w:rsid w:val="00BD63C2"/>
    <w:rsid w:val="00BD6486"/>
    <w:rsid w:val="00BD6795"/>
    <w:rsid w:val="00BD67A4"/>
    <w:rsid w:val="00BD68C5"/>
    <w:rsid w:val="00BD6BE2"/>
    <w:rsid w:val="00BD6E39"/>
    <w:rsid w:val="00BD6F18"/>
    <w:rsid w:val="00BD704D"/>
    <w:rsid w:val="00BD72B0"/>
    <w:rsid w:val="00BD7418"/>
    <w:rsid w:val="00BD7541"/>
    <w:rsid w:val="00BD7592"/>
    <w:rsid w:val="00BD773A"/>
    <w:rsid w:val="00BD79C5"/>
    <w:rsid w:val="00BD7AAC"/>
    <w:rsid w:val="00BD7C2E"/>
    <w:rsid w:val="00BD7CAF"/>
    <w:rsid w:val="00BD7E06"/>
    <w:rsid w:val="00BD7EDA"/>
    <w:rsid w:val="00BE010A"/>
    <w:rsid w:val="00BE0264"/>
    <w:rsid w:val="00BE04E5"/>
    <w:rsid w:val="00BE072A"/>
    <w:rsid w:val="00BE085A"/>
    <w:rsid w:val="00BE0918"/>
    <w:rsid w:val="00BE0C4E"/>
    <w:rsid w:val="00BE0C51"/>
    <w:rsid w:val="00BE0D2C"/>
    <w:rsid w:val="00BE0E3D"/>
    <w:rsid w:val="00BE0F39"/>
    <w:rsid w:val="00BE0F7A"/>
    <w:rsid w:val="00BE10CB"/>
    <w:rsid w:val="00BE161C"/>
    <w:rsid w:val="00BE1911"/>
    <w:rsid w:val="00BE1924"/>
    <w:rsid w:val="00BE1B2F"/>
    <w:rsid w:val="00BE1B60"/>
    <w:rsid w:val="00BE272A"/>
    <w:rsid w:val="00BE2E7C"/>
    <w:rsid w:val="00BE31C1"/>
    <w:rsid w:val="00BE31CF"/>
    <w:rsid w:val="00BE3382"/>
    <w:rsid w:val="00BE3412"/>
    <w:rsid w:val="00BE34D7"/>
    <w:rsid w:val="00BE3507"/>
    <w:rsid w:val="00BE3530"/>
    <w:rsid w:val="00BE3627"/>
    <w:rsid w:val="00BE372A"/>
    <w:rsid w:val="00BE377D"/>
    <w:rsid w:val="00BE3A0A"/>
    <w:rsid w:val="00BE3A74"/>
    <w:rsid w:val="00BE3BDE"/>
    <w:rsid w:val="00BE3CB3"/>
    <w:rsid w:val="00BE3FA5"/>
    <w:rsid w:val="00BE413C"/>
    <w:rsid w:val="00BE45B3"/>
    <w:rsid w:val="00BE4605"/>
    <w:rsid w:val="00BE4665"/>
    <w:rsid w:val="00BE46E1"/>
    <w:rsid w:val="00BE47D5"/>
    <w:rsid w:val="00BE4876"/>
    <w:rsid w:val="00BE49D4"/>
    <w:rsid w:val="00BE4A84"/>
    <w:rsid w:val="00BE4B1F"/>
    <w:rsid w:val="00BE4B9C"/>
    <w:rsid w:val="00BE4FEA"/>
    <w:rsid w:val="00BE51E0"/>
    <w:rsid w:val="00BE52A0"/>
    <w:rsid w:val="00BE5751"/>
    <w:rsid w:val="00BE5A0A"/>
    <w:rsid w:val="00BE5B4B"/>
    <w:rsid w:val="00BE5BD7"/>
    <w:rsid w:val="00BE5C0A"/>
    <w:rsid w:val="00BE5F41"/>
    <w:rsid w:val="00BE5FEF"/>
    <w:rsid w:val="00BE6067"/>
    <w:rsid w:val="00BE630A"/>
    <w:rsid w:val="00BE6427"/>
    <w:rsid w:val="00BE6477"/>
    <w:rsid w:val="00BE648C"/>
    <w:rsid w:val="00BE6718"/>
    <w:rsid w:val="00BE678C"/>
    <w:rsid w:val="00BE6AC3"/>
    <w:rsid w:val="00BE6D33"/>
    <w:rsid w:val="00BE7356"/>
    <w:rsid w:val="00BE7418"/>
    <w:rsid w:val="00BE7429"/>
    <w:rsid w:val="00BE78D2"/>
    <w:rsid w:val="00BE7909"/>
    <w:rsid w:val="00BE7CAE"/>
    <w:rsid w:val="00BE7D59"/>
    <w:rsid w:val="00BE7DC3"/>
    <w:rsid w:val="00BE7E04"/>
    <w:rsid w:val="00BF00B2"/>
    <w:rsid w:val="00BF00EC"/>
    <w:rsid w:val="00BF013C"/>
    <w:rsid w:val="00BF019D"/>
    <w:rsid w:val="00BF047E"/>
    <w:rsid w:val="00BF04FC"/>
    <w:rsid w:val="00BF067D"/>
    <w:rsid w:val="00BF0939"/>
    <w:rsid w:val="00BF0A0C"/>
    <w:rsid w:val="00BF0A4C"/>
    <w:rsid w:val="00BF0C55"/>
    <w:rsid w:val="00BF0CCA"/>
    <w:rsid w:val="00BF0D89"/>
    <w:rsid w:val="00BF0EB1"/>
    <w:rsid w:val="00BF1005"/>
    <w:rsid w:val="00BF10C7"/>
    <w:rsid w:val="00BF13A8"/>
    <w:rsid w:val="00BF1521"/>
    <w:rsid w:val="00BF15FA"/>
    <w:rsid w:val="00BF1679"/>
    <w:rsid w:val="00BF19EC"/>
    <w:rsid w:val="00BF1B20"/>
    <w:rsid w:val="00BF1C3D"/>
    <w:rsid w:val="00BF1F9F"/>
    <w:rsid w:val="00BF2103"/>
    <w:rsid w:val="00BF23BC"/>
    <w:rsid w:val="00BF258A"/>
    <w:rsid w:val="00BF2591"/>
    <w:rsid w:val="00BF260F"/>
    <w:rsid w:val="00BF26E5"/>
    <w:rsid w:val="00BF27F7"/>
    <w:rsid w:val="00BF2A40"/>
    <w:rsid w:val="00BF2DA2"/>
    <w:rsid w:val="00BF2E1A"/>
    <w:rsid w:val="00BF2E23"/>
    <w:rsid w:val="00BF310C"/>
    <w:rsid w:val="00BF3369"/>
    <w:rsid w:val="00BF33BF"/>
    <w:rsid w:val="00BF364C"/>
    <w:rsid w:val="00BF37B6"/>
    <w:rsid w:val="00BF380D"/>
    <w:rsid w:val="00BF3829"/>
    <w:rsid w:val="00BF3A39"/>
    <w:rsid w:val="00BF3DAF"/>
    <w:rsid w:val="00BF3DD4"/>
    <w:rsid w:val="00BF3E22"/>
    <w:rsid w:val="00BF4062"/>
    <w:rsid w:val="00BF4124"/>
    <w:rsid w:val="00BF41BD"/>
    <w:rsid w:val="00BF41CD"/>
    <w:rsid w:val="00BF428B"/>
    <w:rsid w:val="00BF44AC"/>
    <w:rsid w:val="00BF4573"/>
    <w:rsid w:val="00BF4639"/>
    <w:rsid w:val="00BF473B"/>
    <w:rsid w:val="00BF47FA"/>
    <w:rsid w:val="00BF481F"/>
    <w:rsid w:val="00BF489B"/>
    <w:rsid w:val="00BF4C4B"/>
    <w:rsid w:val="00BF4D25"/>
    <w:rsid w:val="00BF4D41"/>
    <w:rsid w:val="00BF52A0"/>
    <w:rsid w:val="00BF5521"/>
    <w:rsid w:val="00BF552B"/>
    <w:rsid w:val="00BF55AB"/>
    <w:rsid w:val="00BF5621"/>
    <w:rsid w:val="00BF578B"/>
    <w:rsid w:val="00BF5880"/>
    <w:rsid w:val="00BF58AC"/>
    <w:rsid w:val="00BF58B7"/>
    <w:rsid w:val="00BF592D"/>
    <w:rsid w:val="00BF5A41"/>
    <w:rsid w:val="00BF5C92"/>
    <w:rsid w:val="00BF5D7F"/>
    <w:rsid w:val="00BF5F5A"/>
    <w:rsid w:val="00BF5FBF"/>
    <w:rsid w:val="00BF5FF6"/>
    <w:rsid w:val="00BF607A"/>
    <w:rsid w:val="00BF6221"/>
    <w:rsid w:val="00BF6321"/>
    <w:rsid w:val="00BF69A4"/>
    <w:rsid w:val="00BF6AC4"/>
    <w:rsid w:val="00BF6BC3"/>
    <w:rsid w:val="00BF6DA5"/>
    <w:rsid w:val="00BF6DEB"/>
    <w:rsid w:val="00BF6EC7"/>
    <w:rsid w:val="00BF6F94"/>
    <w:rsid w:val="00BF7051"/>
    <w:rsid w:val="00BF706C"/>
    <w:rsid w:val="00BF714E"/>
    <w:rsid w:val="00BF7530"/>
    <w:rsid w:val="00BF75BE"/>
    <w:rsid w:val="00BF76D3"/>
    <w:rsid w:val="00BF76F2"/>
    <w:rsid w:val="00BF7974"/>
    <w:rsid w:val="00BF79BF"/>
    <w:rsid w:val="00BF7CB4"/>
    <w:rsid w:val="00BF7CFD"/>
    <w:rsid w:val="00BF7D4C"/>
    <w:rsid w:val="00BF7ED6"/>
    <w:rsid w:val="00BF7EDC"/>
    <w:rsid w:val="00BF7F03"/>
    <w:rsid w:val="00C00180"/>
    <w:rsid w:val="00C0037C"/>
    <w:rsid w:val="00C005F7"/>
    <w:rsid w:val="00C007E7"/>
    <w:rsid w:val="00C007F0"/>
    <w:rsid w:val="00C008C8"/>
    <w:rsid w:val="00C0092C"/>
    <w:rsid w:val="00C00E76"/>
    <w:rsid w:val="00C01031"/>
    <w:rsid w:val="00C012D4"/>
    <w:rsid w:val="00C01367"/>
    <w:rsid w:val="00C01372"/>
    <w:rsid w:val="00C01455"/>
    <w:rsid w:val="00C01715"/>
    <w:rsid w:val="00C0198D"/>
    <w:rsid w:val="00C01B4E"/>
    <w:rsid w:val="00C01BC6"/>
    <w:rsid w:val="00C02379"/>
    <w:rsid w:val="00C0237F"/>
    <w:rsid w:val="00C02671"/>
    <w:rsid w:val="00C0282F"/>
    <w:rsid w:val="00C02A57"/>
    <w:rsid w:val="00C02B5A"/>
    <w:rsid w:val="00C02C4C"/>
    <w:rsid w:val="00C02CD3"/>
    <w:rsid w:val="00C0311F"/>
    <w:rsid w:val="00C03382"/>
    <w:rsid w:val="00C033E3"/>
    <w:rsid w:val="00C036F1"/>
    <w:rsid w:val="00C03948"/>
    <w:rsid w:val="00C03B2D"/>
    <w:rsid w:val="00C03D5F"/>
    <w:rsid w:val="00C03D61"/>
    <w:rsid w:val="00C03DD1"/>
    <w:rsid w:val="00C03F4F"/>
    <w:rsid w:val="00C040D4"/>
    <w:rsid w:val="00C04287"/>
    <w:rsid w:val="00C0432D"/>
    <w:rsid w:val="00C045FD"/>
    <w:rsid w:val="00C0487E"/>
    <w:rsid w:val="00C04A99"/>
    <w:rsid w:val="00C04EA1"/>
    <w:rsid w:val="00C04FFA"/>
    <w:rsid w:val="00C05494"/>
    <w:rsid w:val="00C054E1"/>
    <w:rsid w:val="00C055C7"/>
    <w:rsid w:val="00C0560C"/>
    <w:rsid w:val="00C058F6"/>
    <w:rsid w:val="00C05943"/>
    <w:rsid w:val="00C05B95"/>
    <w:rsid w:val="00C05C2B"/>
    <w:rsid w:val="00C05DE8"/>
    <w:rsid w:val="00C05E27"/>
    <w:rsid w:val="00C05EDC"/>
    <w:rsid w:val="00C05F35"/>
    <w:rsid w:val="00C05F3C"/>
    <w:rsid w:val="00C06188"/>
    <w:rsid w:val="00C066AE"/>
    <w:rsid w:val="00C06B48"/>
    <w:rsid w:val="00C06FDA"/>
    <w:rsid w:val="00C077DA"/>
    <w:rsid w:val="00C07AAE"/>
    <w:rsid w:val="00C07BB5"/>
    <w:rsid w:val="00C07C12"/>
    <w:rsid w:val="00C10068"/>
    <w:rsid w:val="00C10342"/>
    <w:rsid w:val="00C104B0"/>
    <w:rsid w:val="00C10585"/>
    <w:rsid w:val="00C1076F"/>
    <w:rsid w:val="00C108BE"/>
    <w:rsid w:val="00C10A4B"/>
    <w:rsid w:val="00C10A9B"/>
    <w:rsid w:val="00C10B15"/>
    <w:rsid w:val="00C10E75"/>
    <w:rsid w:val="00C1117A"/>
    <w:rsid w:val="00C11340"/>
    <w:rsid w:val="00C1137D"/>
    <w:rsid w:val="00C113CE"/>
    <w:rsid w:val="00C1143B"/>
    <w:rsid w:val="00C116CF"/>
    <w:rsid w:val="00C11713"/>
    <w:rsid w:val="00C1172C"/>
    <w:rsid w:val="00C11744"/>
    <w:rsid w:val="00C117AA"/>
    <w:rsid w:val="00C11AC7"/>
    <w:rsid w:val="00C11C58"/>
    <w:rsid w:val="00C11D45"/>
    <w:rsid w:val="00C11DA7"/>
    <w:rsid w:val="00C11E50"/>
    <w:rsid w:val="00C11EB9"/>
    <w:rsid w:val="00C11EC8"/>
    <w:rsid w:val="00C11FA0"/>
    <w:rsid w:val="00C1208D"/>
    <w:rsid w:val="00C122B8"/>
    <w:rsid w:val="00C124D2"/>
    <w:rsid w:val="00C1252A"/>
    <w:rsid w:val="00C1258C"/>
    <w:rsid w:val="00C125D2"/>
    <w:rsid w:val="00C125F2"/>
    <w:rsid w:val="00C1276D"/>
    <w:rsid w:val="00C12828"/>
    <w:rsid w:val="00C1283E"/>
    <w:rsid w:val="00C12849"/>
    <w:rsid w:val="00C12B52"/>
    <w:rsid w:val="00C12C61"/>
    <w:rsid w:val="00C12F16"/>
    <w:rsid w:val="00C13492"/>
    <w:rsid w:val="00C13507"/>
    <w:rsid w:val="00C139E7"/>
    <w:rsid w:val="00C13FF9"/>
    <w:rsid w:val="00C14017"/>
    <w:rsid w:val="00C14154"/>
    <w:rsid w:val="00C141E1"/>
    <w:rsid w:val="00C14266"/>
    <w:rsid w:val="00C1443B"/>
    <w:rsid w:val="00C14476"/>
    <w:rsid w:val="00C146C2"/>
    <w:rsid w:val="00C148F5"/>
    <w:rsid w:val="00C14B99"/>
    <w:rsid w:val="00C14CF0"/>
    <w:rsid w:val="00C14EE8"/>
    <w:rsid w:val="00C15124"/>
    <w:rsid w:val="00C151FB"/>
    <w:rsid w:val="00C152B6"/>
    <w:rsid w:val="00C1552E"/>
    <w:rsid w:val="00C1589F"/>
    <w:rsid w:val="00C158EF"/>
    <w:rsid w:val="00C15AB1"/>
    <w:rsid w:val="00C15ABE"/>
    <w:rsid w:val="00C15B40"/>
    <w:rsid w:val="00C15D39"/>
    <w:rsid w:val="00C15E26"/>
    <w:rsid w:val="00C15F28"/>
    <w:rsid w:val="00C15F7F"/>
    <w:rsid w:val="00C16022"/>
    <w:rsid w:val="00C160BF"/>
    <w:rsid w:val="00C160C2"/>
    <w:rsid w:val="00C160EC"/>
    <w:rsid w:val="00C160F5"/>
    <w:rsid w:val="00C162EE"/>
    <w:rsid w:val="00C16400"/>
    <w:rsid w:val="00C1646F"/>
    <w:rsid w:val="00C164F3"/>
    <w:rsid w:val="00C166AA"/>
    <w:rsid w:val="00C16AC5"/>
    <w:rsid w:val="00C16CFD"/>
    <w:rsid w:val="00C16E09"/>
    <w:rsid w:val="00C16F2C"/>
    <w:rsid w:val="00C17021"/>
    <w:rsid w:val="00C17048"/>
    <w:rsid w:val="00C1706D"/>
    <w:rsid w:val="00C172C1"/>
    <w:rsid w:val="00C17372"/>
    <w:rsid w:val="00C176E7"/>
    <w:rsid w:val="00C17D51"/>
    <w:rsid w:val="00C17EB7"/>
    <w:rsid w:val="00C17F22"/>
    <w:rsid w:val="00C201ED"/>
    <w:rsid w:val="00C202C1"/>
    <w:rsid w:val="00C2061A"/>
    <w:rsid w:val="00C20626"/>
    <w:rsid w:val="00C2083F"/>
    <w:rsid w:val="00C209D2"/>
    <w:rsid w:val="00C20BE3"/>
    <w:rsid w:val="00C20CF3"/>
    <w:rsid w:val="00C20CFF"/>
    <w:rsid w:val="00C211EA"/>
    <w:rsid w:val="00C2158B"/>
    <w:rsid w:val="00C2189E"/>
    <w:rsid w:val="00C21993"/>
    <w:rsid w:val="00C21B01"/>
    <w:rsid w:val="00C21B3D"/>
    <w:rsid w:val="00C21CC1"/>
    <w:rsid w:val="00C21D75"/>
    <w:rsid w:val="00C21E13"/>
    <w:rsid w:val="00C21ED4"/>
    <w:rsid w:val="00C221C8"/>
    <w:rsid w:val="00C22D4D"/>
    <w:rsid w:val="00C22DC7"/>
    <w:rsid w:val="00C22E68"/>
    <w:rsid w:val="00C231CE"/>
    <w:rsid w:val="00C2322F"/>
    <w:rsid w:val="00C2338B"/>
    <w:rsid w:val="00C233C6"/>
    <w:rsid w:val="00C2366B"/>
    <w:rsid w:val="00C237D8"/>
    <w:rsid w:val="00C23BEC"/>
    <w:rsid w:val="00C23C17"/>
    <w:rsid w:val="00C23D0E"/>
    <w:rsid w:val="00C23ED4"/>
    <w:rsid w:val="00C246E0"/>
    <w:rsid w:val="00C24819"/>
    <w:rsid w:val="00C24DFD"/>
    <w:rsid w:val="00C24EA7"/>
    <w:rsid w:val="00C24F18"/>
    <w:rsid w:val="00C2531E"/>
    <w:rsid w:val="00C25631"/>
    <w:rsid w:val="00C256C4"/>
    <w:rsid w:val="00C2571D"/>
    <w:rsid w:val="00C25AFB"/>
    <w:rsid w:val="00C25F4C"/>
    <w:rsid w:val="00C26172"/>
    <w:rsid w:val="00C26229"/>
    <w:rsid w:val="00C263FD"/>
    <w:rsid w:val="00C265CE"/>
    <w:rsid w:val="00C26A39"/>
    <w:rsid w:val="00C26B13"/>
    <w:rsid w:val="00C26BE1"/>
    <w:rsid w:val="00C26D7D"/>
    <w:rsid w:val="00C2742B"/>
    <w:rsid w:val="00C27541"/>
    <w:rsid w:val="00C2798C"/>
    <w:rsid w:val="00C27A3F"/>
    <w:rsid w:val="00C27ABB"/>
    <w:rsid w:val="00C27B0B"/>
    <w:rsid w:val="00C27B80"/>
    <w:rsid w:val="00C27C22"/>
    <w:rsid w:val="00C27CD5"/>
    <w:rsid w:val="00C3013D"/>
    <w:rsid w:val="00C307A5"/>
    <w:rsid w:val="00C3121F"/>
    <w:rsid w:val="00C3143B"/>
    <w:rsid w:val="00C315BF"/>
    <w:rsid w:val="00C315CA"/>
    <w:rsid w:val="00C31690"/>
    <w:rsid w:val="00C319DB"/>
    <w:rsid w:val="00C31A45"/>
    <w:rsid w:val="00C31C41"/>
    <w:rsid w:val="00C321D2"/>
    <w:rsid w:val="00C32319"/>
    <w:rsid w:val="00C32427"/>
    <w:rsid w:val="00C32439"/>
    <w:rsid w:val="00C324AB"/>
    <w:rsid w:val="00C325E8"/>
    <w:rsid w:val="00C32C3A"/>
    <w:rsid w:val="00C32C49"/>
    <w:rsid w:val="00C32C52"/>
    <w:rsid w:val="00C32F91"/>
    <w:rsid w:val="00C33568"/>
    <w:rsid w:val="00C337B6"/>
    <w:rsid w:val="00C339BC"/>
    <w:rsid w:val="00C33AD0"/>
    <w:rsid w:val="00C33D47"/>
    <w:rsid w:val="00C33FFD"/>
    <w:rsid w:val="00C34154"/>
    <w:rsid w:val="00C345F3"/>
    <w:rsid w:val="00C348FD"/>
    <w:rsid w:val="00C34BA4"/>
    <w:rsid w:val="00C34F9B"/>
    <w:rsid w:val="00C352B4"/>
    <w:rsid w:val="00C352FF"/>
    <w:rsid w:val="00C3567B"/>
    <w:rsid w:val="00C356DA"/>
    <w:rsid w:val="00C35AA0"/>
    <w:rsid w:val="00C35C78"/>
    <w:rsid w:val="00C36064"/>
    <w:rsid w:val="00C36081"/>
    <w:rsid w:val="00C36110"/>
    <w:rsid w:val="00C3622F"/>
    <w:rsid w:val="00C36295"/>
    <w:rsid w:val="00C3636E"/>
    <w:rsid w:val="00C366B5"/>
    <w:rsid w:val="00C367F1"/>
    <w:rsid w:val="00C36DCA"/>
    <w:rsid w:val="00C36DE5"/>
    <w:rsid w:val="00C36F8C"/>
    <w:rsid w:val="00C37097"/>
    <w:rsid w:val="00C37257"/>
    <w:rsid w:val="00C37550"/>
    <w:rsid w:val="00C375D6"/>
    <w:rsid w:val="00C377EB"/>
    <w:rsid w:val="00C37A94"/>
    <w:rsid w:val="00C37B19"/>
    <w:rsid w:val="00C37B79"/>
    <w:rsid w:val="00C37CC5"/>
    <w:rsid w:val="00C37D95"/>
    <w:rsid w:val="00C405F9"/>
    <w:rsid w:val="00C40712"/>
    <w:rsid w:val="00C407E2"/>
    <w:rsid w:val="00C40AC4"/>
    <w:rsid w:val="00C40BCD"/>
    <w:rsid w:val="00C40D17"/>
    <w:rsid w:val="00C4104C"/>
    <w:rsid w:val="00C41158"/>
    <w:rsid w:val="00C41194"/>
    <w:rsid w:val="00C41374"/>
    <w:rsid w:val="00C417AA"/>
    <w:rsid w:val="00C41A1B"/>
    <w:rsid w:val="00C41A9C"/>
    <w:rsid w:val="00C41D16"/>
    <w:rsid w:val="00C41DAC"/>
    <w:rsid w:val="00C41DFE"/>
    <w:rsid w:val="00C420E3"/>
    <w:rsid w:val="00C42175"/>
    <w:rsid w:val="00C42182"/>
    <w:rsid w:val="00C42269"/>
    <w:rsid w:val="00C422A9"/>
    <w:rsid w:val="00C422DE"/>
    <w:rsid w:val="00C422F7"/>
    <w:rsid w:val="00C424B1"/>
    <w:rsid w:val="00C42510"/>
    <w:rsid w:val="00C425F3"/>
    <w:rsid w:val="00C42828"/>
    <w:rsid w:val="00C42841"/>
    <w:rsid w:val="00C4284D"/>
    <w:rsid w:val="00C42860"/>
    <w:rsid w:val="00C429AA"/>
    <w:rsid w:val="00C429F5"/>
    <w:rsid w:val="00C42D5A"/>
    <w:rsid w:val="00C430F7"/>
    <w:rsid w:val="00C43526"/>
    <w:rsid w:val="00C437F6"/>
    <w:rsid w:val="00C43869"/>
    <w:rsid w:val="00C43C03"/>
    <w:rsid w:val="00C43E5C"/>
    <w:rsid w:val="00C43E98"/>
    <w:rsid w:val="00C43EEF"/>
    <w:rsid w:val="00C43F8F"/>
    <w:rsid w:val="00C43FA1"/>
    <w:rsid w:val="00C44160"/>
    <w:rsid w:val="00C441D9"/>
    <w:rsid w:val="00C445EC"/>
    <w:rsid w:val="00C4462C"/>
    <w:rsid w:val="00C44680"/>
    <w:rsid w:val="00C4479E"/>
    <w:rsid w:val="00C44973"/>
    <w:rsid w:val="00C449B3"/>
    <w:rsid w:val="00C44F47"/>
    <w:rsid w:val="00C450BE"/>
    <w:rsid w:val="00C45190"/>
    <w:rsid w:val="00C4521A"/>
    <w:rsid w:val="00C45294"/>
    <w:rsid w:val="00C4544F"/>
    <w:rsid w:val="00C45684"/>
    <w:rsid w:val="00C45884"/>
    <w:rsid w:val="00C45A24"/>
    <w:rsid w:val="00C45ACF"/>
    <w:rsid w:val="00C45FF4"/>
    <w:rsid w:val="00C461E7"/>
    <w:rsid w:val="00C4646E"/>
    <w:rsid w:val="00C4648D"/>
    <w:rsid w:val="00C46837"/>
    <w:rsid w:val="00C46C32"/>
    <w:rsid w:val="00C46CB4"/>
    <w:rsid w:val="00C46F4E"/>
    <w:rsid w:val="00C47056"/>
    <w:rsid w:val="00C471CC"/>
    <w:rsid w:val="00C473CA"/>
    <w:rsid w:val="00C47449"/>
    <w:rsid w:val="00C474F4"/>
    <w:rsid w:val="00C47531"/>
    <w:rsid w:val="00C476B7"/>
    <w:rsid w:val="00C478DB"/>
    <w:rsid w:val="00C47A9A"/>
    <w:rsid w:val="00C47B38"/>
    <w:rsid w:val="00C50315"/>
    <w:rsid w:val="00C50369"/>
    <w:rsid w:val="00C5040B"/>
    <w:rsid w:val="00C504CE"/>
    <w:rsid w:val="00C50538"/>
    <w:rsid w:val="00C506E1"/>
    <w:rsid w:val="00C509E1"/>
    <w:rsid w:val="00C50A5F"/>
    <w:rsid w:val="00C50D85"/>
    <w:rsid w:val="00C513AF"/>
    <w:rsid w:val="00C51C7A"/>
    <w:rsid w:val="00C51EF0"/>
    <w:rsid w:val="00C51FCB"/>
    <w:rsid w:val="00C51FEB"/>
    <w:rsid w:val="00C52231"/>
    <w:rsid w:val="00C52502"/>
    <w:rsid w:val="00C5256D"/>
    <w:rsid w:val="00C528D2"/>
    <w:rsid w:val="00C52CD8"/>
    <w:rsid w:val="00C5305E"/>
    <w:rsid w:val="00C530DC"/>
    <w:rsid w:val="00C53145"/>
    <w:rsid w:val="00C53211"/>
    <w:rsid w:val="00C5329B"/>
    <w:rsid w:val="00C534F3"/>
    <w:rsid w:val="00C536EE"/>
    <w:rsid w:val="00C53A64"/>
    <w:rsid w:val="00C53E97"/>
    <w:rsid w:val="00C54013"/>
    <w:rsid w:val="00C5484F"/>
    <w:rsid w:val="00C54A2C"/>
    <w:rsid w:val="00C54BC3"/>
    <w:rsid w:val="00C54F44"/>
    <w:rsid w:val="00C5504E"/>
    <w:rsid w:val="00C55077"/>
    <w:rsid w:val="00C5544A"/>
    <w:rsid w:val="00C55578"/>
    <w:rsid w:val="00C55761"/>
    <w:rsid w:val="00C557FE"/>
    <w:rsid w:val="00C55950"/>
    <w:rsid w:val="00C55A4E"/>
    <w:rsid w:val="00C55A84"/>
    <w:rsid w:val="00C55AAA"/>
    <w:rsid w:val="00C55BC8"/>
    <w:rsid w:val="00C55CD7"/>
    <w:rsid w:val="00C55D9A"/>
    <w:rsid w:val="00C55E30"/>
    <w:rsid w:val="00C55E66"/>
    <w:rsid w:val="00C55F61"/>
    <w:rsid w:val="00C56063"/>
    <w:rsid w:val="00C56214"/>
    <w:rsid w:val="00C5655C"/>
    <w:rsid w:val="00C565B0"/>
    <w:rsid w:val="00C5679C"/>
    <w:rsid w:val="00C56B05"/>
    <w:rsid w:val="00C56DB8"/>
    <w:rsid w:val="00C570B2"/>
    <w:rsid w:val="00C57184"/>
    <w:rsid w:val="00C57721"/>
    <w:rsid w:val="00C57856"/>
    <w:rsid w:val="00C57A5A"/>
    <w:rsid w:val="00C57A6E"/>
    <w:rsid w:val="00C57ADB"/>
    <w:rsid w:val="00C57B9C"/>
    <w:rsid w:val="00C57F25"/>
    <w:rsid w:val="00C600A0"/>
    <w:rsid w:val="00C602CE"/>
    <w:rsid w:val="00C6044E"/>
    <w:rsid w:val="00C60532"/>
    <w:rsid w:val="00C60582"/>
    <w:rsid w:val="00C60792"/>
    <w:rsid w:val="00C60840"/>
    <w:rsid w:val="00C60898"/>
    <w:rsid w:val="00C60A86"/>
    <w:rsid w:val="00C60E0E"/>
    <w:rsid w:val="00C6108C"/>
    <w:rsid w:val="00C61096"/>
    <w:rsid w:val="00C610C8"/>
    <w:rsid w:val="00C6115E"/>
    <w:rsid w:val="00C613BB"/>
    <w:rsid w:val="00C614D6"/>
    <w:rsid w:val="00C615C7"/>
    <w:rsid w:val="00C61C7C"/>
    <w:rsid w:val="00C61E07"/>
    <w:rsid w:val="00C61E64"/>
    <w:rsid w:val="00C61EB6"/>
    <w:rsid w:val="00C61EBF"/>
    <w:rsid w:val="00C61F37"/>
    <w:rsid w:val="00C6217F"/>
    <w:rsid w:val="00C62198"/>
    <w:rsid w:val="00C622D5"/>
    <w:rsid w:val="00C62576"/>
    <w:rsid w:val="00C62A34"/>
    <w:rsid w:val="00C62A7B"/>
    <w:rsid w:val="00C62B58"/>
    <w:rsid w:val="00C62BB5"/>
    <w:rsid w:val="00C62C6E"/>
    <w:rsid w:val="00C62DC7"/>
    <w:rsid w:val="00C62FF2"/>
    <w:rsid w:val="00C63014"/>
    <w:rsid w:val="00C6324E"/>
    <w:rsid w:val="00C6342D"/>
    <w:rsid w:val="00C63546"/>
    <w:rsid w:val="00C63592"/>
    <w:rsid w:val="00C63677"/>
    <w:rsid w:val="00C636B2"/>
    <w:rsid w:val="00C636C9"/>
    <w:rsid w:val="00C636E5"/>
    <w:rsid w:val="00C6375E"/>
    <w:rsid w:val="00C638A9"/>
    <w:rsid w:val="00C63A71"/>
    <w:rsid w:val="00C63B9A"/>
    <w:rsid w:val="00C63BB4"/>
    <w:rsid w:val="00C63C11"/>
    <w:rsid w:val="00C63DB0"/>
    <w:rsid w:val="00C63E39"/>
    <w:rsid w:val="00C63F49"/>
    <w:rsid w:val="00C6409D"/>
    <w:rsid w:val="00C64230"/>
    <w:rsid w:val="00C6438D"/>
    <w:rsid w:val="00C64397"/>
    <w:rsid w:val="00C6450D"/>
    <w:rsid w:val="00C6457D"/>
    <w:rsid w:val="00C64580"/>
    <w:rsid w:val="00C64641"/>
    <w:rsid w:val="00C64A2E"/>
    <w:rsid w:val="00C64C38"/>
    <w:rsid w:val="00C64CE7"/>
    <w:rsid w:val="00C64E5B"/>
    <w:rsid w:val="00C651CB"/>
    <w:rsid w:val="00C651E3"/>
    <w:rsid w:val="00C6539F"/>
    <w:rsid w:val="00C658E7"/>
    <w:rsid w:val="00C659DD"/>
    <w:rsid w:val="00C65ACD"/>
    <w:rsid w:val="00C65AF5"/>
    <w:rsid w:val="00C65D19"/>
    <w:rsid w:val="00C65D82"/>
    <w:rsid w:val="00C65E84"/>
    <w:rsid w:val="00C6619E"/>
    <w:rsid w:val="00C662EE"/>
    <w:rsid w:val="00C66814"/>
    <w:rsid w:val="00C66A13"/>
    <w:rsid w:val="00C66A67"/>
    <w:rsid w:val="00C66A9C"/>
    <w:rsid w:val="00C66CA2"/>
    <w:rsid w:val="00C6705B"/>
    <w:rsid w:val="00C6733A"/>
    <w:rsid w:val="00C67716"/>
    <w:rsid w:val="00C677C5"/>
    <w:rsid w:val="00C67868"/>
    <w:rsid w:val="00C6787F"/>
    <w:rsid w:val="00C6791C"/>
    <w:rsid w:val="00C67ACD"/>
    <w:rsid w:val="00C67B1E"/>
    <w:rsid w:val="00C67B9F"/>
    <w:rsid w:val="00C67BFC"/>
    <w:rsid w:val="00C67E26"/>
    <w:rsid w:val="00C700DE"/>
    <w:rsid w:val="00C70296"/>
    <w:rsid w:val="00C702B9"/>
    <w:rsid w:val="00C708F1"/>
    <w:rsid w:val="00C70900"/>
    <w:rsid w:val="00C709A6"/>
    <w:rsid w:val="00C70A04"/>
    <w:rsid w:val="00C70AB7"/>
    <w:rsid w:val="00C70B4F"/>
    <w:rsid w:val="00C70BCE"/>
    <w:rsid w:val="00C70D07"/>
    <w:rsid w:val="00C70F9C"/>
    <w:rsid w:val="00C7126B"/>
    <w:rsid w:val="00C71628"/>
    <w:rsid w:val="00C716DB"/>
    <w:rsid w:val="00C71837"/>
    <w:rsid w:val="00C71A7B"/>
    <w:rsid w:val="00C71C9B"/>
    <w:rsid w:val="00C71CAC"/>
    <w:rsid w:val="00C7219D"/>
    <w:rsid w:val="00C723A9"/>
    <w:rsid w:val="00C726D3"/>
    <w:rsid w:val="00C72BF6"/>
    <w:rsid w:val="00C72C5F"/>
    <w:rsid w:val="00C72F18"/>
    <w:rsid w:val="00C7322D"/>
    <w:rsid w:val="00C7325F"/>
    <w:rsid w:val="00C7342B"/>
    <w:rsid w:val="00C7343D"/>
    <w:rsid w:val="00C736E6"/>
    <w:rsid w:val="00C73701"/>
    <w:rsid w:val="00C7370B"/>
    <w:rsid w:val="00C73782"/>
    <w:rsid w:val="00C7383F"/>
    <w:rsid w:val="00C738BA"/>
    <w:rsid w:val="00C73943"/>
    <w:rsid w:val="00C739A8"/>
    <w:rsid w:val="00C739D7"/>
    <w:rsid w:val="00C73AC7"/>
    <w:rsid w:val="00C73ADD"/>
    <w:rsid w:val="00C73D41"/>
    <w:rsid w:val="00C73E76"/>
    <w:rsid w:val="00C73FB8"/>
    <w:rsid w:val="00C7409E"/>
    <w:rsid w:val="00C74230"/>
    <w:rsid w:val="00C7437D"/>
    <w:rsid w:val="00C743F2"/>
    <w:rsid w:val="00C7471B"/>
    <w:rsid w:val="00C7472E"/>
    <w:rsid w:val="00C74B12"/>
    <w:rsid w:val="00C74C47"/>
    <w:rsid w:val="00C74E16"/>
    <w:rsid w:val="00C75033"/>
    <w:rsid w:val="00C75048"/>
    <w:rsid w:val="00C75184"/>
    <w:rsid w:val="00C75197"/>
    <w:rsid w:val="00C751D5"/>
    <w:rsid w:val="00C75302"/>
    <w:rsid w:val="00C7542E"/>
    <w:rsid w:val="00C75571"/>
    <w:rsid w:val="00C7559B"/>
    <w:rsid w:val="00C75630"/>
    <w:rsid w:val="00C75723"/>
    <w:rsid w:val="00C758E2"/>
    <w:rsid w:val="00C759B3"/>
    <w:rsid w:val="00C75A70"/>
    <w:rsid w:val="00C75B53"/>
    <w:rsid w:val="00C75C2E"/>
    <w:rsid w:val="00C75F10"/>
    <w:rsid w:val="00C75F70"/>
    <w:rsid w:val="00C75FB3"/>
    <w:rsid w:val="00C75FD2"/>
    <w:rsid w:val="00C760E1"/>
    <w:rsid w:val="00C76437"/>
    <w:rsid w:val="00C765CB"/>
    <w:rsid w:val="00C7674A"/>
    <w:rsid w:val="00C76911"/>
    <w:rsid w:val="00C76A40"/>
    <w:rsid w:val="00C76C8F"/>
    <w:rsid w:val="00C76DB3"/>
    <w:rsid w:val="00C76E46"/>
    <w:rsid w:val="00C77146"/>
    <w:rsid w:val="00C77404"/>
    <w:rsid w:val="00C77459"/>
    <w:rsid w:val="00C774C9"/>
    <w:rsid w:val="00C77508"/>
    <w:rsid w:val="00C7778F"/>
    <w:rsid w:val="00C777CB"/>
    <w:rsid w:val="00C7782F"/>
    <w:rsid w:val="00C7786E"/>
    <w:rsid w:val="00C779DC"/>
    <w:rsid w:val="00C779FA"/>
    <w:rsid w:val="00C77A4D"/>
    <w:rsid w:val="00C77A91"/>
    <w:rsid w:val="00C77AA7"/>
    <w:rsid w:val="00C77DCE"/>
    <w:rsid w:val="00C77E36"/>
    <w:rsid w:val="00C77F9F"/>
    <w:rsid w:val="00C8009C"/>
    <w:rsid w:val="00C800BD"/>
    <w:rsid w:val="00C804CF"/>
    <w:rsid w:val="00C804FB"/>
    <w:rsid w:val="00C805BD"/>
    <w:rsid w:val="00C80924"/>
    <w:rsid w:val="00C80989"/>
    <w:rsid w:val="00C8098A"/>
    <w:rsid w:val="00C8118C"/>
    <w:rsid w:val="00C811A2"/>
    <w:rsid w:val="00C8124A"/>
    <w:rsid w:val="00C8125B"/>
    <w:rsid w:val="00C81294"/>
    <w:rsid w:val="00C81599"/>
    <w:rsid w:val="00C815A0"/>
    <w:rsid w:val="00C81C0B"/>
    <w:rsid w:val="00C81C1E"/>
    <w:rsid w:val="00C81CEA"/>
    <w:rsid w:val="00C81F5C"/>
    <w:rsid w:val="00C81FB4"/>
    <w:rsid w:val="00C82501"/>
    <w:rsid w:val="00C82636"/>
    <w:rsid w:val="00C826A9"/>
    <w:rsid w:val="00C826FC"/>
    <w:rsid w:val="00C82913"/>
    <w:rsid w:val="00C82A78"/>
    <w:rsid w:val="00C82BF6"/>
    <w:rsid w:val="00C82D3B"/>
    <w:rsid w:val="00C82E3F"/>
    <w:rsid w:val="00C8303A"/>
    <w:rsid w:val="00C83076"/>
    <w:rsid w:val="00C83151"/>
    <w:rsid w:val="00C831D0"/>
    <w:rsid w:val="00C83254"/>
    <w:rsid w:val="00C8327F"/>
    <w:rsid w:val="00C83458"/>
    <w:rsid w:val="00C83656"/>
    <w:rsid w:val="00C83851"/>
    <w:rsid w:val="00C83B39"/>
    <w:rsid w:val="00C83D2B"/>
    <w:rsid w:val="00C83D4F"/>
    <w:rsid w:val="00C83EEE"/>
    <w:rsid w:val="00C83F87"/>
    <w:rsid w:val="00C84067"/>
    <w:rsid w:val="00C84193"/>
    <w:rsid w:val="00C8430B"/>
    <w:rsid w:val="00C84316"/>
    <w:rsid w:val="00C843AA"/>
    <w:rsid w:val="00C84552"/>
    <w:rsid w:val="00C845DB"/>
    <w:rsid w:val="00C84771"/>
    <w:rsid w:val="00C8497B"/>
    <w:rsid w:val="00C84A4A"/>
    <w:rsid w:val="00C84D59"/>
    <w:rsid w:val="00C84DF9"/>
    <w:rsid w:val="00C850DF"/>
    <w:rsid w:val="00C85314"/>
    <w:rsid w:val="00C85450"/>
    <w:rsid w:val="00C854DA"/>
    <w:rsid w:val="00C855B3"/>
    <w:rsid w:val="00C858A6"/>
    <w:rsid w:val="00C85A42"/>
    <w:rsid w:val="00C85AC0"/>
    <w:rsid w:val="00C85ED8"/>
    <w:rsid w:val="00C86228"/>
    <w:rsid w:val="00C86313"/>
    <w:rsid w:val="00C8642D"/>
    <w:rsid w:val="00C864D5"/>
    <w:rsid w:val="00C8663C"/>
    <w:rsid w:val="00C86678"/>
    <w:rsid w:val="00C867F4"/>
    <w:rsid w:val="00C86AD1"/>
    <w:rsid w:val="00C86BC5"/>
    <w:rsid w:val="00C86D67"/>
    <w:rsid w:val="00C87228"/>
    <w:rsid w:val="00C87430"/>
    <w:rsid w:val="00C87660"/>
    <w:rsid w:val="00C8769F"/>
    <w:rsid w:val="00C876B4"/>
    <w:rsid w:val="00C87702"/>
    <w:rsid w:val="00C87845"/>
    <w:rsid w:val="00C87ACE"/>
    <w:rsid w:val="00C87BAC"/>
    <w:rsid w:val="00C87CEC"/>
    <w:rsid w:val="00C87DAC"/>
    <w:rsid w:val="00C87DC6"/>
    <w:rsid w:val="00C87EBD"/>
    <w:rsid w:val="00C87F7B"/>
    <w:rsid w:val="00C90118"/>
    <w:rsid w:val="00C901C7"/>
    <w:rsid w:val="00C902E1"/>
    <w:rsid w:val="00C903BC"/>
    <w:rsid w:val="00C90416"/>
    <w:rsid w:val="00C9070B"/>
    <w:rsid w:val="00C90899"/>
    <w:rsid w:val="00C90D6E"/>
    <w:rsid w:val="00C91065"/>
    <w:rsid w:val="00C9114A"/>
    <w:rsid w:val="00C91163"/>
    <w:rsid w:val="00C913EE"/>
    <w:rsid w:val="00C9162B"/>
    <w:rsid w:val="00C91699"/>
    <w:rsid w:val="00C92138"/>
    <w:rsid w:val="00C923B2"/>
    <w:rsid w:val="00C9259A"/>
    <w:rsid w:val="00C92606"/>
    <w:rsid w:val="00C927B9"/>
    <w:rsid w:val="00C92805"/>
    <w:rsid w:val="00C92899"/>
    <w:rsid w:val="00C92CC7"/>
    <w:rsid w:val="00C92E5C"/>
    <w:rsid w:val="00C93024"/>
    <w:rsid w:val="00C9309C"/>
    <w:rsid w:val="00C930A0"/>
    <w:rsid w:val="00C930BA"/>
    <w:rsid w:val="00C9328D"/>
    <w:rsid w:val="00C93360"/>
    <w:rsid w:val="00C9346A"/>
    <w:rsid w:val="00C934C7"/>
    <w:rsid w:val="00C935A9"/>
    <w:rsid w:val="00C9362C"/>
    <w:rsid w:val="00C93815"/>
    <w:rsid w:val="00C9383D"/>
    <w:rsid w:val="00C9394B"/>
    <w:rsid w:val="00C9398B"/>
    <w:rsid w:val="00C9398E"/>
    <w:rsid w:val="00C93B66"/>
    <w:rsid w:val="00C93B76"/>
    <w:rsid w:val="00C93C89"/>
    <w:rsid w:val="00C93E27"/>
    <w:rsid w:val="00C93E45"/>
    <w:rsid w:val="00C9417E"/>
    <w:rsid w:val="00C943E5"/>
    <w:rsid w:val="00C946BB"/>
    <w:rsid w:val="00C9477F"/>
    <w:rsid w:val="00C948BC"/>
    <w:rsid w:val="00C9490E"/>
    <w:rsid w:val="00C94A2B"/>
    <w:rsid w:val="00C94B1E"/>
    <w:rsid w:val="00C94BE7"/>
    <w:rsid w:val="00C94DB2"/>
    <w:rsid w:val="00C94E98"/>
    <w:rsid w:val="00C95181"/>
    <w:rsid w:val="00C95190"/>
    <w:rsid w:val="00C95713"/>
    <w:rsid w:val="00C957D2"/>
    <w:rsid w:val="00C95838"/>
    <w:rsid w:val="00C95C91"/>
    <w:rsid w:val="00C95CAD"/>
    <w:rsid w:val="00C95D6A"/>
    <w:rsid w:val="00C96070"/>
    <w:rsid w:val="00C960D9"/>
    <w:rsid w:val="00C96370"/>
    <w:rsid w:val="00C96416"/>
    <w:rsid w:val="00C964EB"/>
    <w:rsid w:val="00C96927"/>
    <w:rsid w:val="00C96975"/>
    <w:rsid w:val="00C96BA1"/>
    <w:rsid w:val="00C96C99"/>
    <w:rsid w:val="00C9704A"/>
    <w:rsid w:val="00C973B4"/>
    <w:rsid w:val="00C974AB"/>
    <w:rsid w:val="00C974E1"/>
    <w:rsid w:val="00C974EE"/>
    <w:rsid w:val="00C975ED"/>
    <w:rsid w:val="00C9763F"/>
    <w:rsid w:val="00C9770A"/>
    <w:rsid w:val="00C979CC"/>
    <w:rsid w:val="00C97AE9"/>
    <w:rsid w:val="00C97E10"/>
    <w:rsid w:val="00C97EB2"/>
    <w:rsid w:val="00C97EB6"/>
    <w:rsid w:val="00C97F65"/>
    <w:rsid w:val="00CA0251"/>
    <w:rsid w:val="00CA02E8"/>
    <w:rsid w:val="00CA02F5"/>
    <w:rsid w:val="00CA04BB"/>
    <w:rsid w:val="00CA0600"/>
    <w:rsid w:val="00CA0655"/>
    <w:rsid w:val="00CA06A8"/>
    <w:rsid w:val="00CA071A"/>
    <w:rsid w:val="00CA0958"/>
    <w:rsid w:val="00CA0B5D"/>
    <w:rsid w:val="00CA0DEE"/>
    <w:rsid w:val="00CA0DF3"/>
    <w:rsid w:val="00CA0FB7"/>
    <w:rsid w:val="00CA1217"/>
    <w:rsid w:val="00CA1389"/>
    <w:rsid w:val="00CA1417"/>
    <w:rsid w:val="00CA15F0"/>
    <w:rsid w:val="00CA16A6"/>
    <w:rsid w:val="00CA17CE"/>
    <w:rsid w:val="00CA187C"/>
    <w:rsid w:val="00CA188D"/>
    <w:rsid w:val="00CA18B2"/>
    <w:rsid w:val="00CA1D58"/>
    <w:rsid w:val="00CA1E0F"/>
    <w:rsid w:val="00CA202E"/>
    <w:rsid w:val="00CA21A1"/>
    <w:rsid w:val="00CA2284"/>
    <w:rsid w:val="00CA239B"/>
    <w:rsid w:val="00CA2873"/>
    <w:rsid w:val="00CA29E7"/>
    <w:rsid w:val="00CA2AA9"/>
    <w:rsid w:val="00CA2B64"/>
    <w:rsid w:val="00CA2BB0"/>
    <w:rsid w:val="00CA2CDC"/>
    <w:rsid w:val="00CA2D64"/>
    <w:rsid w:val="00CA2D7D"/>
    <w:rsid w:val="00CA2DEA"/>
    <w:rsid w:val="00CA2E1E"/>
    <w:rsid w:val="00CA2FC9"/>
    <w:rsid w:val="00CA3024"/>
    <w:rsid w:val="00CA33E1"/>
    <w:rsid w:val="00CA34F1"/>
    <w:rsid w:val="00CA39EB"/>
    <w:rsid w:val="00CA3BD2"/>
    <w:rsid w:val="00CA3C75"/>
    <w:rsid w:val="00CA3DF2"/>
    <w:rsid w:val="00CA3E13"/>
    <w:rsid w:val="00CA3E39"/>
    <w:rsid w:val="00CA3E92"/>
    <w:rsid w:val="00CA44F2"/>
    <w:rsid w:val="00CA4537"/>
    <w:rsid w:val="00CA4659"/>
    <w:rsid w:val="00CA46D8"/>
    <w:rsid w:val="00CA47AC"/>
    <w:rsid w:val="00CA4890"/>
    <w:rsid w:val="00CA49C7"/>
    <w:rsid w:val="00CA4ABD"/>
    <w:rsid w:val="00CA4E43"/>
    <w:rsid w:val="00CA4E90"/>
    <w:rsid w:val="00CA508F"/>
    <w:rsid w:val="00CA5092"/>
    <w:rsid w:val="00CA50CA"/>
    <w:rsid w:val="00CA5220"/>
    <w:rsid w:val="00CA54EB"/>
    <w:rsid w:val="00CA5679"/>
    <w:rsid w:val="00CA5A1B"/>
    <w:rsid w:val="00CA5D6B"/>
    <w:rsid w:val="00CA5D84"/>
    <w:rsid w:val="00CA5D8D"/>
    <w:rsid w:val="00CA5FA6"/>
    <w:rsid w:val="00CA6121"/>
    <w:rsid w:val="00CA6543"/>
    <w:rsid w:val="00CA660D"/>
    <w:rsid w:val="00CA666C"/>
    <w:rsid w:val="00CA6756"/>
    <w:rsid w:val="00CA69B7"/>
    <w:rsid w:val="00CA6A5C"/>
    <w:rsid w:val="00CA6A96"/>
    <w:rsid w:val="00CA6C9E"/>
    <w:rsid w:val="00CA6CA7"/>
    <w:rsid w:val="00CA7115"/>
    <w:rsid w:val="00CA71AC"/>
    <w:rsid w:val="00CA7271"/>
    <w:rsid w:val="00CA74BC"/>
    <w:rsid w:val="00CA76DA"/>
    <w:rsid w:val="00CA7A46"/>
    <w:rsid w:val="00CA7A60"/>
    <w:rsid w:val="00CA7AF9"/>
    <w:rsid w:val="00CA7B5A"/>
    <w:rsid w:val="00CA7BA3"/>
    <w:rsid w:val="00CA7BCE"/>
    <w:rsid w:val="00CA7C59"/>
    <w:rsid w:val="00CA7DB2"/>
    <w:rsid w:val="00CB0140"/>
    <w:rsid w:val="00CB017F"/>
    <w:rsid w:val="00CB01AC"/>
    <w:rsid w:val="00CB03B1"/>
    <w:rsid w:val="00CB051A"/>
    <w:rsid w:val="00CB0688"/>
    <w:rsid w:val="00CB06D6"/>
    <w:rsid w:val="00CB09D6"/>
    <w:rsid w:val="00CB0ADE"/>
    <w:rsid w:val="00CB0D06"/>
    <w:rsid w:val="00CB0EA3"/>
    <w:rsid w:val="00CB11B4"/>
    <w:rsid w:val="00CB14FB"/>
    <w:rsid w:val="00CB1514"/>
    <w:rsid w:val="00CB16FA"/>
    <w:rsid w:val="00CB17E8"/>
    <w:rsid w:val="00CB1805"/>
    <w:rsid w:val="00CB1973"/>
    <w:rsid w:val="00CB1A58"/>
    <w:rsid w:val="00CB1A88"/>
    <w:rsid w:val="00CB1ABE"/>
    <w:rsid w:val="00CB1B94"/>
    <w:rsid w:val="00CB1EE6"/>
    <w:rsid w:val="00CB204F"/>
    <w:rsid w:val="00CB22D9"/>
    <w:rsid w:val="00CB2341"/>
    <w:rsid w:val="00CB251D"/>
    <w:rsid w:val="00CB252B"/>
    <w:rsid w:val="00CB26C4"/>
    <w:rsid w:val="00CB26CA"/>
    <w:rsid w:val="00CB28F3"/>
    <w:rsid w:val="00CB292F"/>
    <w:rsid w:val="00CB2AA8"/>
    <w:rsid w:val="00CB2CCD"/>
    <w:rsid w:val="00CB2DB2"/>
    <w:rsid w:val="00CB2E53"/>
    <w:rsid w:val="00CB2FE9"/>
    <w:rsid w:val="00CB30D1"/>
    <w:rsid w:val="00CB3143"/>
    <w:rsid w:val="00CB32CF"/>
    <w:rsid w:val="00CB3541"/>
    <w:rsid w:val="00CB35DF"/>
    <w:rsid w:val="00CB390A"/>
    <w:rsid w:val="00CB3999"/>
    <w:rsid w:val="00CB39DD"/>
    <w:rsid w:val="00CB3AFA"/>
    <w:rsid w:val="00CB3B98"/>
    <w:rsid w:val="00CB3CE5"/>
    <w:rsid w:val="00CB401E"/>
    <w:rsid w:val="00CB40BE"/>
    <w:rsid w:val="00CB40F4"/>
    <w:rsid w:val="00CB41CF"/>
    <w:rsid w:val="00CB42CC"/>
    <w:rsid w:val="00CB45E9"/>
    <w:rsid w:val="00CB472D"/>
    <w:rsid w:val="00CB478B"/>
    <w:rsid w:val="00CB47CB"/>
    <w:rsid w:val="00CB48F9"/>
    <w:rsid w:val="00CB493F"/>
    <w:rsid w:val="00CB497A"/>
    <w:rsid w:val="00CB49C9"/>
    <w:rsid w:val="00CB4E48"/>
    <w:rsid w:val="00CB5037"/>
    <w:rsid w:val="00CB515B"/>
    <w:rsid w:val="00CB5A6F"/>
    <w:rsid w:val="00CB5D83"/>
    <w:rsid w:val="00CB5F5F"/>
    <w:rsid w:val="00CB659A"/>
    <w:rsid w:val="00CB669C"/>
    <w:rsid w:val="00CB67A0"/>
    <w:rsid w:val="00CB6E57"/>
    <w:rsid w:val="00CB704D"/>
    <w:rsid w:val="00CB729E"/>
    <w:rsid w:val="00CB73B3"/>
    <w:rsid w:val="00CB74BD"/>
    <w:rsid w:val="00CB75A7"/>
    <w:rsid w:val="00CB76D3"/>
    <w:rsid w:val="00CB78DB"/>
    <w:rsid w:val="00CB7ADB"/>
    <w:rsid w:val="00CB7D48"/>
    <w:rsid w:val="00CB7EF3"/>
    <w:rsid w:val="00CC01C4"/>
    <w:rsid w:val="00CC02A7"/>
    <w:rsid w:val="00CC0F72"/>
    <w:rsid w:val="00CC13FC"/>
    <w:rsid w:val="00CC14F6"/>
    <w:rsid w:val="00CC180D"/>
    <w:rsid w:val="00CC194E"/>
    <w:rsid w:val="00CC1E67"/>
    <w:rsid w:val="00CC2178"/>
    <w:rsid w:val="00CC225D"/>
    <w:rsid w:val="00CC2464"/>
    <w:rsid w:val="00CC261C"/>
    <w:rsid w:val="00CC26BD"/>
    <w:rsid w:val="00CC26ED"/>
    <w:rsid w:val="00CC2BE8"/>
    <w:rsid w:val="00CC2D3D"/>
    <w:rsid w:val="00CC2E1A"/>
    <w:rsid w:val="00CC32D7"/>
    <w:rsid w:val="00CC33B4"/>
    <w:rsid w:val="00CC33F9"/>
    <w:rsid w:val="00CC353C"/>
    <w:rsid w:val="00CC359D"/>
    <w:rsid w:val="00CC37C5"/>
    <w:rsid w:val="00CC392A"/>
    <w:rsid w:val="00CC3A60"/>
    <w:rsid w:val="00CC3C5A"/>
    <w:rsid w:val="00CC3CBF"/>
    <w:rsid w:val="00CC3CCA"/>
    <w:rsid w:val="00CC3FB5"/>
    <w:rsid w:val="00CC4109"/>
    <w:rsid w:val="00CC424A"/>
    <w:rsid w:val="00CC468D"/>
    <w:rsid w:val="00CC4BD7"/>
    <w:rsid w:val="00CC4C72"/>
    <w:rsid w:val="00CC4E59"/>
    <w:rsid w:val="00CC4EF1"/>
    <w:rsid w:val="00CC5028"/>
    <w:rsid w:val="00CC5189"/>
    <w:rsid w:val="00CC535F"/>
    <w:rsid w:val="00CC53C9"/>
    <w:rsid w:val="00CC55CC"/>
    <w:rsid w:val="00CC58B4"/>
    <w:rsid w:val="00CC5982"/>
    <w:rsid w:val="00CC5BA7"/>
    <w:rsid w:val="00CC5C8A"/>
    <w:rsid w:val="00CC5CAA"/>
    <w:rsid w:val="00CC5CF4"/>
    <w:rsid w:val="00CC5F79"/>
    <w:rsid w:val="00CC623C"/>
    <w:rsid w:val="00CC63DD"/>
    <w:rsid w:val="00CC67B3"/>
    <w:rsid w:val="00CC6849"/>
    <w:rsid w:val="00CC6A79"/>
    <w:rsid w:val="00CC703A"/>
    <w:rsid w:val="00CC70E1"/>
    <w:rsid w:val="00CC710C"/>
    <w:rsid w:val="00CC710D"/>
    <w:rsid w:val="00CC7162"/>
    <w:rsid w:val="00CC72DF"/>
    <w:rsid w:val="00CC7581"/>
    <w:rsid w:val="00CC7589"/>
    <w:rsid w:val="00CC7686"/>
    <w:rsid w:val="00CC78DC"/>
    <w:rsid w:val="00CC7931"/>
    <w:rsid w:val="00CC7954"/>
    <w:rsid w:val="00CC7A59"/>
    <w:rsid w:val="00CC7B3B"/>
    <w:rsid w:val="00CC7DE5"/>
    <w:rsid w:val="00CC7E31"/>
    <w:rsid w:val="00CC7F62"/>
    <w:rsid w:val="00CD0028"/>
    <w:rsid w:val="00CD02F8"/>
    <w:rsid w:val="00CD049B"/>
    <w:rsid w:val="00CD051D"/>
    <w:rsid w:val="00CD072D"/>
    <w:rsid w:val="00CD0766"/>
    <w:rsid w:val="00CD07FF"/>
    <w:rsid w:val="00CD0908"/>
    <w:rsid w:val="00CD0930"/>
    <w:rsid w:val="00CD0AC9"/>
    <w:rsid w:val="00CD0B5A"/>
    <w:rsid w:val="00CD0C39"/>
    <w:rsid w:val="00CD0ECA"/>
    <w:rsid w:val="00CD0FCD"/>
    <w:rsid w:val="00CD101F"/>
    <w:rsid w:val="00CD1107"/>
    <w:rsid w:val="00CD123D"/>
    <w:rsid w:val="00CD169C"/>
    <w:rsid w:val="00CD1730"/>
    <w:rsid w:val="00CD189F"/>
    <w:rsid w:val="00CD1D77"/>
    <w:rsid w:val="00CD1DC8"/>
    <w:rsid w:val="00CD1E8D"/>
    <w:rsid w:val="00CD1F7F"/>
    <w:rsid w:val="00CD235D"/>
    <w:rsid w:val="00CD2476"/>
    <w:rsid w:val="00CD25F0"/>
    <w:rsid w:val="00CD27FE"/>
    <w:rsid w:val="00CD294A"/>
    <w:rsid w:val="00CD2A53"/>
    <w:rsid w:val="00CD2AD1"/>
    <w:rsid w:val="00CD2DAB"/>
    <w:rsid w:val="00CD2EB9"/>
    <w:rsid w:val="00CD2FFB"/>
    <w:rsid w:val="00CD306A"/>
    <w:rsid w:val="00CD32E8"/>
    <w:rsid w:val="00CD3375"/>
    <w:rsid w:val="00CD3527"/>
    <w:rsid w:val="00CD3631"/>
    <w:rsid w:val="00CD3874"/>
    <w:rsid w:val="00CD38AC"/>
    <w:rsid w:val="00CD3BDB"/>
    <w:rsid w:val="00CD3E84"/>
    <w:rsid w:val="00CD42C1"/>
    <w:rsid w:val="00CD441C"/>
    <w:rsid w:val="00CD45B4"/>
    <w:rsid w:val="00CD4653"/>
    <w:rsid w:val="00CD479F"/>
    <w:rsid w:val="00CD4A91"/>
    <w:rsid w:val="00CD4B83"/>
    <w:rsid w:val="00CD4CB3"/>
    <w:rsid w:val="00CD4E28"/>
    <w:rsid w:val="00CD5053"/>
    <w:rsid w:val="00CD5122"/>
    <w:rsid w:val="00CD5412"/>
    <w:rsid w:val="00CD5491"/>
    <w:rsid w:val="00CD57FB"/>
    <w:rsid w:val="00CD5996"/>
    <w:rsid w:val="00CD5D1D"/>
    <w:rsid w:val="00CD5E07"/>
    <w:rsid w:val="00CD5EC6"/>
    <w:rsid w:val="00CD6226"/>
    <w:rsid w:val="00CD62B2"/>
    <w:rsid w:val="00CD6428"/>
    <w:rsid w:val="00CD65A7"/>
    <w:rsid w:val="00CD6738"/>
    <w:rsid w:val="00CD69BD"/>
    <w:rsid w:val="00CD6CF5"/>
    <w:rsid w:val="00CD70F4"/>
    <w:rsid w:val="00CD745B"/>
    <w:rsid w:val="00CD7501"/>
    <w:rsid w:val="00CD7D35"/>
    <w:rsid w:val="00CD7DED"/>
    <w:rsid w:val="00CD7F07"/>
    <w:rsid w:val="00CE0226"/>
    <w:rsid w:val="00CE027F"/>
    <w:rsid w:val="00CE04FB"/>
    <w:rsid w:val="00CE0537"/>
    <w:rsid w:val="00CE0612"/>
    <w:rsid w:val="00CE06BA"/>
    <w:rsid w:val="00CE0744"/>
    <w:rsid w:val="00CE093A"/>
    <w:rsid w:val="00CE0947"/>
    <w:rsid w:val="00CE09F9"/>
    <w:rsid w:val="00CE0AEB"/>
    <w:rsid w:val="00CE0CC4"/>
    <w:rsid w:val="00CE0D6C"/>
    <w:rsid w:val="00CE0F84"/>
    <w:rsid w:val="00CE1661"/>
    <w:rsid w:val="00CE16F9"/>
    <w:rsid w:val="00CE190D"/>
    <w:rsid w:val="00CE19F5"/>
    <w:rsid w:val="00CE1A94"/>
    <w:rsid w:val="00CE1AB3"/>
    <w:rsid w:val="00CE200D"/>
    <w:rsid w:val="00CE209C"/>
    <w:rsid w:val="00CE2312"/>
    <w:rsid w:val="00CE2337"/>
    <w:rsid w:val="00CE24B5"/>
    <w:rsid w:val="00CE2655"/>
    <w:rsid w:val="00CE277C"/>
    <w:rsid w:val="00CE27F0"/>
    <w:rsid w:val="00CE28BC"/>
    <w:rsid w:val="00CE2AA4"/>
    <w:rsid w:val="00CE2AC8"/>
    <w:rsid w:val="00CE2B05"/>
    <w:rsid w:val="00CE2B82"/>
    <w:rsid w:val="00CE30D5"/>
    <w:rsid w:val="00CE3484"/>
    <w:rsid w:val="00CE3508"/>
    <w:rsid w:val="00CE35D8"/>
    <w:rsid w:val="00CE3644"/>
    <w:rsid w:val="00CE3697"/>
    <w:rsid w:val="00CE3801"/>
    <w:rsid w:val="00CE3CCB"/>
    <w:rsid w:val="00CE3D95"/>
    <w:rsid w:val="00CE3F82"/>
    <w:rsid w:val="00CE400A"/>
    <w:rsid w:val="00CE459E"/>
    <w:rsid w:val="00CE47E1"/>
    <w:rsid w:val="00CE4835"/>
    <w:rsid w:val="00CE48AB"/>
    <w:rsid w:val="00CE4BBD"/>
    <w:rsid w:val="00CE4C6F"/>
    <w:rsid w:val="00CE5206"/>
    <w:rsid w:val="00CE5252"/>
    <w:rsid w:val="00CE53AB"/>
    <w:rsid w:val="00CE54D5"/>
    <w:rsid w:val="00CE554A"/>
    <w:rsid w:val="00CE5B12"/>
    <w:rsid w:val="00CE5D0E"/>
    <w:rsid w:val="00CE5D2B"/>
    <w:rsid w:val="00CE5DE1"/>
    <w:rsid w:val="00CE6009"/>
    <w:rsid w:val="00CE6034"/>
    <w:rsid w:val="00CE60C6"/>
    <w:rsid w:val="00CE6147"/>
    <w:rsid w:val="00CE6149"/>
    <w:rsid w:val="00CE6160"/>
    <w:rsid w:val="00CE6347"/>
    <w:rsid w:val="00CE63A5"/>
    <w:rsid w:val="00CE6412"/>
    <w:rsid w:val="00CE6510"/>
    <w:rsid w:val="00CE69ED"/>
    <w:rsid w:val="00CE6AD9"/>
    <w:rsid w:val="00CE6C1E"/>
    <w:rsid w:val="00CE6C57"/>
    <w:rsid w:val="00CE6DB7"/>
    <w:rsid w:val="00CE6E44"/>
    <w:rsid w:val="00CE6FDA"/>
    <w:rsid w:val="00CE70FB"/>
    <w:rsid w:val="00CE72DC"/>
    <w:rsid w:val="00CE74D2"/>
    <w:rsid w:val="00CE752C"/>
    <w:rsid w:val="00CE78D6"/>
    <w:rsid w:val="00CE7A7A"/>
    <w:rsid w:val="00CE7B7D"/>
    <w:rsid w:val="00CE7C84"/>
    <w:rsid w:val="00CE7EE2"/>
    <w:rsid w:val="00CF0064"/>
    <w:rsid w:val="00CF006F"/>
    <w:rsid w:val="00CF072D"/>
    <w:rsid w:val="00CF0789"/>
    <w:rsid w:val="00CF08E0"/>
    <w:rsid w:val="00CF08E9"/>
    <w:rsid w:val="00CF0952"/>
    <w:rsid w:val="00CF0AD1"/>
    <w:rsid w:val="00CF0F44"/>
    <w:rsid w:val="00CF1116"/>
    <w:rsid w:val="00CF12A5"/>
    <w:rsid w:val="00CF1425"/>
    <w:rsid w:val="00CF1B66"/>
    <w:rsid w:val="00CF1D48"/>
    <w:rsid w:val="00CF1DC9"/>
    <w:rsid w:val="00CF1DD4"/>
    <w:rsid w:val="00CF1FA4"/>
    <w:rsid w:val="00CF22F9"/>
    <w:rsid w:val="00CF240D"/>
    <w:rsid w:val="00CF24C8"/>
    <w:rsid w:val="00CF2513"/>
    <w:rsid w:val="00CF2706"/>
    <w:rsid w:val="00CF2809"/>
    <w:rsid w:val="00CF2971"/>
    <w:rsid w:val="00CF298F"/>
    <w:rsid w:val="00CF2ACA"/>
    <w:rsid w:val="00CF2C28"/>
    <w:rsid w:val="00CF2E44"/>
    <w:rsid w:val="00CF306B"/>
    <w:rsid w:val="00CF30A1"/>
    <w:rsid w:val="00CF3260"/>
    <w:rsid w:val="00CF330D"/>
    <w:rsid w:val="00CF3326"/>
    <w:rsid w:val="00CF3354"/>
    <w:rsid w:val="00CF374C"/>
    <w:rsid w:val="00CF394C"/>
    <w:rsid w:val="00CF39E0"/>
    <w:rsid w:val="00CF3ABF"/>
    <w:rsid w:val="00CF3B6F"/>
    <w:rsid w:val="00CF3D01"/>
    <w:rsid w:val="00CF3D21"/>
    <w:rsid w:val="00CF3D8D"/>
    <w:rsid w:val="00CF3E26"/>
    <w:rsid w:val="00CF4096"/>
    <w:rsid w:val="00CF414F"/>
    <w:rsid w:val="00CF4200"/>
    <w:rsid w:val="00CF42B5"/>
    <w:rsid w:val="00CF42DE"/>
    <w:rsid w:val="00CF44F4"/>
    <w:rsid w:val="00CF4520"/>
    <w:rsid w:val="00CF47D9"/>
    <w:rsid w:val="00CF4CF1"/>
    <w:rsid w:val="00CF513E"/>
    <w:rsid w:val="00CF5285"/>
    <w:rsid w:val="00CF5493"/>
    <w:rsid w:val="00CF5548"/>
    <w:rsid w:val="00CF581E"/>
    <w:rsid w:val="00CF5B3F"/>
    <w:rsid w:val="00CF5B51"/>
    <w:rsid w:val="00CF5BFC"/>
    <w:rsid w:val="00CF5D13"/>
    <w:rsid w:val="00CF5D79"/>
    <w:rsid w:val="00CF5E93"/>
    <w:rsid w:val="00CF5FD9"/>
    <w:rsid w:val="00CF6448"/>
    <w:rsid w:val="00CF6449"/>
    <w:rsid w:val="00CF6746"/>
    <w:rsid w:val="00CF688E"/>
    <w:rsid w:val="00CF6A8A"/>
    <w:rsid w:val="00CF6B0E"/>
    <w:rsid w:val="00CF6C8E"/>
    <w:rsid w:val="00CF6F25"/>
    <w:rsid w:val="00CF703C"/>
    <w:rsid w:val="00CF7040"/>
    <w:rsid w:val="00CF7178"/>
    <w:rsid w:val="00CF72B6"/>
    <w:rsid w:val="00CF7398"/>
    <w:rsid w:val="00CF745A"/>
    <w:rsid w:val="00CF78F1"/>
    <w:rsid w:val="00CF79F7"/>
    <w:rsid w:val="00CF7A8E"/>
    <w:rsid w:val="00CF7A98"/>
    <w:rsid w:val="00CF7ADE"/>
    <w:rsid w:val="00CF7B52"/>
    <w:rsid w:val="00CF7C7A"/>
    <w:rsid w:val="00D000E9"/>
    <w:rsid w:val="00D001B5"/>
    <w:rsid w:val="00D00783"/>
    <w:rsid w:val="00D00A32"/>
    <w:rsid w:val="00D00A38"/>
    <w:rsid w:val="00D00D7F"/>
    <w:rsid w:val="00D00DA8"/>
    <w:rsid w:val="00D01218"/>
    <w:rsid w:val="00D01323"/>
    <w:rsid w:val="00D01890"/>
    <w:rsid w:val="00D01D73"/>
    <w:rsid w:val="00D01E23"/>
    <w:rsid w:val="00D01EC2"/>
    <w:rsid w:val="00D021DA"/>
    <w:rsid w:val="00D023B2"/>
    <w:rsid w:val="00D02492"/>
    <w:rsid w:val="00D02501"/>
    <w:rsid w:val="00D0252F"/>
    <w:rsid w:val="00D02560"/>
    <w:rsid w:val="00D026F4"/>
    <w:rsid w:val="00D0278C"/>
    <w:rsid w:val="00D027A6"/>
    <w:rsid w:val="00D029AF"/>
    <w:rsid w:val="00D029D6"/>
    <w:rsid w:val="00D02A66"/>
    <w:rsid w:val="00D02FC2"/>
    <w:rsid w:val="00D030FB"/>
    <w:rsid w:val="00D031D2"/>
    <w:rsid w:val="00D03243"/>
    <w:rsid w:val="00D0325B"/>
    <w:rsid w:val="00D033CC"/>
    <w:rsid w:val="00D03600"/>
    <w:rsid w:val="00D036ED"/>
    <w:rsid w:val="00D0374E"/>
    <w:rsid w:val="00D03761"/>
    <w:rsid w:val="00D039E0"/>
    <w:rsid w:val="00D03AAC"/>
    <w:rsid w:val="00D03D28"/>
    <w:rsid w:val="00D03D96"/>
    <w:rsid w:val="00D03DBD"/>
    <w:rsid w:val="00D03ED0"/>
    <w:rsid w:val="00D044AD"/>
    <w:rsid w:val="00D047F8"/>
    <w:rsid w:val="00D04B48"/>
    <w:rsid w:val="00D04B56"/>
    <w:rsid w:val="00D04F75"/>
    <w:rsid w:val="00D0508A"/>
    <w:rsid w:val="00D051CE"/>
    <w:rsid w:val="00D0532D"/>
    <w:rsid w:val="00D05934"/>
    <w:rsid w:val="00D05E26"/>
    <w:rsid w:val="00D0617B"/>
    <w:rsid w:val="00D063D4"/>
    <w:rsid w:val="00D06667"/>
    <w:rsid w:val="00D0674C"/>
    <w:rsid w:val="00D06801"/>
    <w:rsid w:val="00D0691A"/>
    <w:rsid w:val="00D06B7F"/>
    <w:rsid w:val="00D06BDE"/>
    <w:rsid w:val="00D06CF0"/>
    <w:rsid w:val="00D073AF"/>
    <w:rsid w:val="00D07421"/>
    <w:rsid w:val="00D074C6"/>
    <w:rsid w:val="00D0764C"/>
    <w:rsid w:val="00D0798D"/>
    <w:rsid w:val="00D07A98"/>
    <w:rsid w:val="00D07D16"/>
    <w:rsid w:val="00D07E03"/>
    <w:rsid w:val="00D07E40"/>
    <w:rsid w:val="00D07F55"/>
    <w:rsid w:val="00D07FD7"/>
    <w:rsid w:val="00D10393"/>
    <w:rsid w:val="00D10577"/>
    <w:rsid w:val="00D105D5"/>
    <w:rsid w:val="00D105F3"/>
    <w:rsid w:val="00D10637"/>
    <w:rsid w:val="00D10B25"/>
    <w:rsid w:val="00D10CAD"/>
    <w:rsid w:val="00D10CAF"/>
    <w:rsid w:val="00D10DEF"/>
    <w:rsid w:val="00D10E0E"/>
    <w:rsid w:val="00D10F3E"/>
    <w:rsid w:val="00D1120E"/>
    <w:rsid w:val="00D114E0"/>
    <w:rsid w:val="00D11532"/>
    <w:rsid w:val="00D1175F"/>
    <w:rsid w:val="00D11764"/>
    <w:rsid w:val="00D1185B"/>
    <w:rsid w:val="00D11C49"/>
    <w:rsid w:val="00D11C73"/>
    <w:rsid w:val="00D11DDC"/>
    <w:rsid w:val="00D11F55"/>
    <w:rsid w:val="00D12558"/>
    <w:rsid w:val="00D125C9"/>
    <w:rsid w:val="00D12899"/>
    <w:rsid w:val="00D12B27"/>
    <w:rsid w:val="00D12BF6"/>
    <w:rsid w:val="00D12C27"/>
    <w:rsid w:val="00D12CF8"/>
    <w:rsid w:val="00D12E02"/>
    <w:rsid w:val="00D12E7F"/>
    <w:rsid w:val="00D12FC7"/>
    <w:rsid w:val="00D1313C"/>
    <w:rsid w:val="00D1370B"/>
    <w:rsid w:val="00D13726"/>
    <w:rsid w:val="00D1377E"/>
    <w:rsid w:val="00D13BF1"/>
    <w:rsid w:val="00D1416A"/>
    <w:rsid w:val="00D14242"/>
    <w:rsid w:val="00D143AA"/>
    <w:rsid w:val="00D143F6"/>
    <w:rsid w:val="00D14477"/>
    <w:rsid w:val="00D14581"/>
    <w:rsid w:val="00D14636"/>
    <w:rsid w:val="00D14C46"/>
    <w:rsid w:val="00D14CCB"/>
    <w:rsid w:val="00D14DE5"/>
    <w:rsid w:val="00D14E31"/>
    <w:rsid w:val="00D14E65"/>
    <w:rsid w:val="00D14F74"/>
    <w:rsid w:val="00D1507D"/>
    <w:rsid w:val="00D15168"/>
    <w:rsid w:val="00D151DB"/>
    <w:rsid w:val="00D15429"/>
    <w:rsid w:val="00D15481"/>
    <w:rsid w:val="00D15AF8"/>
    <w:rsid w:val="00D15ED2"/>
    <w:rsid w:val="00D15F62"/>
    <w:rsid w:val="00D16724"/>
    <w:rsid w:val="00D16A45"/>
    <w:rsid w:val="00D16A8B"/>
    <w:rsid w:val="00D16B65"/>
    <w:rsid w:val="00D16C2E"/>
    <w:rsid w:val="00D16C65"/>
    <w:rsid w:val="00D170FF"/>
    <w:rsid w:val="00D17119"/>
    <w:rsid w:val="00D171B4"/>
    <w:rsid w:val="00D172DF"/>
    <w:rsid w:val="00D173CC"/>
    <w:rsid w:val="00D173ED"/>
    <w:rsid w:val="00D174D3"/>
    <w:rsid w:val="00D174FF"/>
    <w:rsid w:val="00D175C2"/>
    <w:rsid w:val="00D1779A"/>
    <w:rsid w:val="00D178EF"/>
    <w:rsid w:val="00D17959"/>
    <w:rsid w:val="00D17A0F"/>
    <w:rsid w:val="00D17A4D"/>
    <w:rsid w:val="00D17B0B"/>
    <w:rsid w:val="00D17CC9"/>
    <w:rsid w:val="00D17E75"/>
    <w:rsid w:val="00D17E8B"/>
    <w:rsid w:val="00D17F5A"/>
    <w:rsid w:val="00D17FBD"/>
    <w:rsid w:val="00D203C8"/>
    <w:rsid w:val="00D20455"/>
    <w:rsid w:val="00D20549"/>
    <w:rsid w:val="00D20702"/>
    <w:rsid w:val="00D20DE7"/>
    <w:rsid w:val="00D20F27"/>
    <w:rsid w:val="00D211C0"/>
    <w:rsid w:val="00D2120C"/>
    <w:rsid w:val="00D21297"/>
    <w:rsid w:val="00D212AF"/>
    <w:rsid w:val="00D2142E"/>
    <w:rsid w:val="00D21637"/>
    <w:rsid w:val="00D216B2"/>
    <w:rsid w:val="00D21962"/>
    <w:rsid w:val="00D21BC3"/>
    <w:rsid w:val="00D21D73"/>
    <w:rsid w:val="00D21ED3"/>
    <w:rsid w:val="00D21F18"/>
    <w:rsid w:val="00D2206F"/>
    <w:rsid w:val="00D2218C"/>
    <w:rsid w:val="00D22202"/>
    <w:rsid w:val="00D2241B"/>
    <w:rsid w:val="00D224D3"/>
    <w:rsid w:val="00D2255F"/>
    <w:rsid w:val="00D22820"/>
    <w:rsid w:val="00D228DF"/>
    <w:rsid w:val="00D22901"/>
    <w:rsid w:val="00D22919"/>
    <w:rsid w:val="00D22935"/>
    <w:rsid w:val="00D229CF"/>
    <w:rsid w:val="00D22BA2"/>
    <w:rsid w:val="00D22D2D"/>
    <w:rsid w:val="00D22DD3"/>
    <w:rsid w:val="00D22DFA"/>
    <w:rsid w:val="00D22F1E"/>
    <w:rsid w:val="00D22FD0"/>
    <w:rsid w:val="00D2307D"/>
    <w:rsid w:val="00D230A3"/>
    <w:rsid w:val="00D23316"/>
    <w:rsid w:val="00D23866"/>
    <w:rsid w:val="00D239AA"/>
    <w:rsid w:val="00D23AD9"/>
    <w:rsid w:val="00D23D3F"/>
    <w:rsid w:val="00D23F95"/>
    <w:rsid w:val="00D24060"/>
    <w:rsid w:val="00D24166"/>
    <w:rsid w:val="00D245DF"/>
    <w:rsid w:val="00D2463A"/>
    <w:rsid w:val="00D24874"/>
    <w:rsid w:val="00D248FD"/>
    <w:rsid w:val="00D249BF"/>
    <w:rsid w:val="00D249DF"/>
    <w:rsid w:val="00D24AC0"/>
    <w:rsid w:val="00D24BBB"/>
    <w:rsid w:val="00D24C6D"/>
    <w:rsid w:val="00D24EC0"/>
    <w:rsid w:val="00D251CD"/>
    <w:rsid w:val="00D2520A"/>
    <w:rsid w:val="00D25288"/>
    <w:rsid w:val="00D25587"/>
    <w:rsid w:val="00D2569C"/>
    <w:rsid w:val="00D25BB2"/>
    <w:rsid w:val="00D25EA9"/>
    <w:rsid w:val="00D25F1A"/>
    <w:rsid w:val="00D25FDA"/>
    <w:rsid w:val="00D25FEA"/>
    <w:rsid w:val="00D26040"/>
    <w:rsid w:val="00D26086"/>
    <w:rsid w:val="00D2632F"/>
    <w:rsid w:val="00D26395"/>
    <w:rsid w:val="00D26404"/>
    <w:rsid w:val="00D26463"/>
    <w:rsid w:val="00D266B1"/>
    <w:rsid w:val="00D2689A"/>
    <w:rsid w:val="00D269CB"/>
    <w:rsid w:val="00D26C13"/>
    <w:rsid w:val="00D2713A"/>
    <w:rsid w:val="00D274B0"/>
    <w:rsid w:val="00D27513"/>
    <w:rsid w:val="00D27692"/>
    <w:rsid w:val="00D278DE"/>
    <w:rsid w:val="00D27B9E"/>
    <w:rsid w:val="00D27CE0"/>
    <w:rsid w:val="00D27DCF"/>
    <w:rsid w:val="00D27E78"/>
    <w:rsid w:val="00D30234"/>
    <w:rsid w:val="00D305F4"/>
    <w:rsid w:val="00D30A34"/>
    <w:rsid w:val="00D30AEE"/>
    <w:rsid w:val="00D30C81"/>
    <w:rsid w:val="00D30C89"/>
    <w:rsid w:val="00D3124B"/>
    <w:rsid w:val="00D3130D"/>
    <w:rsid w:val="00D3135F"/>
    <w:rsid w:val="00D31485"/>
    <w:rsid w:val="00D314E3"/>
    <w:rsid w:val="00D3163A"/>
    <w:rsid w:val="00D31666"/>
    <w:rsid w:val="00D319E8"/>
    <w:rsid w:val="00D31DBC"/>
    <w:rsid w:val="00D31E47"/>
    <w:rsid w:val="00D31FC4"/>
    <w:rsid w:val="00D3237F"/>
    <w:rsid w:val="00D3239F"/>
    <w:rsid w:val="00D323C2"/>
    <w:rsid w:val="00D32557"/>
    <w:rsid w:val="00D3278A"/>
    <w:rsid w:val="00D32B22"/>
    <w:rsid w:val="00D32C72"/>
    <w:rsid w:val="00D32CFE"/>
    <w:rsid w:val="00D32E4D"/>
    <w:rsid w:val="00D32EC2"/>
    <w:rsid w:val="00D32F7D"/>
    <w:rsid w:val="00D330A5"/>
    <w:rsid w:val="00D3333C"/>
    <w:rsid w:val="00D33409"/>
    <w:rsid w:val="00D334C3"/>
    <w:rsid w:val="00D334EE"/>
    <w:rsid w:val="00D33530"/>
    <w:rsid w:val="00D3362E"/>
    <w:rsid w:val="00D33728"/>
    <w:rsid w:val="00D337EE"/>
    <w:rsid w:val="00D33870"/>
    <w:rsid w:val="00D33988"/>
    <w:rsid w:val="00D33AC8"/>
    <w:rsid w:val="00D34050"/>
    <w:rsid w:val="00D34320"/>
    <w:rsid w:val="00D344A6"/>
    <w:rsid w:val="00D345B4"/>
    <w:rsid w:val="00D347CE"/>
    <w:rsid w:val="00D349B3"/>
    <w:rsid w:val="00D34E79"/>
    <w:rsid w:val="00D34F80"/>
    <w:rsid w:val="00D34F9D"/>
    <w:rsid w:val="00D35268"/>
    <w:rsid w:val="00D35444"/>
    <w:rsid w:val="00D356FF"/>
    <w:rsid w:val="00D358FC"/>
    <w:rsid w:val="00D3595E"/>
    <w:rsid w:val="00D35AD2"/>
    <w:rsid w:val="00D35AE0"/>
    <w:rsid w:val="00D35C71"/>
    <w:rsid w:val="00D35CB5"/>
    <w:rsid w:val="00D361A3"/>
    <w:rsid w:val="00D362C9"/>
    <w:rsid w:val="00D36384"/>
    <w:rsid w:val="00D3640F"/>
    <w:rsid w:val="00D36491"/>
    <w:rsid w:val="00D364FF"/>
    <w:rsid w:val="00D365D7"/>
    <w:rsid w:val="00D3693F"/>
    <w:rsid w:val="00D36965"/>
    <w:rsid w:val="00D369C6"/>
    <w:rsid w:val="00D369FB"/>
    <w:rsid w:val="00D36B4D"/>
    <w:rsid w:val="00D36B6C"/>
    <w:rsid w:val="00D36C04"/>
    <w:rsid w:val="00D36D32"/>
    <w:rsid w:val="00D36D5A"/>
    <w:rsid w:val="00D36EAE"/>
    <w:rsid w:val="00D36FA7"/>
    <w:rsid w:val="00D374F6"/>
    <w:rsid w:val="00D37744"/>
    <w:rsid w:val="00D37905"/>
    <w:rsid w:val="00D379E0"/>
    <w:rsid w:val="00D401A7"/>
    <w:rsid w:val="00D40479"/>
    <w:rsid w:val="00D406A2"/>
    <w:rsid w:val="00D406DC"/>
    <w:rsid w:val="00D408DD"/>
    <w:rsid w:val="00D409D0"/>
    <w:rsid w:val="00D40A1B"/>
    <w:rsid w:val="00D40A20"/>
    <w:rsid w:val="00D40B97"/>
    <w:rsid w:val="00D40BEB"/>
    <w:rsid w:val="00D40D44"/>
    <w:rsid w:val="00D40E18"/>
    <w:rsid w:val="00D40E2B"/>
    <w:rsid w:val="00D410A1"/>
    <w:rsid w:val="00D413DE"/>
    <w:rsid w:val="00D415A5"/>
    <w:rsid w:val="00D41644"/>
    <w:rsid w:val="00D416AD"/>
    <w:rsid w:val="00D4175F"/>
    <w:rsid w:val="00D41811"/>
    <w:rsid w:val="00D4188C"/>
    <w:rsid w:val="00D41A01"/>
    <w:rsid w:val="00D41C03"/>
    <w:rsid w:val="00D41C44"/>
    <w:rsid w:val="00D41D41"/>
    <w:rsid w:val="00D42050"/>
    <w:rsid w:val="00D42216"/>
    <w:rsid w:val="00D42227"/>
    <w:rsid w:val="00D4224F"/>
    <w:rsid w:val="00D422C8"/>
    <w:rsid w:val="00D4253B"/>
    <w:rsid w:val="00D425D2"/>
    <w:rsid w:val="00D42770"/>
    <w:rsid w:val="00D429F9"/>
    <w:rsid w:val="00D42B38"/>
    <w:rsid w:val="00D42D0A"/>
    <w:rsid w:val="00D42EFA"/>
    <w:rsid w:val="00D42FA7"/>
    <w:rsid w:val="00D43219"/>
    <w:rsid w:val="00D43255"/>
    <w:rsid w:val="00D432A0"/>
    <w:rsid w:val="00D432EE"/>
    <w:rsid w:val="00D43307"/>
    <w:rsid w:val="00D436B0"/>
    <w:rsid w:val="00D43708"/>
    <w:rsid w:val="00D4371C"/>
    <w:rsid w:val="00D43E53"/>
    <w:rsid w:val="00D43FB6"/>
    <w:rsid w:val="00D441D0"/>
    <w:rsid w:val="00D444A5"/>
    <w:rsid w:val="00D446C2"/>
    <w:rsid w:val="00D44825"/>
    <w:rsid w:val="00D44BC0"/>
    <w:rsid w:val="00D44C3C"/>
    <w:rsid w:val="00D44F76"/>
    <w:rsid w:val="00D44FF1"/>
    <w:rsid w:val="00D45139"/>
    <w:rsid w:val="00D452EA"/>
    <w:rsid w:val="00D452EC"/>
    <w:rsid w:val="00D4541A"/>
    <w:rsid w:val="00D455A6"/>
    <w:rsid w:val="00D4572C"/>
    <w:rsid w:val="00D4599E"/>
    <w:rsid w:val="00D45B8E"/>
    <w:rsid w:val="00D45C4D"/>
    <w:rsid w:val="00D45DF6"/>
    <w:rsid w:val="00D45FBB"/>
    <w:rsid w:val="00D461AA"/>
    <w:rsid w:val="00D46286"/>
    <w:rsid w:val="00D4638D"/>
    <w:rsid w:val="00D465A4"/>
    <w:rsid w:val="00D469EE"/>
    <w:rsid w:val="00D46ABF"/>
    <w:rsid w:val="00D46AD3"/>
    <w:rsid w:val="00D46BF3"/>
    <w:rsid w:val="00D46CA2"/>
    <w:rsid w:val="00D46ED8"/>
    <w:rsid w:val="00D46FB0"/>
    <w:rsid w:val="00D4722B"/>
    <w:rsid w:val="00D475B8"/>
    <w:rsid w:val="00D47959"/>
    <w:rsid w:val="00D47AE2"/>
    <w:rsid w:val="00D47ECB"/>
    <w:rsid w:val="00D5004F"/>
    <w:rsid w:val="00D5007B"/>
    <w:rsid w:val="00D50613"/>
    <w:rsid w:val="00D5063E"/>
    <w:rsid w:val="00D506DE"/>
    <w:rsid w:val="00D50744"/>
    <w:rsid w:val="00D50764"/>
    <w:rsid w:val="00D50827"/>
    <w:rsid w:val="00D50E4C"/>
    <w:rsid w:val="00D50EB2"/>
    <w:rsid w:val="00D512BB"/>
    <w:rsid w:val="00D5163E"/>
    <w:rsid w:val="00D51711"/>
    <w:rsid w:val="00D5178B"/>
    <w:rsid w:val="00D5185F"/>
    <w:rsid w:val="00D51906"/>
    <w:rsid w:val="00D51C23"/>
    <w:rsid w:val="00D51C6B"/>
    <w:rsid w:val="00D51D1D"/>
    <w:rsid w:val="00D51D9C"/>
    <w:rsid w:val="00D5201D"/>
    <w:rsid w:val="00D52068"/>
    <w:rsid w:val="00D52308"/>
    <w:rsid w:val="00D523BF"/>
    <w:rsid w:val="00D5263B"/>
    <w:rsid w:val="00D5291F"/>
    <w:rsid w:val="00D52BD8"/>
    <w:rsid w:val="00D52F52"/>
    <w:rsid w:val="00D53103"/>
    <w:rsid w:val="00D5313B"/>
    <w:rsid w:val="00D53189"/>
    <w:rsid w:val="00D532F3"/>
    <w:rsid w:val="00D53606"/>
    <w:rsid w:val="00D53851"/>
    <w:rsid w:val="00D538F6"/>
    <w:rsid w:val="00D539D7"/>
    <w:rsid w:val="00D54205"/>
    <w:rsid w:val="00D54266"/>
    <w:rsid w:val="00D5428A"/>
    <w:rsid w:val="00D543DE"/>
    <w:rsid w:val="00D547DD"/>
    <w:rsid w:val="00D549BA"/>
    <w:rsid w:val="00D54E95"/>
    <w:rsid w:val="00D5533F"/>
    <w:rsid w:val="00D55788"/>
    <w:rsid w:val="00D5588B"/>
    <w:rsid w:val="00D55FBF"/>
    <w:rsid w:val="00D56054"/>
    <w:rsid w:val="00D56223"/>
    <w:rsid w:val="00D5623B"/>
    <w:rsid w:val="00D56266"/>
    <w:rsid w:val="00D56683"/>
    <w:rsid w:val="00D567FA"/>
    <w:rsid w:val="00D568F8"/>
    <w:rsid w:val="00D56B16"/>
    <w:rsid w:val="00D56B20"/>
    <w:rsid w:val="00D56DA2"/>
    <w:rsid w:val="00D56F3D"/>
    <w:rsid w:val="00D56F7C"/>
    <w:rsid w:val="00D57008"/>
    <w:rsid w:val="00D57019"/>
    <w:rsid w:val="00D57187"/>
    <w:rsid w:val="00D571D5"/>
    <w:rsid w:val="00D572D0"/>
    <w:rsid w:val="00D5798A"/>
    <w:rsid w:val="00D57B3B"/>
    <w:rsid w:val="00D57C17"/>
    <w:rsid w:val="00D57D51"/>
    <w:rsid w:val="00D57D8C"/>
    <w:rsid w:val="00D57F06"/>
    <w:rsid w:val="00D600B6"/>
    <w:rsid w:val="00D601B4"/>
    <w:rsid w:val="00D60360"/>
    <w:rsid w:val="00D60B13"/>
    <w:rsid w:val="00D6105E"/>
    <w:rsid w:val="00D61265"/>
    <w:rsid w:val="00D612A4"/>
    <w:rsid w:val="00D61410"/>
    <w:rsid w:val="00D618A1"/>
    <w:rsid w:val="00D618B0"/>
    <w:rsid w:val="00D619DE"/>
    <w:rsid w:val="00D61A75"/>
    <w:rsid w:val="00D61F5A"/>
    <w:rsid w:val="00D61FD4"/>
    <w:rsid w:val="00D62289"/>
    <w:rsid w:val="00D62410"/>
    <w:rsid w:val="00D62670"/>
    <w:rsid w:val="00D6281F"/>
    <w:rsid w:val="00D632AA"/>
    <w:rsid w:val="00D634EE"/>
    <w:rsid w:val="00D635E2"/>
    <w:rsid w:val="00D6388B"/>
    <w:rsid w:val="00D638AF"/>
    <w:rsid w:val="00D63965"/>
    <w:rsid w:val="00D639FA"/>
    <w:rsid w:val="00D63BC1"/>
    <w:rsid w:val="00D63C63"/>
    <w:rsid w:val="00D63C82"/>
    <w:rsid w:val="00D63C9A"/>
    <w:rsid w:val="00D63CB3"/>
    <w:rsid w:val="00D63D87"/>
    <w:rsid w:val="00D63E67"/>
    <w:rsid w:val="00D64401"/>
    <w:rsid w:val="00D64516"/>
    <w:rsid w:val="00D647E1"/>
    <w:rsid w:val="00D647EE"/>
    <w:rsid w:val="00D64856"/>
    <w:rsid w:val="00D64889"/>
    <w:rsid w:val="00D648AC"/>
    <w:rsid w:val="00D648E9"/>
    <w:rsid w:val="00D64966"/>
    <w:rsid w:val="00D64981"/>
    <w:rsid w:val="00D64C3C"/>
    <w:rsid w:val="00D6517C"/>
    <w:rsid w:val="00D655CE"/>
    <w:rsid w:val="00D655D7"/>
    <w:rsid w:val="00D66251"/>
    <w:rsid w:val="00D66314"/>
    <w:rsid w:val="00D6642D"/>
    <w:rsid w:val="00D66519"/>
    <w:rsid w:val="00D66874"/>
    <w:rsid w:val="00D66C2C"/>
    <w:rsid w:val="00D66CB7"/>
    <w:rsid w:val="00D66D3E"/>
    <w:rsid w:val="00D67207"/>
    <w:rsid w:val="00D67356"/>
    <w:rsid w:val="00D673AA"/>
    <w:rsid w:val="00D674AE"/>
    <w:rsid w:val="00D67793"/>
    <w:rsid w:val="00D6798F"/>
    <w:rsid w:val="00D67BC0"/>
    <w:rsid w:val="00D70449"/>
    <w:rsid w:val="00D7065A"/>
    <w:rsid w:val="00D70B0C"/>
    <w:rsid w:val="00D70DCE"/>
    <w:rsid w:val="00D7105C"/>
    <w:rsid w:val="00D71081"/>
    <w:rsid w:val="00D7116C"/>
    <w:rsid w:val="00D7121A"/>
    <w:rsid w:val="00D7155D"/>
    <w:rsid w:val="00D71664"/>
    <w:rsid w:val="00D716BA"/>
    <w:rsid w:val="00D716BB"/>
    <w:rsid w:val="00D71C81"/>
    <w:rsid w:val="00D71CCB"/>
    <w:rsid w:val="00D71D89"/>
    <w:rsid w:val="00D71DFA"/>
    <w:rsid w:val="00D72272"/>
    <w:rsid w:val="00D72C51"/>
    <w:rsid w:val="00D72C87"/>
    <w:rsid w:val="00D72CAE"/>
    <w:rsid w:val="00D72CFD"/>
    <w:rsid w:val="00D7308D"/>
    <w:rsid w:val="00D730C7"/>
    <w:rsid w:val="00D73124"/>
    <w:rsid w:val="00D731BB"/>
    <w:rsid w:val="00D733A9"/>
    <w:rsid w:val="00D7349B"/>
    <w:rsid w:val="00D734F0"/>
    <w:rsid w:val="00D73648"/>
    <w:rsid w:val="00D73773"/>
    <w:rsid w:val="00D73934"/>
    <w:rsid w:val="00D73BB0"/>
    <w:rsid w:val="00D73C78"/>
    <w:rsid w:val="00D73CB6"/>
    <w:rsid w:val="00D73D36"/>
    <w:rsid w:val="00D73DEF"/>
    <w:rsid w:val="00D740A9"/>
    <w:rsid w:val="00D74138"/>
    <w:rsid w:val="00D741B9"/>
    <w:rsid w:val="00D74305"/>
    <w:rsid w:val="00D743C5"/>
    <w:rsid w:val="00D74456"/>
    <w:rsid w:val="00D74514"/>
    <w:rsid w:val="00D746DC"/>
    <w:rsid w:val="00D74759"/>
    <w:rsid w:val="00D74859"/>
    <w:rsid w:val="00D74BB3"/>
    <w:rsid w:val="00D74C15"/>
    <w:rsid w:val="00D74EE2"/>
    <w:rsid w:val="00D74FB6"/>
    <w:rsid w:val="00D751B6"/>
    <w:rsid w:val="00D7522F"/>
    <w:rsid w:val="00D7559D"/>
    <w:rsid w:val="00D75750"/>
    <w:rsid w:val="00D759E2"/>
    <w:rsid w:val="00D75B35"/>
    <w:rsid w:val="00D7620E"/>
    <w:rsid w:val="00D762CE"/>
    <w:rsid w:val="00D7631D"/>
    <w:rsid w:val="00D763A7"/>
    <w:rsid w:val="00D7646A"/>
    <w:rsid w:val="00D765D7"/>
    <w:rsid w:val="00D76641"/>
    <w:rsid w:val="00D7675F"/>
    <w:rsid w:val="00D76A4A"/>
    <w:rsid w:val="00D76A77"/>
    <w:rsid w:val="00D76B1A"/>
    <w:rsid w:val="00D76B47"/>
    <w:rsid w:val="00D76BF6"/>
    <w:rsid w:val="00D76DDB"/>
    <w:rsid w:val="00D76EDA"/>
    <w:rsid w:val="00D76F2A"/>
    <w:rsid w:val="00D76FF4"/>
    <w:rsid w:val="00D77248"/>
    <w:rsid w:val="00D773DD"/>
    <w:rsid w:val="00D77456"/>
    <w:rsid w:val="00D77521"/>
    <w:rsid w:val="00D77534"/>
    <w:rsid w:val="00D7761A"/>
    <w:rsid w:val="00D77745"/>
    <w:rsid w:val="00D7782D"/>
    <w:rsid w:val="00D77974"/>
    <w:rsid w:val="00D779A9"/>
    <w:rsid w:val="00D77ACB"/>
    <w:rsid w:val="00D77B68"/>
    <w:rsid w:val="00D77B9B"/>
    <w:rsid w:val="00D77D8B"/>
    <w:rsid w:val="00D77DEF"/>
    <w:rsid w:val="00D77E31"/>
    <w:rsid w:val="00D77E90"/>
    <w:rsid w:val="00D80138"/>
    <w:rsid w:val="00D80255"/>
    <w:rsid w:val="00D8047A"/>
    <w:rsid w:val="00D806A9"/>
    <w:rsid w:val="00D8083B"/>
    <w:rsid w:val="00D80C07"/>
    <w:rsid w:val="00D80CD0"/>
    <w:rsid w:val="00D80CFF"/>
    <w:rsid w:val="00D80F39"/>
    <w:rsid w:val="00D81456"/>
    <w:rsid w:val="00D8152E"/>
    <w:rsid w:val="00D81548"/>
    <w:rsid w:val="00D815E3"/>
    <w:rsid w:val="00D81741"/>
    <w:rsid w:val="00D81871"/>
    <w:rsid w:val="00D818E2"/>
    <w:rsid w:val="00D81AE8"/>
    <w:rsid w:val="00D81AFF"/>
    <w:rsid w:val="00D81F31"/>
    <w:rsid w:val="00D821E5"/>
    <w:rsid w:val="00D82272"/>
    <w:rsid w:val="00D82311"/>
    <w:rsid w:val="00D82454"/>
    <w:rsid w:val="00D825F3"/>
    <w:rsid w:val="00D826AF"/>
    <w:rsid w:val="00D82781"/>
    <w:rsid w:val="00D828BC"/>
    <w:rsid w:val="00D82A73"/>
    <w:rsid w:val="00D82A80"/>
    <w:rsid w:val="00D82BEF"/>
    <w:rsid w:val="00D82EB5"/>
    <w:rsid w:val="00D82FA4"/>
    <w:rsid w:val="00D82FA7"/>
    <w:rsid w:val="00D83148"/>
    <w:rsid w:val="00D833F1"/>
    <w:rsid w:val="00D83557"/>
    <w:rsid w:val="00D835ED"/>
    <w:rsid w:val="00D836F9"/>
    <w:rsid w:val="00D83738"/>
    <w:rsid w:val="00D837BA"/>
    <w:rsid w:val="00D837C0"/>
    <w:rsid w:val="00D83A03"/>
    <w:rsid w:val="00D83C50"/>
    <w:rsid w:val="00D83E2C"/>
    <w:rsid w:val="00D83F48"/>
    <w:rsid w:val="00D83FC4"/>
    <w:rsid w:val="00D84088"/>
    <w:rsid w:val="00D841AC"/>
    <w:rsid w:val="00D84717"/>
    <w:rsid w:val="00D84835"/>
    <w:rsid w:val="00D84915"/>
    <w:rsid w:val="00D84942"/>
    <w:rsid w:val="00D8534C"/>
    <w:rsid w:val="00D8539A"/>
    <w:rsid w:val="00D85438"/>
    <w:rsid w:val="00D856F1"/>
    <w:rsid w:val="00D85778"/>
    <w:rsid w:val="00D85842"/>
    <w:rsid w:val="00D85867"/>
    <w:rsid w:val="00D858F8"/>
    <w:rsid w:val="00D859D7"/>
    <w:rsid w:val="00D85E12"/>
    <w:rsid w:val="00D85EBB"/>
    <w:rsid w:val="00D85FD9"/>
    <w:rsid w:val="00D8603D"/>
    <w:rsid w:val="00D860F7"/>
    <w:rsid w:val="00D86115"/>
    <w:rsid w:val="00D8612B"/>
    <w:rsid w:val="00D861F3"/>
    <w:rsid w:val="00D86342"/>
    <w:rsid w:val="00D86676"/>
    <w:rsid w:val="00D86743"/>
    <w:rsid w:val="00D867B7"/>
    <w:rsid w:val="00D868BC"/>
    <w:rsid w:val="00D86BEA"/>
    <w:rsid w:val="00D86C22"/>
    <w:rsid w:val="00D86F05"/>
    <w:rsid w:val="00D86FD2"/>
    <w:rsid w:val="00D870A3"/>
    <w:rsid w:val="00D87123"/>
    <w:rsid w:val="00D87538"/>
    <w:rsid w:val="00D87673"/>
    <w:rsid w:val="00D879AF"/>
    <w:rsid w:val="00D87C30"/>
    <w:rsid w:val="00D90175"/>
    <w:rsid w:val="00D90286"/>
    <w:rsid w:val="00D903F6"/>
    <w:rsid w:val="00D90406"/>
    <w:rsid w:val="00D90601"/>
    <w:rsid w:val="00D907EB"/>
    <w:rsid w:val="00D909C2"/>
    <w:rsid w:val="00D90A20"/>
    <w:rsid w:val="00D90DAA"/>
    <w:rsid w:val="00D90FD6"/>
    <w:rsid w:val="00D9102C"/>
    <w:rsid w:val="00D91051"/>
    <w:rsid w:val="00D9172E"/>
    <w:rsid w:val="00D91C8E"/>
    <w:rsid w:val="00D91CCC"/>
    <w:rsid w:val="00D91D15"/>
    <w:rsid w:val="00D91DCA"/>
    <w:rsid w:val="00D91F55"/>
    <w:rsid w:val="00D92037"/>
    <w:rsid w:val="00D921EC"/>
    <w:rsid w:val="00D9260C"/>
    <w:rsid w:val="00D92702"/>
    <w:rsid w:val="00D92A08"/>
    <w:rsid w:val="00D92B6C"/>
    <w:rsid w:val="00D92C4C"/>
    <w:rsid w:val="00D92DCC"/>
    <w:rsid w:val="00D92FAB"/>
    <w:rsid w:val="00D932A8"/>
    <w:rsid w:val="00D934E6"/>
    <w:rsid w:val="00D9358B"/>
    <w:rsid w:val="00D936DA"/>
    <w:rsid w:val="00D9386A"/>
    <w:rsid w:val="00D9390B"/>
    <w:rsid w:val="00D93A59"/>
    <w:rsid w:val="00D93CF8"/>
    <w:rsid w:val="00D93D9E"/>
    <w:rsid w:val="00D93EA6"/>
    <w:rsid w:val="00D9413C"/>
    <w:rsid w:val="00D9471C"/>
    <w:rsid w:val="00D947D5"/>
    <w:rsid w:val="00D9483B"/>
    <w:rsid w:val="00D948F6"/>
    <w:rsid w:val="00D94B44"/>
    <w:rsid w:val="00D94CAD"/>
    <w:rsid w:val="00D94D94"/>
    <w:rsid w:val="00D94E6E"/>
    <w:rsid w:val="00D94E71"/>
    <w:rsid w:val="00D94E85"/>
    <w:rsid w:val="00D9509C"/>
    <w:rsid w:val="00D95272"/>
    <w:rsid w:val="00D95333"/>
    <w:rsid w:val="00D9535D"/>
    <w:rsid w:val="00D9547C"/>
    <w:rsid w:val="00D95504"/>
    <w:rsid w:val="00D957E2"/>
    <w:rsid w:val="00D958D8"/>
    <w:rsid w:val="00D9600C"/>
    <w:rsid w:val="00D9648D"/>
    <w:rsid w:val="00D964B2"/>
    <w:rsid w:val="00D96529"/>
    <w:rsid w:val="00D965BB"/>
    <w:rsid w:val="00D96638"/>
    <w:rsid w:val="00D96705"/>
    <w:rsid w:val="00D9686E"/>
    <w:rsid w:val="00D96B1D"/>
    <w:rsid w:val="00D96D46"/>
    <w:rsid w:val="00D96DFC"/>
    <w:rsid w:val="00D9700E"/>
    <w:rsid w:val="00D970C0"/>
    <w:rsid w:val="00D9732D"/>
    <w:rsid w:val="00D973C5"/>
    <w:rsid w:val="00D97761"/>
    <w:rsid w:val="00D97F3D"/>
    <w:rsid w:val="00DA0145"/>
    <w:rsid w:val="00DA021A"/>
    <w:rsid w:val="00DA0377"/>
    <w:rsid w:val="00DA04BC"/>
    <w:rsid w:val="00DA066D"/>
    <w:rsid w:val="00DA0696"/>
    <w:rsid w:val="00DA06AE"/>
    <w:rsid w:val="00DA0914"/>
    <w:rsid w:val="00DA0941"/>
    <w:rsid w:val="00DA095C"/>
    <w:rsid w:val="00DA09B5"/>
    <w:rsid w:val="00DA0CEE"/>
    <w:rsid w:val="00DA0F69"/>
    <w:rsid w:val="00DA101B"/>
    <w:rsid w:val="00DA1051"/>
    <w:rsid w:val="00DA113E"/>
    <w:rsid w:val="00DA13BD"/>
    <w:rsid w:val="00DA1587"/>
    <w:rsid w:val="00DA16E7"/>
    <w:rsid w:val="00DA198C"/>
    <w:rsid w:val="00DA19D0"/>
    <w:rsid w:val="00DA19EA"/>
    <w:rsid w:val="00DA1ACD"/>
    <w:rsid w:val="00DA1B8A"/>
    <w:rsid w:val="00DA1BE4"/>
    <w:rsid w:val="00DA1E50"/>
    <w:rsid w:val="00DA2002"/>
    <w:rsid w:val="00DA2449"/>
    <w:rsid w:val="00DA257A"/>
    <w:rsid w:val="00DA2614"/>
    <w:rsid w:val="00DA2831"/>
    <w:rsid w:val="00DA292E"/>
    <w:rsid w:val="00DA2983"/>
    <w:rsid w:val="00DA2B2E"/>
    <w:rsid w:val="00DA2B2F"/>
    <w:rsid w:val="00DA2BB4"/>
    <w:rsid w:val="00DA2BC4"/>
    <w:rsid w:val="00DA2D3C"/>
    <w:rsid w:val="00DA2FEF"/>
    <w:rsid w:val="00DA315D"/>
    <w:rsid w:val="00DA31AF"/>
    <w:rsid w:val="00DA3220"/>
    <w:rsid w:val="00DA33D5"/>
    <w:rsid w:val="00DA35E2"/>
    <w:rsid w:val="00DA3749"/>
    <w:rsid w:val="00DA38C6"/>
    <w:rsid w:val="00DA3A42"/>
    <w:rsid w:val="00DA3A57"/>
    <w:rsid w:val="00DA3B19"/>
    <w:rsid w:val="00DA3B25"/>
    <w:rsid w:val="00DA3CE0"/>
    <w:rsid w:val="00DA3D08"/>
    <w:rsid w:val="00DA3DFD"/>
    <w:rsid w:val="00DA3F22"/>
    <w:rsid w:val="00DA4095"/>
    <w:rsid w:val="00DA4096"/>
    <w:rsid w:val="00DA417B"/>
    <w:rsid w:val="00DA4417"/>
    <w:rsid w:val="00DA45AF"/>
    <w:rsid w:val="00DA46AE"/>
    <w:rsid w:val="00DA4970"/>
    <w:rsid w:val="00DA49F3"/>
    <w:rsid w:val="00DA4AC2"/>
    <w:rsid w:val="00DA4DC7"/>
    <w:rsid w:val="00DA4DFC"/>
    <w:rsid w:val="00DA4F9D"/>
    <w:rsid w:val="00DA52A0"/>
    <w:rsid w:val="00DA546B"/>
    <w:rsid w:val="00DA5634"/>
    <w:rsid w:val="00DA569A"/>
    <w:rsid w:val="00DA58AC"/>
    <w:rsid w:val="00DA592C"/>
    <w:rsid w:val="00DA597F"/>
    <w:rsid w:val="00DA5993"/>
    <w:rsid w:val="00DA5D69"/>
    <w:rsid w:val="00DA5F7C"/>
    <w:rsid w:val="00DA6174"/>
    <w:rsid w:val="00DA61C5"/>
    <w:rsid w:val="00DA6303"/>
    <w:rsid w:val="00DA6378"/>
    <w:rsid w:val="00DA64EA"/>
    <w:rsid w:val="00DA6511"/>
    <w:rsid w:val="00DA685D"/>
    <w:rsid w:val="00DA68CB"/>
    <w:rsid w:val="00DA6CD3"/>
    <w:rsid w:val="00DA6CEF"/>
    <w:rsid w:val="00DA6E1D"/>
    <w:rsid w:val="00DA6F1A"/>
    <w:rsid w:val="00DA72E7"/>
    <w:rsid w:val="00DA742D"/>
    <w:rsid w:val="00DA78DA"/>
    <w:rsid w:val="00DA798A"/>
    <w:rsid w:val="00DA7B1F"/>
    <w:rsid w:val="00DB00C0"/>
    <w:rsid w:val="00DB0166"/>
    <w:rsid w:val="00DB0182"/>
    <w:rsid w:val="00DB0353"/>
    <w:rsid w:val="00DB03F2"/>
    <w:rsid w:val="00DB0570"/>
    <w:rsid w:val="00DB0608"/>
    <w:rsid w:val="00DB07F5"/>
    <w:rsid w:val="00DB093E"/>
    <w:rsid w:val="00DB0CBC"/>
    <w:rsid w:val="00DB0D71"/>
    <w:rsid w:val="00DB0FCF"/>
    <w:rsid w:val="00DB1169"/>
    <w:rsid w:val="00DB12D4"/>
    <w:rsid w:val="00DB1336"/>
    <w:rsid w:val="00DB13A1"/>
    <w:rsid w:val="00DB13DF"/>
    <w:rsid w:val="00DB1414"/>
    <w:rsid w:val="00DB153F"/>
    <w:rsid w:val="00DB15C9"/>
    <w:rsid w:val="00DB1815"/>
    <w:rsid w:val="00DB1886"/>
    <w:rsid w:val="00DB18B1"/>
    <w:rsid w:val="00DB193E"/>
    <w:rsid w:val="00DB1BC0"/>
    <w:rsid w:val="00DB1E05"/>
    <w:rsid w:val="00DB1FAF"/>
    <w:rsid w:val="00DB1FDE"/>
    <w:rsid w:val="00DB226A"/>
    <w:rsid w:val="00DB231E"/>
    <w:rsid w:val="00DB271F"/>
    <w:rsid w:val="00DB2AD9"/>
    <w:rsid w:val="00DB2B68"/>
    <w:rsid w:val="00DB2B6D"/>
    <w:rsid w:val="00DB2E47"/>
    <w:rsid w:val="00DB3009"/>
    <w:rsid w:val="00DB3647"/>
    <w:rsid w:val="00DB3723"/>
    <w:rsid w:val="00DB39AF"/>
    <w:rsid w:val="00DB3A05"/>
    <w:rsid w:val="00DB3B90"/>
    <w:rsid w:val="00DB3BAF"/>
    <w:rsid w:val="00DB3C00"/>
    <w:rsid w:val="00DB3CF9"/>
    <w:rsid w:val="00DB3D00"/>
    <w:rsid w:val="00DB3F4E"/>
    <w:rsid w:val="00DB3F82"/>
    <w:rsid w:val="00DB3FC6"/>
    <w:rsid w:val="00DB4055"/>
    <w:rsid w:val="00DB416B"/>
    <w:rsid w:val="00DB4237"/>
    <w:rsid w:val="00DB42C3"/>
    <w:rsid w:val="00DB44DC"/>
    <w:rsid w:val="00DB4545"/>
    <w:rsid w:val="00DB47E4"/>
    <w:rsid w:val="00DB49BC"/>
    <w:rsid w:val="00DB4BB1"/>
    <w:rsid w:val="00DB4BDD"/>
    <w:rsid w:val="00DB4CC3"/>
    <w:rsid w:val="00DB4D11"/>
    <w:rsid w:val="00DB4D3E"/>
    <w:rsid w:val="00DB4E34"/>
    <w:rsid w:val="00DB4F6D"/>
    <w:rsid w:val="00DB5184"/>
    <w:rsid w:val="00DB5207"/>
    <w:rsid w:val="00DB520D"/>
    <w:rsid w:val="00DB55D1"/>
    <w:rsid w:val="00DB56B7"/>
    <w:rsid w:val="00DB571A"/>
    <w:rsid w:val="00DB57EC"/>
    <w:rsid w:val="00DB5816"/>
    <w:rsid w:val="00DB59FC"/>
    <w:rsid w:val="00DB5A03"/>
    <w:rsid w:val="00DB5AEE"/>
    <w:rsid w:val="00DB5B11"/>
    <w:rsid w:val="00DB5BA6"/>
    <w:rsid w:val="00DB5C5A"/>
    <w:rsid w:val="00DB5FB4"/>
    <w:rsid w:val="00DB61C1"/>
    <w:rsid w:val="00DB62C2"/>
    <w:rsid w:val="00DB64B1"/>
    <w:rsid w:val="00DB64F0"/>
    <w:rsid w:val="00DB675C"/>
    <w:rsid w:val="00DB6926"/>
    <w:rsid w:val="00DB6AB3"/>
    <w:rsid w:val="00DB6B89"/>
    <w:rsid w:val="00DB6C27"/>
    <w:rsid w:val="00DB6C48"/>
    <w:rsid w:val="00DB6CBA"/>
    <w:rsid w:val="00DB6E77"/>
    <w:rsid w:val="00DB6FF5"/>
    <w:rsid w:val="00DB7045"/>
    <w:rsid w:val="00DB7377"/>
    <w:rsid w:val="00DB759D"/>
    <w:rsid w:val="00DB77BC"/>
    <w:rsid w:val="00DB7817"/>
    <w:rsid w:val="00DB793A"/>
    <w:rsid w:val="00DB7BE2"/>
    <w:rsid w:val="00DB7F2F"/>
    <w:rsid w:val="00DC0094"/>
    <w:rsid w:val="00DC0397"/>
    <w:rsid w:val="00DC06AD"/>
    <w:rsid w:val="00DC06EE"/>
    <w:rsid w:val="00DC0720"/>
    <w:rsid w:val="00DC08DE"/>
    <w:rsid w:val="00DC09BA"/>
    <w:rsid w:val="00DC0AE8"/>
    <w:rsid w:val="00DC0B5A"/>
    <w:rsid w:val="00DC0CE0"/>
    <w:rsid w:val="00DC0EDE"/>
    <w:rsid w:val="00DC0F83"/>
    <w:rsid w:val="00DC10E9"/>
    <w:rsid w:val="00DC1140"/>
    <w:rsid w:val="00DC1188"/>
    <w:rsid w:val="00DC118D"/>
    <w:rsid w:val="00DC1495"/>
    <w:rsid w:val="00DC1588"/>
    <w:rsid w:val="00DC1BC8"/>
    <w:rsid w:val="00DC257C"/>
    <w:rsid w:val="00DC26A7"/>
    <w:rsid w:val="00DC27A6"/>
    <w:rsid w:val="00DC28D0"/>
    <w:rsid w:val="00DC298F"/>
    <w:rsid w:val="00DC2ACA"/>
    <w:rsid w:val="00DC2B60"/>
    <w:rsid w:val="00DC2CF5"/>
    <w:rsid w:val="00DC2DA6"/>
    <w:rsid w:val="00DC2DDC"/>
    <w:rsid w:val="00DC2E94"/>
    <w:rsid w:val="00DC3022"/>
    <w:rsid w:val="00DC3055"/>
    <w:rsid w:val="00DC31C8"/>
    <w:rsid w:val="00DC3AAA"/>
    <w:rsid w:val="00DC3B53"/>
    <w:rsid w:val="00DC40D6"/>
    <w:rsid w:val="00DC4275"/>
    <w:rsid w:val="00DC42B3"/>
    <w:rsid w:val="00DC43DE"/>
    <w:rsid w:val="00DC4518"/>
    <w:rsid w:val="00DC4686"/>
    <w:rsid w:val="00DC4ACF"/>
    <w:rsid w:val="00DC4B14"/>
    <w:rsid w:val="00DC4CA1"/>
    <w:rsid w:val="00DC4D0D"/>
    <w:rsid w:val="00DC4D6E"/>
    <w:rsid w:val="00DC505A"/>
    <w:rsid w:val="00DC50AA"/>
    <w:rsid w:val="00DC53E2"/>
    <w:rsid w:val="00DC563F"/>
    <w:rsid w:val="00DC56CB"/>
    <w:rsid w:val="00DC5A57"/>
    <w:rsid w:val="00DC5BCC"/>
    <w:rsid w:val="00DC5D66"/>
    <w:rsid w:val="00DC5EC2"/>
    <w:rsid w:val="00DC5F6C"/>
    <w:rsid w:val="00DC6054"/>
    <w:rsid w:val="00DC6177"/>
    <w:rsid w:val="00DC61C7"/>
    <w:rsid w:val="00DC6246"/>
    <w:rsid w:val="00DC647A"/>
    <w:rsid w:val="00DC6572"/>
    <w:rsid w:val="00DC65EB"/>
    <w:rsid w:val="00DC6720"/>
    <w:rsid w:val="00DC67B1"/>
    <w:rsid w:val="00DC67BE"/>
    <w:rsid w:val="00DC6855"/>
    <w:rsid w:val="00DC6879"/>
    <w:rsid w:val="00DC6991"/>
    <w:rsid w:val="00DC6A2F"/>
    <w:rsid w:val="00DC6E60"/>
    <w:rsid w:val="00DC6F05"/>
    <w:rsid w:val="00DC70E6"/>
    <w:rsid w:val="00DC752F"/>
    <w:rsid w:val="00DC757F"/>
    <w:rsid w:val="00DC759C"/>
    <w:rsid w:val="00DC78EB"/>
    <w:rsid w:val="00DC79A7"/>
    <w:rsid w:val="00DC7C77"/>
    <w:rsid w:val="00DC7D6C"/>
    <w:rsid w:val="00DD01A8"/>
    <w:rsid w:val="00DD0246"/>
    <w:rsid w:val="00DD02E2"/>
    <w:rsid w:val="00DD0526"/>
    <w:rsid w:val="00DD090B"/>
    <w:rsid w:val="00DD09FD"/>
    <w:rsid w:val="00DD0D4B"/>
    <w:rsid w:val="00DD0DEC"/>
    <w:rsid w:val="00DD0EF1"/>
    <w:rsid w:val="00DD115A"/>
    <w:rsid w:val="00DD1244"/>
    <w:rsid w:val="00DD12C5"/>
    <w:rsid w:val="00DD14B8"/>
    <w:rsid w:val="00DD14D5"/>
    <w:rsid w:val="00DD1582"/>
    <w:rsid w:val="00DD163C"/>
    <w:rsid w:val="00DD1898"/>
    <w:rsid w:val="00DD18FD"/>
    <w:rsid w:val="00DD1B3E"/>
    <w:rsid w:val="00DD1B69"/>
    <w:rsid w:val="00DD1C55"/>
    <w:rsid w:val="00DD2554"/>
    <w:rsid w:val="00DD28D2"/>
    <w:rsid w:val="00DD2979"/>
    <w:rsid w:val="00DD29C7"/>
    <w:rsid w:val="00DD2C0E"/>
    <w:rsid w:val="00DD2DD5"/>
    <w:rsid w:val="00DD2DDC"/>
    <w:rsid w:val="00DD316E"/>
    <w:rsid w:val="00DD3179"/>
    <w:rsid w:val="00DD3193"/>
    <w:rsid w:val="00DD31FE"/>
    <w:rsid w:val="00DD321C"/>
    <w:rsid w:val="00DD3288"/>
    <w:rsid w:val="00DD32AB"/>
    <w:rsid w:val="00DD3551"/>
    <w:rsid w:val="00DD35EB"/>
    <w:rsid w:val="00DD374C"/>
    <w:rsid w:val="00DD3B9A"/>
    <w:rsid w:val="00DD4306"/>
    <w:rsid w:val="00DD44CF"/>
    <w:rsid w:val="00DD459F"/>
    <w:rsid w:val="00DD49D8"/>
    <w:rsid w:val="00DD4B32"/>
    <w:rsid w:val="00DD4B56"/>
    <w:rsid w:val="00DD4B6C"/>
    <w:rsid w:val="00DD4C3A"/>
    <w:rsid w:val="00DD4CE7"/>
    <w:rsid w:val="00DD4D35"/>
    <w:rsid w:val="00DD4FCF"/>
    <w:rsid w:val="00DD51EC"/>
    <w:rsid w:val="00DD528B"/>
    <w:rsid w:val="00DD5319"/>
    <w:rsid w:val="00DD5589"/>
    <w:rsid w:val="00DD56AF"/>
    <w:rsid w:val="00DD5797"/>
    <w:rsid w:val="00DD5A14"/>
    <w:rsid w:val="00DD5BC6"/>
    <w:rsid w:val="00DD5CB3"/>
    <w:rsid w:val="00DD5EFD"/>
    <w:rsid w:val="00DD601D"/>
    <w:rsid w:val="00DD6129"/>
    <w:rsid w:val="00DD63B1"/>
    <w:rsid w:val="00DD63C0"/>
    <w:rsid w:val="00DD6584"/>
    <w:rsid w:val="00DD67E2"/>
    <w:rsid w:val="00DD6920"/>
    <w:rsid w:val="00DD6BA1"/>
    <w:rsid w:val="00DD6C4C"/>
    <w:rsid w:val="00DD6D2C"/>
    <w:rsid w:val="00DD7115"/>
    <w:rsid w:val="00DD728A"/>
    <w:rsid w:val="00DD7525"/>
    <w:rsid w:val="00DD7693"/>
    <w:rsid w:val="00DD77A6"/>
    <w:rsid w:val="00DD78E0"/>
    <w:rsid w:val="00DD7BB1"/>
    <w:rsid w:val="00DD7CDB"/>
    <w:rsid w:val="00DD7D9E"/>
    <w:rsid w:val="00DE04AE"/>
    <w:rsid w:val="00DE05E0"/>
    <w:rsid w:val="00DE0666"/>
    <w:rsid w:val="00DE06BF"/>
    <w:rsid w:val="00DE0886"/>
    <w:rsid w:val="00DE0BE6"/>
    <w:rsid w:val="00DE0CB8"/>
    <w:rsid w:val="00DE0CBB"/>
    <w:rsid w:val="00DE0D66"/>
    <w:rsid w:val="00DE11F1"/>
    <w:rsid w:val="00DE138F"/>
    <w:rsid w:val="00DE194B"/>
    <w:rsid w:val="00DE1BFB"/>
    <w:rsid w:val="00DE1CC5"/>
    <w:rsid w:val="00DE1E0C"/>
    <w:rsid w:val="00DE1EE8"/>
    <w:rsid w:val="00DE1F37"/>
    <w:rsid w:val="00DE206C"/>
    <w:rsid w:val="00DE210E"/>
    <w:rsid w:val="00DE21B9"/>
    <w:rsid w:val="00DE244A"/>
    <w:rsid w:val="00DE2495"/>
    <w:rsid w:val="00DE277F"/>
    <w:rsid w:val="00DE2823"/>
    <w:rsid w:val="00DE293F"/>
    <w:rsid w:val="00DE2A75"/>
    <w:rsid w:val="00DE2A9D"/>
    <w:rsid w:val="00DE2B98"/>
    <w:rsid w:val="00DE2CE7"/>
    <w:rsid w:val="00DE2D0E"/>
    <w:rsid w:val="00DE2DAF"/>
    <w:rsid w:val="00DE2DFF"/>
    <w:rsid w:val="00DE2E9E"/>
    <w:rsid w:val="00DE2FCD"/>
    <w:rsid w:val="00DE355C"/>
    <w:rsid w:val="00DE396D"/>
    <w:rsid w:val="00DE3ABF"/>
    <w:rsid w:val="00DE3B05"/>
    <w:rsid w:val="00DE3C4D"/>
    <w:rsid w:val="00DE3CC9"/>
    <w:rsid w:val="00DE3D43"/>
    <w:rsid w:val="00DE3E5A"/>
    <w:rsid w:val="00DE3E68"/>
    <w:rsid w:val="00DE3FCC"/>
    <w:rsid w:val="00DE401C"/>
    <w:rsid w:val="00DE40D1"/>
    <w:rsid w:val="00DE4126"/>
    <w:rsid w:val="00DE416C"/>
    <w:rsid w:val="00DE41F0"/>
    <w:rsid w:val="00DE424B"/>
    <w:rsid w:val="00DE43EC"/>
    <w:rsid w:val="00DE44BA"/>
    <w:rsid w:val="00DE487E"/>
    <w:rsid w:val="00DE4B70"/>
    <w:rsid w:val="00DE4C28"/>
    <w:rsid w:val="00DE4F83"/>
    <w:rsid w:val="00DE5181"/>
    <w:rsid w:val="00DE5711"/>
    <w:rsid w:val="00DE5854"/>
    <w:rsid w:val="00DE59AB"/>
    <w:rsid w:val="00DE5B0C"/>
    <w:rsid w:val="00DE5BEB"/>
    <w:rsid w:val="00DE5E36"/>
    <w:rsid w:val="00DE5E7D"/>
    <w:rsid w:val="00DE5F9B"/>
    <w:rsid w:val="00DE60F8"/>
    <w:rsid w:val="00DE60F9"/>
    <w:rsid w:val="00DE613F"/>
    <w:rsid w:val="00DE637C"/>
    <w:rsid w:val="00DE6397"/>
    <w:rsid w:val="00DE65CE"/>
    <w:rsid w:val="00DE6939"/>
    <w:rsid w:val="00DE6B14"/>
    <w:rsid w:val="00DE6BBA"/>
    <w:rsid w:val="00DE6C0E"/>
    <w:rsid w:val="00DE6C7E"/>
    <w:rsid w:val="00DE6D35"/>
    <w:rsid w:val="00DE6DB6"/>
    <w:rsid w:val="00DE6F49"/>
    <w:rsid w:val="00DE7081"/>
    <w:rsid w:val="00DE728E"/>
    <w:rsid w:val="00DE73C0"/>
    <w:rsid w:val="00DE756E"/>
    <w:rsid w:val="00DE75F1"/>
    <w:rsid w:val="00DE780C"/>
    <w:rsid w:val="00DE78E2"/>
    <w:rsid w:val="00DE79F9"/>
    <w:rsid w:val="00DE7C49"/>
    <w:rsid w:val="00DE7DFC"/>
    <w:rsid w:val="00DE7FAD"/>
    <w:rsid w:val="00DE7FAE"/>
    <w:rsid w:val="00DF014D"/>
    <w:rsid w:val="00DF0343"/>
    <w:rsid w:val="00DF03BE"/>
    <w:rsid w:val="00DF03C1"/>
    <w:rsid w:val="00DF0503"/>
    <w:rsid w:val="00DF064C"/>
    <w:rsid w:val="00DF0726"/>
    <w:rsid w:val="00DF07EF"/>
    <w:rsid w:val="00DF0A16"/>
    <w:rsid w:val="00DF0AF2"/>
    <w:rsid w:val="00DF0B60"/>
    <w:rsid w:val="00DF0B91"/>
    <w:rsid w:val="00DF0C67"/>
    <w:rsid w:val="00DF1109"/>
    <w:rsid w:val="00DF1205"/>
    <w:rsid w:val="00DF12D1"/>
    <w:rsid w:val="00DF160C"/>
    <w:rsid w:val="00DF16D3"/>
    <w:rsid w:val="00DF182B"/>
    <w:rsid w:val="00DF1ABD"/>
    <w:rsid w:val="00DF2021"/>
    <w:rsid w:val="00DF20F0"/>
    <w:rsid w:val="00DF2153"/>
    <w:rsid w:val="00DF21D0"/>
    <w:rsid w:val="00DF224E"/>
    <w:rsid w:val="00DF2285"/>
    <w:rsid w:val="00DF2427"/>
    <w:rsid w:val="00DF2465"/>
    <w:rsid w:val="00DF249C"/>
    <w:rsid w:val="00DF261C"/>
    <w:rsid w:val="00DF2732"/>
    <w:rsid w:val="00DF27A9"/>
    <w:rsid w:val="00DF2845"/>
    <w:rsid w:val="00DF2851"/>
    <w:rsid w:val="00DF28D5"/>
    <w:rsid w:val="00DF2A69"/>
    <w:rsid w:val="00DF2AAD"/>
    <w:rsid w:val="00DF2AB3"/>
    <w:rsid w:val="00DF2BC3"/>
    <w:rsid w:val="00DF2FCB"/>
    <w:rsid w:val="00DF3001"/>
    <w:rsid w:val="00DF309A"/>
    <w:rsid w:val="00DF3139"/>
    <w:rsid w:val="00DF3527"/>
    <w:rsid w:val="00DF35DA"/>
    <w:rsid w:val="00DF3A24"/>
    <w:rsid w:val="00DF3B4A"/>
    <w:rsid w:val="00DF3BD2"/>
    <w:rsid w:val="00DF3C06"/>
    <w:rsid w:val="00DF3C43"/>
    <w:rsid w:val="00DF3FC6"/>
    <w:rsid w:val="00DF436C"/>
    <w:rsid w:val="00DF4402"/>
    <w:rsid w:val="00DF468F"/>
    <w:rsid w:val="00DF48D8"/>
    <w:rsid w:val="00DF4A2F"/>
    <w:rsid w:val="00DF4A3C"/>
    <w:rsid w:val="00DF4AD8"/>
    <w:rsid w:val="00DF4B9F"/>
    <w:rsid w:val="00DF4BE0"/>
    <w:rsid w:val="00DF4C4E"/>
    <w:rsid w:val="00DF4CE8"/>
    <w:rsid w:val="00DF4EB3"/>
    <w:rsid w:val="00DF4FAE"/>
    <w:rsid w:val="00DF4FD4"/>
    <w:rsid w:val="00DF5154"/>
    <w:rsid w:val="00DF53D0"/>
    <w:rsid w:val="00DF550A"/>
    <w:rsid w:val="00DF57C1"/>
    <w:rsid w:val="00DF58CD"/>
    <w:rsid w:val="00DF5A25"/>
    <w:rsid w:val="00DF5AFB"/>
    <w:rsid w:val="00DF5B5C"/>
    <w:rsid w:val="00DF5D70"/>
    <w:rsid w:val="00DF5EF6"/>
    <w:rsid w:val="00DF6142"/>
    <w:rsid w:val="00DF62F3"/>
    <w:rsid w:val="00DF62FD"/>
    <w:rsid w:val="00DF6302"/>
    <w:rsid w:val="00DF63FB"/>
    <w:rsid w:val="00DF653A"/>
    <w:rsid w:val="00DF69E5"/>
    <w:rsid w:val="00DF6A40"/>
    <w:rsid w:val="00DF6B56"/>
    <w:rsid w:val="00DF6C92"/>
    <w:rsid w:val="00DF72A6"/>
    <w:rsid w:val="00DF764C"/>
    <w:rsid w:val="00DF78D3"/>
    <w:rsid w:val="00DF7B60"/>
    <w:rsid w:val="00DF7FD8"/>
    <w:rsid w:val="00E00176"/>
    <w:rsid w:val="00E0035E"/>
    <w:rsid w:val="00E007EC"/>
    <w:rsid w:val="00E0081A"/>
    <w:rsid w:val="00E009A6"/>
    <w:rsid w:val="00E00AB0"/>
    <w:rsid w:val="00E00C17"/>
    <w:rsid w:val="00E01050"/>
    <w:rsid w:val="00E010FD"/>
    <w:rsid w:val="00E0110D"/>
    <w:rsid w:val="00E01231"/>
    <w:rsid w:val="00E01563"/>
    <w:rsid w:val="00E01660"/>
    <w:rsid w:val="00E01A0B"/>
    <w:rsid w:val="00E01B27"/>
    <w:rsid w:val="00E01B3B"/>
    <w:rsid w:val="00E01C66"/>
    <w:rsid w:val="00E01F12"/>
    <w:rsid w:val="00E01FAD"/>
    <w:rsid w:val="00E02065"/>
    <w:rsid w:val="00E02094"/>
    <w:rsid w:val="00E02098"/>
    <w:rsid w:val="00E021F6"/>
    <w:rsid w:val="00E0248E"/>
    <w:rsid w:val="00E02496"/>
    <w:rsid w:val="00E024AC"/>
    <w:rsid w:val="00E026F8"/>
    <w:rsid w:val="00E027D8"/>
    <w:rsid w:val="00E02A4D"/>
    <w:rsid w:val="00E02C54"/>
    <w:rsid w:val="00E030F0"/>
    <w:rsid w:val="00E0320C"/>
    <w:rsid w:val="00E0338F"/>
    <w:rsid w:val="00E0353C"/>
    <w:rsid w:val="00E0355F"/>
    <w:rsid w:val="00E03699"/>
    <w:rsid w:val="00E0371A"/>
    <w:rsid w:val="00E03769"/>
    <w:rsid w:val="00E038DB"/>
    <w:rsid w:val="00E039AC"/>
    <w:rsid w:val="00E03D58"/>
    <w:rsid w:val="00E03EDB"/>
    <w:rsid w:val="00E04002"/>
    <w:rsid w:val="00E04B4C"/>
    <w:rsid w:val="00E04C83"/>
    <w:rsid w:val="00E04E99"/>
    <w:rsid w:val="00E0526B"/>
    <w:rsid w:val="00E0558C"/>
    <w:rsid w:val="00E055A4"/>
    <w:rsid w:val="00E0560B"/>
    <w:rsid w:val="00E05707"/>
    <w:rsid w:val="00E0576D"/>
    <w:rsid w:val="00E06293"/>
    <w:rsid w:val="00E06442"/>
    <w:rsid w:val="00E06912"/>
    <w:rsid w:val="00E07180"/>
    <w:rsid w:val="00E07197"/>
    <w:rsid w:val="00E0752A"/>
    <w:rsid w:val="00E07656"/>
    <w:rsid w:val="00E07A08"/>
    <w:rsid w:val="00E07B7E"/>
    <w:rsid w:val="00E07C43"/>
    <w:rsid w:val="00E07E59"/>
    <w:rsid w:val="00E07EDB"/>
    <w:rsid w:val="00E07FDE"/>
    <w:rsid w:val="00E1002C"/>
    <w:rsid w:val="00E101C1"/>
    <w:rsid w:val="00E102B0"/>
    <w:rsid w:val="00E1035F"/>
    <w:rsid w:val="00E1040D"/>
    <w:rsid w:val="00E104F1"/>
    <w:rsid w:val="00E108FA"/>
    <w:rsid w:val="00E10C5C"/>
    <w:rsid w:val="00E10C77"/>
    <w:rsid w:val="00E10F94"/>
    <w:rsid w:val="00E10FEE"/>
    <w:rsid w:val="00E1103F"/>
    <w:rsid w:val="00E11304"/>
    <w:rsid w:val="00E11363"/>
    <w:rsid w:val="00E113A2"/>
    <w:rsid w:val="00E11464"/>
    <w:rsid w:val="00E11467"/>
    <w:rsid w:val="00E1147E"/>
    <w:rsid w:val="00E1153A"/>
    <w:rsid w:val="00E11549"/>
    <w:rsid w:val="00E116EC"/>
    <w:rsid w:val="00E117F9"/>
    <w:rsid w:val="00E119FF"/>
    <w:rsid w:val="00E11A75"/>
    <w:rsid w:val="00E11C35"/>
    <w:rsid w:val="00E11D73"/>
    <w:rsid w:val="00E11F71"/>
    <w:rsid w:val="00E11FA1"/>
    <w:rsid w:val="00E120DF"/>
    <w:rsid w:val="00E12170"/>
    <w:rsid w:val="00E1253E"/>
    <w:rsid w:val="00E125D6"/>
    <w:rsid w:val="00E12BFC"/>
    <w:rsid w:val="00E12C28"/>
    <w:rsid w:val="00E12F69"/>
    <w:rsid w:val="00E12F6F"/>
    <w:rsid w:val="00E1310F"/>
    <w:rsid w:val="00E132E2"/>
    <w:rsid w:val="00E13385"/>
    <w:rsid w:val="00E134C7"/>
    <w:rsid w:val="00E135FC"/>
    <w:rsid w:val="00E136A6"/>
    <w:rsid w:val="00E13815"/>
    <w:rsid w:val="00E13861"/>
    <w:rsid w:val="00E13C74"/>
    <w:rsid w:val="00E13DC5"/>
    <w:rsid w:val="00E13EE2"/>
    <w:rsid w:val="00E1445A"/>
    <w:rsid w:val="00E144A2"/>
    <w:rsid w:val="00E14909"/>
    <w:rsid w:val="00E14EED"/>
    <w:rsid w:val="00E150BF"/>
    <w:rsid w:val="00E1519C"/>
    <w:rsid w:val="00E15283"/>
    <w:rsid w:val="00E1528F"/>
    <w:rsid w:val="00E15399"/>
    <w:rsid w:val="00E1566C"/>
    <w:rsid w:val="00E15DFD"/>
    <w:rsid w:val="00E15E5A"/>
    <w:rsid w:val="00E15E7F"/>
    <w:rsid w:val="00E15F09"/>
    <w:rsid w:val="00E16595"/>
    <w:rsid w:val="00E1671A"/>
    <w:rsid w:val="00E1689F"/>
    <w:rsid w:val="00E1692F"/>
    <w:rsid w:val="00E16C47"/>
    <w:rsid w:val="00E16CA0"/>
    <w:rsid w:val="00E16D30"/>
    <w:rsid w:val="00E16D74"/>
    <w:rsid w:val="00E16E42"/>
    <w:rsid w:val="00E17035"/>
    <w:rsid w:val="00E1722B"/>
    <w:rsid w:val="00E17807"/>
    <w:rsid w:val="00E1783F"/>
    <w:rsid w:val="00E17DA3"/>
    <w:rsid w:val="00E17E8C"/>
    <w:rsid w:val="00E17EC2"/>
    <w:rsid w:val="00E17EDC"/>
    <w:rsid w:val="00E17EE4"/>
    <w:rsid w:val="00E17F63"/>
    <w:rsid w:val="00E202DC"/>
    <w:rsid w:val="00E206D5"/>
    <w:rsid w:val="00E20B98"/>
    <w:rsid w:val="00E20C0A"/>
    <w:rsid w:val="00E210D9"/>
    <w:rsid w:val="00E211E8"/>
    <w:rsid w:val="00E213AA"/>
    <w:rsid w:val="00E21544"/>
    <w:rsid w:val="00E21565"/>
    <w:rsid w:val="00E215AD"/>
    <w:rsid w:val="00E21997"/>
    <w:rsid w:val="00E21A8D"/>
    <w:rsid w:val="00E21B50"/>
    <w:rsid w:val="00E21FEA"/>
    <w:rsid w:val="00E22126"/>
    <w:rsid w:val="00E225F0"/>
    <w:rsid w:val="00E22670"/>
    <w:rsid w:val="00E22838"/>
    <w:rsid w:val="00E22985"/>
    <w:rsid w:val="00E229B5"/>
    <w:rsid w:val="00E22B46"/>
    <w:rsid w:val="00E22C79"/>
    <w:rsid w:val="00E22D44"/>
    <w:rsid w:val="00E22D69"/>
    <w:rsid w:val="00E230E1"/>
    <w:rsid w:val="00E23218"/>
    <w:rsid w:val="00E232A4"/>
    <w:rsid w:val="00E23749"/>
    <w:rsid w:val="00E2379F"/>
    <w:rsid w:val="00E2387B"/>
    <w:rsid w:val="00E23B0A"/>
    <w:rsid w:val="00E23C0B"/>
    <w:rsid w:val="00E23C47"/>
    <w:rsid w:val="00E23DDF"/>
    <w:rsid w:val="00E23EA4"/>
    <w:rsid w:val="00E23EA6"/>
    <w:rsid w:val="00E24109"/>
    <w:rsid w:val="00E2444B"/>
    <w:rsid w:val="00E2456A"/>
    <w:rsid w:val="00E2472C"/>
    <w:rsid w:val="00E24974"/>
    <w:rsid w:val="00E2499E"/>
    <w:rsid w:val="00E24DAC"/>
    <w:rsid w:val="00E25106"/>
    <w:rsid w:val="00E251BC"/>
    <w:rsid w:val="00E252FA"/>
    <w:rsid w:val="00E25374"/>
    <w:rsid w:val="00E25820"/>
    <w:rsid w:val="00E25D62"/>
    <w:rsid w:val="00E25E28"/>
    <w:rsid w:val="00E25F65"/>
    <w:rsid w:val="00E25FDE"/>
    <w:rsid w:val="00E26587"/>
    <w:rsid w:val="00E265B0"/>
    <w:rsid w:val="00E2665B"/>
    <w:rsid w:val="00E266CE"/>
    <w:rsid w:val="00E26729"/>
    <w:rsid w:val="00E2679A"/>
    <w:rsid w:val="00E268C4"/>
    <w:rsid w:val="00E26AE4"/>
    <w:rsid w:val="00E26C49"/>
    <w:rsid w:val="00E26D36"/>
    <w:rsid w:val="00E26EBC"/>
    <w:rsid w:val="00E26F9B"/>
    <w:rsid w:val="00E27656"/>
    <w:rsid w:val="00E2773D"/>
    <w:rsid w:val="00E27962"/>
    <w:rsid w:val="00E27966"/>
    <w:rsid w:val="00E27A73"/>
    <w:rsid w:val="00E27CFE"/>
    <w:rsid w:val="00E30089"/>
    <w:rsid w:val="00E300E4"/>
    <w:rsid w:val="00E30187"/>
    <w:rsid w:val="00E302A3"/>
    <w:rsid w:val="00E303C0"/>
    <w:rsid w:val="00E30451"/>
    <w:rsid w:val="00E30514"/>
    <w:rsid w:val="00E305DC"/>
    <w:rsid w:val="00E307E7"/>
    <w:rsid w:val="00E30978"/>
    <w:rsid w:val="00E30E6D"/>
    <w:rsid w:val="00E30EE5"/>
    <w:rsid w:val="00E30F44"/>
    <w:rsid w:val="00E30FB7"/>
    <w:rsid w:val="00E310A4"/>
    <w:rsid w:val="00E3123D"/>
    <w:rsid w:val="00E3148E"/>
    <w:rsid w:val="00E3160E"/>
    <w:rsid w:val="00E3166E"/>
    <w:rsid w:val="00E317C9"/>
    <w:rsid w:val="00E31811"/>
    <w:rsid w:val="00E31865"/>
    <w:rsid w:val="00E31A2E"/>
    <w:rsid w:val="00E31CD7"/>
    <w:rsid w:val="00E31D7E"/>
    <w:rsid w:val="00E31F6E"/>
    <w:rsid w:val="00E32085"/>
    <w:rsid w:val="00E320D4"/>
    <w:rsid w:val="00E32354"/>
    <w:rsid w:val="00E32380"/>
    <w:rsid w:val="00E325CA"/>
    <w:rsid w:val="00E32A35"/>
    <w:rsid w:val="00E32B45"/>
    <w:rsid w:val="00E32E37"/>
    <w:rsid w:val="00E32EA9"/>
    <w:rsid w:val="00E33286"/>
    <w:rsid w:val="00E332C8"/>
    <w:rsid w:val="00E33421"/>
    <w:rsid w:val="00E33583"/>
    <w:rsid w:val="00E3360A"/>
    <w:rsid w:val="00E336B8"/>
    <w:rsid w:val="00E336E4"/>
    <w:rsid w:val="00E339D3"/>
    <w:rsid w:val="00E33A40"/>
    <w:rsid w:val="00E33E3D"/>
    <w:rsid w:val="00E33E5B"/>
    <w:rsid w:val="00E33F5E"/>
    <w:rsid w:val="00E33F7B"/>
    <w:rsid w:val="00E344CB"/>
    <w:rsid w:val="00E349A7"/>
    <w:rsid w:val="00E34A8F"/>
    <w:rsid w:val="00E34B25"/>
    <w:rsid w:val="00E34E47"/>
    <w:rsid w:val="00E34EA0"/>
    <w:rsid w:val="00E34EAB"/>
    <w:rsid w:val="00E34FA4"/>
    <w:rsid w:val="00E34FCF"/>
    <w:rsid w:val="00E35250"/>
    <w:rsid w:val="00E354BD"/>
    <w:rsid w:val="00E354DC"/>
    <w:rsid w:val="00E358FA"/>
    <w:rsid w:val="00E35967"/>
    <w:rsid w:val="00E359C9"/>
    <w:rsid w:val="00E35A41"/>
    <w:rsid w:val="00E35BE0"/>
    <w:rsid w:val="00E35C97"/>
    <w:rsid w:val="00E35D41"/>
    <w:rsid w:val="00E35E63"/>
    <w:rsid w:val="00E36028"/>
    <w:rsid w:val="00E360BE"/>
    <w:rsid w:val="00E360DC"/>
    <w:rsid w:val="00E360E7"/>
    <w:rsid w:val="00E360F5"/>
    <w:rsid w:val="00E362BF"/>
    <w:rsid w:val="00E365A3"/>
    <w:rsid w:val="00E365A9"/>
    <w:rsid w:val="00E3669C"/>
    <w:rsid w:val="00E36908"/>
    <w:rsid w:val="00E3696C"/>
    <w:rsid w:val="00E36D58"/>
    <w:rsid w:val="00E36E77"/>
    <w:rsid w:val="00E3727C"/>
    <w:rsid w:val="00E373CD"/>
    <w:rsid w:val="00E373E5"/>
    <w:rsid w:val="00E373FD"/>
    <w:rsid w:val="00E374A3"/>
    <w:rsid w:val="00E37514"/>
    <w:rsid w:val="00E37738"/>
    <w:rsid w:val="00E37A91"/>
    <w:rsid w:val="00E4032E"/>
    <w:rsid w:val="00E405B0"/>
    <w:rsid w:val="00E408CE"/>
    <w:rsid w:val="00E409A0"/>
    <w:rsid w:val="00E409E4"/>
    <w:rsid w:val="00E409E7"/>
    <w:rsid w:val="00E41401"/>
    <w:rsid w:val="00E41467"/>
    <w:rsid w:val="00E41568"/>
    <w:rsid w:val="00E416B9"/>
    <w:rsid w:val="00E4176D"/>
    <w:rsid w:val="00E41AEF"/>
    <w:rsid w:val="00E41BAF"/>
    <w:rsid w:val="00E41C03"/>
    <w:rsid w:val="00E41C36"/>
    <w:rsid w:val="00E41D74"/>
    <w:rsid w:val="00E41E27"/>
    <w:rsid w:val="00E41F2A"/>
    <w:rsid w:val="00E420AD"/>
    <w:rsid w:val="00E42182"/>
    <w:rsid w:val="00E4223B"/>
    <w:rsid w:val="00E425C3"/>
    <w:rsid w:val="00E42833"/>
    <w:rsid w:val="00E4286E"/>
    <w:rsid w:val="00E428A6"/>
    <w:rsid w:val="00E42B7A"/>
    <w:rsid w:val="00E42C55"/>
    <w:rsid w:val="00E42D4E"/>
    <w:rsid w:val="00E4325C"/>
    <w:rsid w:val="00E43344"/>
    <w:rsid w:val="00E433A1"/>
    <w:rsid w:val="00E4363E"/>
    <w:rsid w:val="00E43827"/>
    <w:rsid w:val="00E43976"/>
    <w:rsid w:val="00E43DB6"/>
    <w:rsid w:val="00E44063"/>
    <w:rsid w:val="00E44142"/>
    <w:rsid w:val="00E4453A"/>
    <w:rsid w:val="00E4454F"/>
    <w:rsid w:val="00E4486E"/>
    <w:rsid w:val="00E4497C"/>
    <w:rsid w:val="00E44B1F"/>
    <w:rsid w:val="00E44B9F"/>
    <w:rsid w:val="00E44BC9"/>
    <w:rsid w:val="00E44D61"/>
    <w:rsid w:val="00E44FDA"/>
    <w:rsid w:val="00E44FEC"/>
    <w:rsid w:val="00E45205"/>
    <w:rsid w:val="00E4526A"/>
    <w:rsid w:val="00E452E6"/>
    <w:rsid w:val="00E452EE"/>
    <w:rsid w:val="00E45406"/>
    <w:rsid w:val="00E454BF"/>
    <w:rsid w:val="00E4581E"/>
    <w:rsid w:val="00E4587D"/>
    <w:rsid w:val="00E458FA"/>
    <w:rsid w:val="00E45A8A"/>
    <w:rsid w:val="00E45AB0"/>
    <w:rsid w:val="00E45AD1"/>
    <w:rsid w:val="00E45C2E"/>
    <w:rsid w:val="00E45C7E"/>
    <w:rsid w:val="00E45D22"/>
    <w:rsid w:val="00E45D5A"/>
    <w:rsid w:val="00E45D76"/>
    <w:rsid w:val="00E461C0"/>
    <w:rsid w:val="00E46251"/>
    <w:rsid w:val="00E463B8"/>
    <w:rsid w:val="00E466D2"/>
    <w:rsid w:val="00E46A5E"/>
    <w:rsid w:val="00E46A6B"/>
    <w:rsid w:val="00E46A84"/>
    <w:rsid w:val="00E46AF9"/>
    <w:rsid w:val="00E46C95"/>
    <w:rsid w:val="00E46CDB"/>
    <w:rsid w:val="00E46D1E"/>
    <w:rsid w:val="00E47188"/>
    <w:rsid w:val="00E47217"/>
    <w:rsid w:val="00E4740A"/>
    <w:rsid w:val="00E474CF"/>
    <w:rsid w:val="00E476A0"/>
    <w:rsid w:val="00E47944"/>
    <w:rsid w:val="00E479A6"/>
    <w:rsid w:val="00E47C0C"/>
    <w:rsid w:val="00E5034B"/>
    <w:rsid w:val="00E5035E"/>
    <w:rsid w:val="00E50361"/>
    <w:rsid w:val="00E5075F"/>
    <w:rsid w:val="00E50937"/>
    <w:rsid w:val="00E50964"/>
    <w:rsid w:val="00E50BB9"/>
    <w:rsid w:val="00E50C1D"/>
    <w:rsid w:val="00E51001"/>
    <w:rsid w:val="00E51138"/>
    <w:rsid w:val="00E51334"/>
    <w:rsid w:val="00E513B4"/>
    <w:rsid w:val="00E5141D"/>
    <w:rsid w:val="00E51588"/>
    <w:rsid w:val="00E5166F"/>
    <w:rsid w:val="00E51683"/>
    <w:rsid w:val="00E51918"/>
    <w:rsid w:val="00E519AE"/>
    <w:rsid w:val="00E51BCB"/>
    <w:rsid w:val="00E51C4F"/>
    <w:rsid w:val="00E51E34"/>
    <w:rsid w:val="00E51FDB"/>
    <w:rsid w:val="00E52030"/>
    <w:rsid w:val="00E52049"/>
    <w:rsid w:val="00E52222"/>
    <w:rsid w:val="00E523DA"/>
    <w:rsid w:val="00E52460"/>
    <w:rsid w:val="00E524B4"/>
    <w:rsid w:val="00E524ED"/>
    <w:rsid w:val="00E52A00"/>
    <w:rsid w:val="00E52B0C"/>
    <w:rsid w:val="00E52B86"/>
    <w:rsid w:val="00E52CB3"/>
    <w:rsid w:val="00E52DC0"/>
    <w:rsid w:val="00E5321D"/>
    <w:rsid w:val="00E53329"/>
    <w:rsid w:val="00E534C3"/>
    <w:rsid w:val="00E53555"/>
    <w:rsid w:val="00E5369E"/>
    <w:rsid w:val="00E5385F"/>
    <w:rsid w:val="00E538FB"/>
    <w:rsid w:val="00E53A31"/>
    <w:rsid w:val="00E53CD6"/>
    <w:rsid w:val="00E53FFE"/>
    <w:rsid w:val="00E540BF"/>
    <w:rsid w:val="00E5420B"/>
    <w:rsid w:val="00E5432C"/>
    <w:rsid w:val="00E54365"/>
    <w:rsid w:val="00E5436B"/>
    <w:rsid w:val="00E54547"/>
    <w:rsid w:val="00E549E7"/>
    <w:rsid w:val="00E54E55"/>
    <w:rsid w:val="00E54F67"/>
    <w:rsid w:val="00E5516A"/>
    <w:rsid w:val="00E552BA"/>
    <w:rsid w:val="00E553CF"/>
    <w:rsid w:val="00E555CB"/>
    <w:rsid w:val="00E5582D"/>
    <w:rsid w:val="00E558B7"/>
    <w:rsid w:val="00E55B4B"/>
    <w:rsid w:val="00E55B56"/>
    <w:rsid w:val="00E55D15"/>
    <w:rsid w:val="00E56059"/>
    <w:rsid w:val="00E561CB"/>
    <w:rsid w:val="00E56261"/>
    <w:rsid w:val="00E56436"/>
    <w:rsid w:val="00E56784"/>
    <w:rsid w:val="00E567AC"/>
    <w:rsid w:val="00E56869"/>
    <w:rsid w:val="00E56885"/>
    <w:rsid w:val="00E568D7"/>
    <w:rsid w:val="00E56AAC"/>
    <w:rsid w:val="00E56CC1"/>
    <w:rsid w:val="00E56EDE"/>
    <w:rsid w:val="00E57262"/>
    <w:rsid w:val="00E57343"/>
    <w:rsid w:val="00E57435"/>
    <w:rsid w:val="00E5749F"/>
    <w:rsid w:val="00E5753C"/>
    <w:rsid w:val="00E575B2"/>
    <w:rsid w:val="00E575E4"/>
    <w:rsid w:val="00E5764C"/>
    <w:rsid w:val="00E579A8"/>
    <w:rsid w:val="00E57A05"/>
    <w:rsid w:val="00E57B0F"/>
    <w:rsid w:val="00E57B1F"/>
    <w:rsid w:val="00E57D19"/>
    <w:rsid w:val="00E57FEF"/>
    <w:rsid w:val="00E601B5"/>
    <w:rsid w:val="00E602D2"/>
    <w:rsid w:val="00E603B9"/>
    <w:rsid w:val="00E6043A"/>
    <w:rsid w:val="00E60688"/>
    <w:rsid w:val="00E60882"/>
    <w:rsid w:val="00E608D0"/>
    <w:rsid w:val="00E60950"/>
    <w:rsid w:val="00E60AB7"/>
    <w:rsid w:val="00E60C58"/>
    <w:rsid w:val="00E60CCB"/>
    <w:rsid w:val="00E60EAE"/>
    <w:rsid w:val="00E60EE4"/>
    <w:rsid w:val="00E610A1"/>
    <w:rsid w:val="00E61102"/>
    <w:rsid w:val="00E6115B"/>
    <w:rsid w:val="00E61243"/>
    <w:rsid w:val="00E6146D"/>
    <w:rsid w:val="00E615EA"/>
    <w:rsid w:val="00E61992"/>
    <w:rsid w:val="00E61C1E"/>
    <w:rsid w:val="00E61C48"/>
    <w:rsid w:val="00E61C69"/>
    <w:rsid w:val="00E61CD4"/>
    <w:rsid w:val="00E61DE5"/>
    <w:rsid w:val="00E61F4B"/>
    <w:rsid w:val="00E6226A"/>
    <w:rsid w:val="00E62389"/>
    <w:rsid w:val="00E62425"/>
    <w:rsid w:val="00E6245E"/>
    <w:rsid w:val="00E625E7"/>
    <w:rsid w:val="00E625F0"/>
    <w:rsid w:val="00E62A61"/>
    <w:rsid w:val="00E62BDC"/>
    <w:rsid w:val="00E62CB2"/>
    <w:rsid w:val="00E62D30"/>
    <w:rsid w:val="00E62FA6"/>
    <w:rsid w:val="00E62FCB"/>
    <w:rsid w:val="00E6316B"/>
    <w:rsid w:val="00E63286"/>
    <w:rsid w:val="00E635F8"/>
    <w:rsid w:val="00E636CC"/>
    <w:rsid w:val="00E63807"/>
    <w:rsid w:val="00E639CF"/>
    <w:rsid w:val="00E63A37"/>
    <w:rsid w:val="00E63AA8"/>
    <w:rsid w:val="00E63EBB"/>
    <w:rsid w:val="00E641D3"/>
    <w:rsid w:val="00E64217"/>
    <w:rsid w:val="00E64711"/>
    <w:rsid w:val="00E64766"/>
    <w:rsid w:val="00E6489C"/>
    <w:rsid w:val="00E64A72"/>
    <w:rsid w:val="00E64C2F"/>
    <w:rsid w:val="00E64CA4"/>
    <w:rsid w:val="00E64F93"/>
    <w:rsid w:val="00E64FD9"/>
    <w:rsid w:val="00E650BF"/>
    <w:rsid w:val="00E650C4"/>
    <w:rsid w:val="00E651C9"/>
    <w:rsid w:val="00E65354"/>
    <w:rsid w:val="00E6539B"/>
    <w:rsid w:val="00E65483"/>
    <w:rsid w:val="00E65598"/>
    <w:rsid w:val="00E655B9"/>
    <w:rsid w:val="00E656CE"/>
    <w:rsid w:val="00E65706"/>
    <w:rsid w:val="00E6576C"/>
    <w:rsid w:val="00E6581C"/>
    <w:rsid w:val="00E65855"/>
    <w:rsid w:val="00E6597B"/>
    <w:rsid w:val="00E659B6"/>
    <w:rsid w:val="00E65A8A"/>
    <w:rsid w:val="00E65C06"/>
    <w:rsid w:val="00E65EFC"/>
    <w:rsid w:val="00E6617E"/>
    <w:rsid w:val="00E661C1"/>
    <w:rsid w:val="00E6622B"/>
    <w:rsid w:val="00E66269"/>
    <w:rsid w:val="00E66768"/>
    <w:rsid w:val="00E66810"/>
    <w:rsid w:val="00E66999"/>
    <w:rsid w:val="00E669F9"/>
    <w:rsid w:val="00E66C0D"/>
    <w:rsid w:val="00E66E28"/>
    <w:rsid w:val="00E670F6"/>
    <w:rsid w:val="00E67279"/>
    <w:rsid w:val="00E673EE"/>
    <w:rsid w:val="00E674D8"/>
    <w:rsid w:val="00E6777B"/>
    <w:rsid w:val="00E677B0"/>
    <w:rsid w:val="00E677BE"/>
    <w:rsid w:val="00E67A2C"/>
    <w:rsid w:val="00E67C66"/>
    <w:rsid w:val="00E67F20"/>
    <w:rsid w:val="00E67FBD"/>
    <w:rsid w:val="00E702C1"/>
    <w:rsid w:val="00E70340"/>
    <w:rsid w:val="00E7041E"/>
    <w:rsid w:val="00E7055D"/>
    <w:rsid w:val="00E70598"/>
    <w:rsid w:val="00E7080E"/>
    <w:rsid w:val="00E70935"/>
    <w:rsid w:val="00E7095A"/>
    <w:rsid w:val="00E70B56"/>
    <w:rsid w:val="00E70D33"/>
    <w:rsid w:val="00E70F03"/>
    <w:rsid w:val="00E71762"/>
    <w:rsid w:val="00E71877"/>
    <w:rsid w:val="00E71991"/>
    <w:rsid w:val="00E71AD5"/>
    <w:rsid w:val="00E71AE6"/>
    <w:rsid w:val="00E71C73"/>
    <w:rsid w:val="00E71DFA"/>
    <w:rsid w:val="00E71EBA"/>
    <w:rsid w:val="00E71F16"/>
    <w:rsid w:val="00E7211C"/>
    <w:rsid w:val="00E72165"/>
    <w:rsid w:val="00E72336"/>
    <w:rsid w:val="00E72850"/>
    <w:rsid w:val="00E72880"/>
    <w:rsid w:val="00E728F1"/>
    <w:rsid w:val="00E72909"/>
    <w:rsid w:val="00E72A53"/>
    <w:rsid w:val="00E72B86"/>
    <w:rsid w:val="00E72E23"/>
    <w:rsid w:val="00E73091"/>
    <w:rsid w:val="00E73169"/>
    <w:rsid w:val="00E732A3"/>
    <w:rsid w:val="00E732CD"/>
    <w:rsid w:val="00E7351F"/>
    <w:rsid w:val="00E735EC"/>
    <w:rsid w:val="00E736C5"/>
    <w:rsid w:val="00E73757"/>
    <w:rsid w:val="00E73A63"/>
    <w:rsid w:val="00E73A72"/>
    <w:rsid w:val="00E74383"/>
    <w:rsid w:val="00E743C9"/>
    <w:rsid w:val="00E74661"/>
    <w:rsid w:val="00E746CA"/>
    <w:rsid w:val="00E750BC"/>
    <w:rsid w:val="00E751E8"/>
    <w:rsid w:val="00E752EC"/>
    <w:rsid w:val="00E755E6"/>
    <w:rsid w:val="00E7560C"/>
    <w:rsid w:val="00E7566C"/>
    <w:rsid w:val="00E756AF"/>
    <w:rsid w:val="00E75725"/>
    <w:rsid w:val="00E758D2"/>
    <w:rsid w:val="00E75A2E"/>
    <w:rsid w:val="00E75ADE"/>
    <w:rsid w:val="00E75DD8"/>
    <w:rsid w:val="00E75EEC"/>
    <w:rsid w:val="00E769D9"/>
    <w:rsid w:val="00E76A91"/>
    <w:rsid w:val="00E76AFA"/>
    <w:rsid w:val="00E76D59"/>
    <w:rsid w:val="00E77855"/>
    <w:rsid w:val="00E77939"/>
    <w:rsid w:val="00E779A3"/>
    <w:rsid w:val="00E779FB"/>
    <w:rsid w:val="00E77A14"/>
    <w:rsid w:val="00E77AC1"/>
    <w:rsid w:val="00E77E14"/>
    <w:rsid w:val="00E77FB3"/>
    <w:rsid w:val="00E80003"/>
    <w:rsid w:val="00E80559"/>
    <w:rsid w:val="00E80C5D"/>
    <w:rsid w:val="00E80CD6"/>
    <w:rsid w:val="00E80F47"/>
    <w:rsid w:val="00E80FCE"/>
    <w:rsid w:val="00E80FDF"/>
    <w:rsid w:val="00E810AC"/>
    <w:rsid w:val="00E81127"/>
    <w:rsid w:val="00E811D6"/>
    <w:rsid w:val="00E814FB"/>
    <w:rsid w:val="00E81588"/>
    <w:rsid w:val="00E8179C"/>
    <w:rsid w:val="00E8182D"/>
    <w:rsid w:val="00E81944"/>
    <w:rsid w:val="00E81B5A"/>
    <w:rsid w:val="00E81B80"/>
    <w:rsid w:val="00E81C26"/>
    <w:rsid w:val="00E81D9A"/>
    <w:rsid w:val="00E81DBF"/>
    <w:rsid w:val="00E81E9B"/>
    <w:rsid w:val="00E8204E"/>
    <w:rsid w:val="00E820D5"/>
    <w:rsid w:val="00E82282"/>
    <w:rsid w:val="00E822C7"/>
    <w:rsid w:val="00E825DC"/>
    <w:rsid w:val="00E825F8"/>
    <w:rsid w:val="00E8280D"/>
    <w:rsid w:val="00E828C3"/>
    <w:rsid w:val="00E829C6"/>
    <w:rsid w:val="00E82AE6"/>
    <w:rsid w:val="00E82BDC"/>
    <w:rsid w:val="00E82C02"/>
    <w:rsid w:val="00E82C80"/>
    <w:rsid w:val="00E82CCD"/>
    <w:rsid w:val="00E82D3B"/>
    <w:rsid w:val="00E82D7F"/>
    <w:rsid w:val="00E82E00"/>
    <w:rsid w:val="00E82F38"/>
    <w:rsid w:val="00E82F49"/>
    <w:rsid w:val="00E83134"/>
    <w:rsid w:val="00E83204"/>
    <w:rsid w:val="00E832EF"/>
    <w:rsid w:val="00E83742"/>
    <w:rsid w:val="00E83C83"/>
    <w:rsid w:val="00E8413F"/>
    <w:rsid w:val="00E8423C"/>
    <w:rsid w:val="00E84CB4"/>
    <w:rsid w:val="00E84D77"/>
    <w:rsid w:val="00E84DEA"/>
    <w:rsid w:val="00E84F5A"/>
    <w:rsid w:val="00E8563E"/>
    <w:rsid w:val="00E8570E"/>
    <w:rsid w:val="00E8575C"/>
    <w:rsid w:val="00E857E5"/>
    <w:rsid w:val="00E8585E"/>
    <w:rsid w:val="00E85A01"/>
    <w:rsid w:val="00E85A8A"/>
    <w:rsid w:val="00E85AE7"/>
    <w:rsid w:val="00E85B01"/>
    <w:rsid w:val="00E85CCB"/>
    <w:rsid w:val="00E8626C"/>
    <w:rsid w:val="00E864C1"/>
    <w:rsid w:val="00E86D0B"/>
    <w:rsid w:val="00E8726E"/>
    <w:rsid w:val="00E87555"/>
    <w:rsid w:val="00E87626"/>
    <w:rsid w:val="00E876DA"/>
    <w:rsid w:val="00E878D6"/>
    <w:rsid w:val="00E87A19"/>
    <w:rsid w:val="00E87D44"/>
    <w:rsid w:val="00E87EEE"/>
    <w:rsid w:val="00E87F14"/>
    <w:rsid w:val="00E90415"/>
    <w:rsid w:val="00E9041C"/>
    <w:rsid w:val="00E90501"/>
    <w:rsid w:val="00E905B3"/>
    <w:rsid w:val="00E9099B"/>
    <w:rsid w:val="00E909FC"/>
    <w:rsid w:val="00E90A28"/>
    <w:rsid w:val="00E90D9E"/>
    <w:rsid w:val="00E90FAA"/>
    <w:rsid w:val="00E9100F"/>
    <w:rsid w:val="00E91150"/>
    <w:rsid w:val="00E91175"/>
    <w:rsid w:val="00E911A1"/>
    <w:rsid w:val="00E91528"/>
    <w:rsid w:val="00E915A1"/>
    <w:rsid w:val="00E917A6"/>
    <w:rsid w:val="00E91AD3"/>
    <w:rsid w:val="00E91B2C"/>
    <w:rsid w:val="00E92582"/>
    <w:rsid w:val="00E92623"/>
    <w:rsid w:val="00E92846"/>
    <w:rsid w:val="00E928E6"/>
    <w:rsid w:val="00E92DA9"/>
    <w:rsid w:val="00E92E2A"/>
    <w:rsid w:val="00E92EBD"/>
    <w:rsid w:val="00E92EDB"/>
    <w:rsid w:val="00E92F0D"/>
    <w:rsid w:val="00E92FAE"/>
    <w:rsid w:val="00E93101"/>
    <w:rsid w:val="00E9310D"/>
    <w:rsid w:val="00E93594"/>
    <w:rsid w:val="00E9371C"/>
    <w:rsid w:val="00E93741"/>
    <w:rsid w:val="00E93875"/>
    <w:rsid w:val="00E9389C"/>
    <w:rsid w:val="00E93982"/>
    <w:rsid w:val="00E93CAB"/>
    <w:rsid w:val="00E9416B"/>
    <w:rsid w:val="00E94C20"/>
    <w:rsid w:val="00E94C2E"/>
    <w:rsid w:val="00E94C64"/>
    <w:rsid w:val="00E94D85"/>
    <w:rsid w:val="00E94EAA"/>
    <w:rsid w:val="00E94EB2"/>
    <w:rsid w:val="00E94EC5"/>
    <w:rsid w:val="00E94F6A"/>
    <w:rsid w:val="00E9514E"/>
    <w:rsid w:val="00E952F7"/>
    <w:rsid w:val="00E955D6"/>
    <w:rsid w:val="00E95774"/>
    <w:rsid w:val="00E959FC"/>
    <w:rsid w:val="00E95AB9"/>
    <w:rsid w:val="00E95B6A"/>
    <w:rsid w:val="00E95D32"/>
    <w:rsid w:val="00E95D55"/>
    <w:rsid w:val="00E95D65"/>
    <w:rsid w:val="00E95E45"/>
    <w:rsid w:val="00E961D9"/>
    <w:rsid w:val="00E9623E"/>
    <w:rsid w:val="00E9648E"/>
    <w:rsid w:val="00E96D23"/>
    <w:rsid w:val="00E96D5F"/>
    <w:rsid w:val="00E96E32"/>
    <w:rsid w:val="00E96F42"/>
    <w:rsid w:val="00E96FD4"/>
    <w:rsid w:val="00E97278"/>
    <w:rsid w:val="00E97380"/>
    <w:rsid w:val="00E97631"/>
    <w:rsid w:val="00E97839"/>
    <w:rsid w:val="00E97F9F"/>
    <w:rsid w:val="00E97FD0"/>
    <w:rsid w:val="00EA0029"/>
    <w:rsid w:val="00EA00B1"/>
    <w:rsid w:val="00EA014D"/>
    <w:rsid w:val="00EA0294"/>
    <w:rsid w:val="00EA0310"/>
    <w:rsid w:val="00EA036A"/>
    <w:rsid w:val="00EA0527"/>
    <w:rsid w:val="00EA05DF"/>
    <w:rsid w:val="00EA0AC8"/>
    <w:rsid w:val="00EA0CBA"/>
    <w:rsid w:val="00EA0F3D"/>
    <w:rsid w:val="00EA1025"/>
    <w:rsid w:val="00EA1203"/>
    <w:rsid w:val="00EA14DC"/>
    <w:rsid w:val="00EA15AF"/>
    <w:rsid w:val="00EA16E8"/>
    <w:rsid w:val="00EA1A41"/>
    <w:rsid w:val="00EA1B8F"/>
    <w:rsid w:val="00EA1C6F"/>
    <w:rsid w:val="00EA1D07"/>
    <w:rsid w:val="00EA1D3B"/>
    <w:rsid w:val="00EA20C2"/>
    <w:rsid w:val="00EA2101"/>
    <w:rsid w:val="00EA2258"/>
    <w:rsid w:val="00EA23A0"/>
    <w:rsid w:val="00EA27A4"/>
    <w:rsid w:val="00EA29AB"/>
    <w:rsid w:val="00EA2BAE"/>
    <w:rsid w:val="00EA2ECB"/>
    <w:rsid w:val="00EA30B8"/>
    <w:rsid w:val="00EA30CA"/>
    <w:rsid w:val="00EA3261"/>
    <w:rsid w:val="00EA345F"/>
    <w:rsid w:val="00EA349F"/>
    <w:rsid w:val="00EA3CE0"/>
    <w:rsid w:val="00EA3DC9"/>
    <w:rsid w:val="00EA4058"/>
    <w:rsid w:val="00EA434A"/>
    <w:rsid w:val="00EA4573"/>
    <w:rsid w:val="00EA47C2"/>
    <w:rsid w:val="00EA47E7"/>
    <w:rsid w:val="00EA48CD"/>
    <w:rsid w:val="00EA4A30"/>
    <w:rsid w:val="00EA4AB5"/>
    <w:rsid w:val="00EA4C7B"/>
    <w:rsid w:val="00EA5054"/>
    <w:rsid w:val="00EA51F5"/>
    <w:rsid w:val="00EA52CB"/>
    <w:rsid w:val="00EA5356"/>
    <w:rsid w:val="00EA551C"/>
    <w:rsid w:val="00EA565D"/>
    <w:rsid w:val="00EA5698"/>
    <w:rsid w:val="00EA5740"/>
    <w:rsid w:val="00EA59CA"/>
    <w:rsid w:val="00EA59CF"/>
    <w:rsid w:val="00EA59D6"/>
    <w:rsid w:val="00EA5C89"/>
    <w:rsid w:val="00EA5E69"/>
    <w:rsid w:val="00EA5E74"/>
    <w:rsid w:val="00EA5EA3"/>
    <w:rsid w:val="00EA5EDE"/>
    <w:rsid w:val="00EA5FBA"/>
    <w:rsid w:val="00EA605A"/>
    <w:rsid w:val="00EA630B"/>
    <w:rsid w:val="00EA6441"/>
    <w:rsid w:val="00EA6457"/>
    <w:rsid w:val="00EA64E7"/>
    <w:rsid w:val="00EA6519"/>
    <w:rsid w:val="00EA680A"/>
    <w:rsid w:val="00EA6A46"/>
    <w:rsid w:val="00EA7094"/>
    <w:rsid w:val="00EA7117"/>
    <w:rsid w:val="00EA7299"/>
    <w:rsid w:val="00EA73E4"/>
    <w:rsid w:val="00EA73FA"/>
    <w:rsid w:val="00EA74EB"/>
    <w:rsid w:val="00EA789B"/>
    <w:rsid w:val="00EA7DD5"/>
    <w:rsid w:val="00EA7EEB"/>
    <w:rsid w:val="00EA7EF4"/>
    <w:rsid w:val="00EA7F58"/>
    <w:rsid w:val="00EB00D5"/>
    <w:rsid w:val="00EB02D1"/>
    <w:rsid w:val="00EB0647"/>
    <w:rsid w:val="00EB0813"/>
    <w:rsid w:val="00EB09C3"/>
    <w:rsid w:val="00EB0AA4"/>
    <w:rsid w:val="00EB11F9"/>
    <w:rsid w:val="00EB1369"/>
    <w:rsid w:val="00EB1412"/>
    <w:rsid w:val="00EB1422"/>
    <w:rsid w:val="00EB14EE"/>
    <w:rsid w:val="00EB151B"/>
    <w:rsid w:val="00EB151F"/>
    <w:rsid w:val="00EB166B"/>
    <w:rsid w:val="00EB1910"/>
    <w:rsid w:val="00EB1915"/>
    <w:rsid w:val="00EB199B"/>
    <w:rsid w:val="00EB1A68"/>
    <w:rsid w:val="00EB1ACA"/>
    <w:rsid w:val="00EB1BE1"/>
    <w:rsid w:val="00EB1E09"/>
    <w:rsid w:val="00EB1E0D"/>
    <w:rsid w:val="00EB1E72"/>
    <w:rsid w:val="00EB2057"/>
    <w:rsid w:val="00EB20B2"/>
    <w:rsid w:val="00EB2396"/>
    <w:rsid w:val="00EB24E7"/>
    <w:rsid w:val="00EB25A5"/>
    <w:rsid w:val="00EB272C"/>
    <w:rsid w:val="00EB28D2"/>
    <w:rsid w:val="00EB3196"/>
    <w:rsid w:val="00EB322F"/>
    <w:rsid w:val="00EB32B1"/>
    <w:rsid w:val="00EB3484"/>
    <w:rsid w:val="00EB3679"/>
    <w:rsid w:val="00EB3754"/>
    <w:rsid w:val="00EB3782"/>
    <w:rsid w:val="00EB3976"/>
    <w:rsid w:val="00EB3B55"/>
    <w:rsid w:val="00EB3C12"/>
    <w:rsid w:val="00EB3C73"/>
    <w:rsid w:val="00EB3D92"/>
    <w:rsid w:val="00EB3EFD"/>
    <w:rsid w:val="00EB3FBE"/>
    <w:rsid w:val="00EB4053"/>
    <w:rsid w:val="00EB423F"/>
    <w:rsid w:val="00EB42FD"/>
    <w:rsid w:val="00EB4563"/>
    <w:rsid w:val="00EB4585"/>
    <w:rsid w:val="00EB46AE"/>
    <w:rsid w:val="00EB4991"/>
    <w:rsid w:val="00EB4A27"/>
    <w:rsid w:val="00EB4A4A"/>
    <w:rsid w:val="00EB4C47"/>
    <w:rsid w:val="00EB51BF"/>
    <w:rsid w:val="00EB53C5"/>
    <w:rsid w:val="00EB5505"/>
    <w:rsid w:val="00EB5525"/>
    <w:rsid w:val="00EB556F"/>
    <w:rsid w:val="00EB5580"/>
    <w:rsid w:val="00EB559D"/>
    <w:rsid w:val="00EB5647"/>
    <w:rsid w:val="00EB56A7"/>
    <w:rsid w:val="00EB571F"/>
    <w:rsid w:val="00EB5766"/>
    <w:rsid w:val="00EB5771"/>
    <w:rsid w:val="00EB57B6"/>
    <w:rsid w:val="00EB58DD"/>
    <w:rsid w:val="00EB59E5"/>
    <w:rsid w:val="00EB5A1D"/>
    <w:rsid w:val="00EB5A8B"/>
    <w:rsid w:val="00EB5CE7"/>
    <w:rsid w:val="00EB5D15"/>
    <w:rsid w:val="00EB5EDE"/>
    <w:rsid w:val="00EB6074"/>
    <w:rsid w:val="00EB67C9"/>
    <w:rsid w:val="00EB67FF"/>
    <w:rsid w:val="00EB68C3"/>
    <w:rsid w:val="00EB6AF1"/>
    <w:rsid w:val="00EB6BA5"/>
    <w:rsid w:val="00EB6D80"/>
    <w:rsid w:val="00EB6E1F"/>
    <w:rsid w:val="00EB6F1B"/>
    <w:rsid w:val="00EB7198"/>
    <w:rsid w:val="00EB7269"/>
    <w:rsid w:val="00EB72B5"/>
    <w:rsid w:val="00EB7438"/>
    <w:rsid w:val="00EB782B"/>
    <w:rsid w:val="00EB7881"/>
    <w:rsid w:val="00EB7995"/>
    <w:rsid w:val="00EB79F7"/>
    <w:rsid w:val="00EB7A14"/>
    <w:rsid w:val="00EB7AC0"/>
    <w:rsid w:val="00EB7AE5"/>
    <w:rsid w:val="00EB7C3B"/>
    <w:rsid w:val="00EB7CE5"/>
    <w:rsid w:val="00EC0182"/>
    <w:rsid w:val="00EC028F"/>
    <w:rsid w:val="00EC02AB"/>
    <w:rsid w:val="00EC06A4"/>
    <w:rsid w:val="00EC072F"/>
    <w:rsid w:val="00EC088A"/>
    <w:rsid w:val="00EC093E"/>
    <w:rsid w:val="00EC0A09"/>
    <w:rsid w:val="00EC0B17"/>
    <w:rsid w:val="00EC0DAC"/>
    <w:rsid w:val="00EC0F14"/>
    <w:rsid w:val="00EC10AB"/>
    <w:rsid w:val="00EC12C0"/>
    <w:rsid w:val="00EC1B09"/>
    <w:rsid w:val="00EC1D52"/>
    <w:rsid w:val="00EC1EB1"/>
    <w:rsid w:val="00EC1EC1"/>
    <w:rsid w:val="00EC1FAE"/>
    <w:rsid w:val="00EC209C"/>
    <w:rsid w:val="00EC2257"/>
    <w:rsid w:val="00EC22D6"/>
    <w:rsid w:val="00EC2491"/>
    <w:rsid w:val="00EC27C7"/>
    <w:rsid w:val="00EC28AD"/>
    <w:rsid w:val="00EC2A34"/>
    <w:rsid w:val="00EC2D33"/>
    <w:rsid w:val="00EC2F5F"/>
    <w:rsid w:val="00EC3079"/>
    <w:rsid w:val="00EC31CC"/>
    <w:rsid w:val="00EC3399"/>
    <w:rsid w:val="00EC3446"/>
    <w:rsid w:val="00EC35D6"/>
    <w:rsid w:val="00EC3B8C"/>
    <w:rsid w:val="00EC3BC7"/>
    <w:rsid w:val="00EC3E0A"/>
    <w:rsid w:val="00EC3E51"/>
    <w:rsid w:val="00EC3E70"/>
    <w:rsid w:val="00EC3E7A"/>
    <w:rsid w:val="00EC425A"/>
    <w:rsid w:val="00EC4457"/>
    <w:rsid w:val="00EC4491"/>
    <w:rsid w:val="00EC474A"/>
    <w:rsid w:val="00EC483B"/>
    <w:rsid w:val="00EC4E82"/>
    <w:rsid w:val="00EC5097"/>
    <w:rsid w:val="00EC50F8"/>
    <w:rsid w:val="00EC51CB"/>
    <w:rsid w:val="00EC5375"/>
    <w:rsid w:val="00EC5425"/>
    <w:rsid w:val="00EC56B9"/>
    <w:rsid w:val="00EC59D4"/>
    <w:rsid w:val="00EC5D0F"/>
    <w:rsid w:val="00EC5F87"/>
    <w:rsid w:val="00EC5FB7"/>
    <w:rsid w:val="00EC6241"/>
    <w:rsid w:val="00EC62A4"/>
    <w:rsid w:val="00EC650B"/>
    <w:rsid w:val="00EC65C5"/>
    <w:rsid w:val="00EC6751"/>
    <w:rsid w:val="00EC692C"/>
    <w:rsid w:val="00EC6C8B"/>
    <w:rsid w:val="00EC6DBD"/>
    <w:rsid w:val="00EC7073"/>
    <w:rsid w:val="00EC728D"/>
    <w:rsid w:val="00EC7343"/>
    <w:rsid w:val="00EC7940"/>
    <w:rsid w:val="00EC7A27"/>
    <w:rsid w:val="00EC7ACC"/>
    <w:rsid w:val="00ED036D"/>
    <w:rsid w:val="00ED0621"/>
    <w:rsid w:val="00ED0779"/>
    <w:rsid w:val="00ED0975"/>
    <w:rsid w:val="00ED1063"/>
    <w:rsid w:val="00ED12ED"/>
    <w:rsid w:val="00ED1382"/>
    <w:rsid w:val="00ED144C"/>
    <w:rsid w:val="00ED15B6"/>
    <w:rsid w:val="00ED1811"/>
    <w:rsid w:val="00ED1A28"/>
    <w:rsid w:val="00ED1EA3"/>
    <w:rsid w:val="00ED1F0E"/>
    <w:rsid w:val="00ED20A5"/>
    <w:rsid w:val="00ED21FF"/>
    <w:rsid w:val="00ED23A9"/>
    <w:rsid w:val="00ED24D2"/>
    <w:rsid w:val="00ED2665"/>
    <w:rsid w:val="00ED2874"/>
    <w:rsid w:val="00ED2978"/>
    <w:rsid w:val="00ED2A19"/>
    <w:rsid w:val="00ED2ACD"/>
    <w:rsid w:val="00ED2B1F"/>
    <w:rsid w:val="00ED2BBB"/>
    <w:rsid w:val="00ED2BF6"/>
    <w:rsid w:val="00ED2CFF"/>
    <w:rsid w:val="00ED2EF4"/>
    <w:rsid w:val="00ED2FD5"/>
    <w:rsid w:val="00ED303A"/>
    <w:rsid w:val="00ED3464"/>
    <w:rsid w:val="00ED363E"/>
    <w:rsid w:val="00ED3768"/>
    <w:rsid w:val="00ED37B4"/>
    <w:rsid w:val="00ED381F"/>
    <w:rsid w:val="00ED3910"/>
    <w:rsid w:val="00ED3D43"/>
    <w:rsid w:val="00ED3F4A"/>
    <w:rsid w:val="00ED4113"/>
    <w:rsid w:val="00ED421A"/>
    <w:rsid w:val="00ED439C"/>
    <w:rsid w:val="00ED4552"/>
    <w:rsid w:val="00ED45A5"/>
    <w:rsid w:val="00ED4A7F"/>
    <w:rsid w:val="00ED4BB5"/>
    <w:rsid w:val="00ED4C0D"/>
    <w:rsid w:val="00ED4D13"/>
    <w:rsid w:val="00ED4D19"/>
    <w:rsid w:val="00ED4D22"/>
    <w:rsid w:val="00ED5027"/>
    <w:rsid w:val="00ED5067"/>
    <w:rsid w:val="00ED5316"/>
    <w:rsid w:val="00ED566B"/>
    <w:rsid w:val="00ED57E3"/>
    <w:rsid w:val="00ED5BC2"/>
    <w:rsid w:val="00ED5DB9"/>
    <w:rsid w:val="00ED5EB2"/>
    <w:rsid w:val="00ED6087"/>
    <w:rsid w:val="00ED62A5"/>
    <w:rsid w:val="00ED62FE"/>
    <w:rsid w:val="00ED6456"/>
    <w:rsid w:val="00ED64A0"/>
    <w:rsid w:val="00ED672A"/>
    <w:rsid w:val="00ED6809"/>
    <w:rsid w:val="00ED6A28"/>
    <w:rsid w:val="00ED6AF6"/>
    <w:rsid w:val="00ED6CE3"/>
    <w:rsid w:val="00ED6D9F"/>
    <w:rsid w:val="00ED6DFE"/>
    <w:rsid w:val="00ED6F14"/>
    <w:rsid w:val="00ED7207"/>
    <w:rsid w:val="00ED73EB"/>
    <w:rsid w:val="00ED77D5"/>
    <w:rsid w:val="00ED7EAC"/>
    <w:rsid w:val="00ED7F12"/>
    <w:rsid w:val="00ED7F9D"/>
    <w:rsid w:val="00EE0209"/>
    <w:rsid w:val="00EE0248"/>
    <w:rsid w:val="00EE0339"/>
    <w:rsid w:val="00EE0E25"/>
    <w:rsid w:val="00EE0E6B"/>
    <w:rsid w:val="00EE0EFA"/>
    <w:rsid w:val="00EE111E"/>
    <w:rsid w:val="00EE1262"/>
    <w:rsid w:val="00EE1350"/>
    <w:rsid w:val="00EE1525"/>
    <w:rsid w:val="00EE16B1"/>
    <w:rsid w:val="00EE1830"/>
    <w:rsid w:val="00EE1858"/>
    <w:rsid w:val="00EE1B90"/>
    <w:rsid w:val="00EE1CF9"/>
    <w:rsid w:val="00EE21C4"/>
    <w:rsid w:val="00EE22C0"/>
    <w:rsid w:val="00EE22D8"/>
    <w:rsid w:val="00EE25F1"/>
    <w:rsid w:val="00EE26F2"/>
    <w:rsid w:val="00EE2725"/>
    <w:rsid w:val="00EE283E"/>
    <w:rsid w:val="00EE2944"/>
    <w:rsid w:val="00EE2A73"/>
    <w:rsid w:val="00EE2A8F"/>
    <w:rsid w:val="00EE2BA1"/>
    <w:rsid w:val="00EE2C74"/>
    <w:rsid w:val="00EE2DB3"/>
    <w:rsid w:val="00EE312A"/>
    <w:rsid w:val="00EE3173"/>
    <w:rsid w:val="00EE32D3"/>
    <w:rsid w:val="00EE3364"/>
    <w:rsid w:val="00EE336B"/>
    <w:rsid w:val="00EE3721"/>
    <w:rsid w:val="00EE3930"/>
    <w:rsid w:val="00EE39BC"/>
    <w:rsid w:val="00EE3AA7"/>
    <w:rsid w:val="00EE3D61"/>
    <w:rsid w:val="00EE3E19"/>
    <w:rsid w:val="00EE3E8B"/>
    <w:rsid w:val="00EE41E3"/>
    <w:rsid w:val="00EE41FD"/>
    <w:rsid w:val="00EE4369"/>
    <w:rsid w:val="00EE43D2"/>
    <w:rsid w:val="00EE4506"/>
    <w:rsid w:val="00EE460C"/>
    <w:rsid w:val="00EE47A5"/>
    <w:rsid w:val="00EE481E"/>
    <w:rsid w:val="00EE4B6F"/>
    <w:rsid w:val="00EE4C36"/>
    <w:rsid w:val="00EE4C37"/>
    <w:rsid w:val="00EE4DDA"/>
    <w:rsid w:val="00EE4F66"/>
    <w:rsid w:val="00EE4FEE"/>
    <w:rsid w:val="00EE531E"/>
    <w:rsid w:val="00EE538C"/>
    <w:rsid w:val="00EE54C4"/>
    <w:rsid w:val="00EE5639"/>
    <w:rsid w:val="00EE5919"/>
    <w:rsid w:val="00EE5A9E"/>
    <w:rsid w:val="00EE5B73"/>
    <w:rsid w:val="00EE5DBB"/>
    <w:rsid w:val="00EE6012"/>
    <w:rsid w:val="00EE60F5"/>
    <w:rsid w:val="00EE6306"/>
    <w:rsid w:val="00EE63D8"/>
    <w:rsid w:val="00EE641E"/>
    <w:rsid w:val="00EE64BD"/>
    <w:rsid w:val="00EE6761"/>
    <w:rsid w:val="00EE68A2"/>
    <w:rsid w:val="00EE6938"/>
    <w:rsid w:val="00EE69F1"/>
    <w:rsid w:val="00EE6D56"/>
    <w:rsid w:val="00EE6D91"/>
    <w:rsid w:val="00EE724C"/>
    <w:rsid w:val="00EE72E1"/>
    <w:rsid w:val="00EE74F9"/>
    <w:rsid w:val="00EE76BB"/>
    <w:rsid w:val="00EE77AC"/>
    <w:rsid w:val="00EE78C5"/>
    <w:rsid w:val="00EE7B6F"/>
    <w:rsid w:val="00EE7C86"/>
    <w:rsid w:val="00EE7CBC"/>
    <w:rsid w:val="00EF009D"/>
    <w:rsid w:val="00EF0799"/>
    <w:rsid w:val="00EF0959"/>
    <w:rsid w:val="00EF0A7D"/>
    <w:rsid w:val="00EF0BEA"/>
    <w:rsid w:val="00EF0D41"/>
    <w:rsid w:val="00EF0EAB"/>
    <w:rsid w:val="00EF103F"/>
    <w:rsid w:val="00EF1053"/>
    <w:rsid w:val="00EF1164"/>
    <w:rsid w:val="00EF116D"/>
    <w:rsid w:val="00EF1183"/>
    <w:rsid w:val="00EF13B4"/>
    <w:rsid w:val="00EF15B8"/>
    <w:rsid w:val="00EF16B7"/>
    <w:rsid w:val="00EF18CD"/>
    <w:rsid w:val="00EF190C"/>
    <w:rsid w:val="00EF19D2"/>
    <w:rsid w:val="00EF1C1D"/>
    <w:rsid w:val="00EF1D69"/>
    <w:rsid w:val="00EF218B"/>
    <w:rsid w:val="00EF2268"/>
    <w:rsid w:val="00EF2562"/>
    <w:rsid w:val="00EF26C9"/>
    <w:rsid w:val="00EF2835"/>
    <w:rsid w:val="00EF2C36"/>
    <w:rsid w:val="00EF2E35"/>
    <w:rsid w:val="00EF2E78"/>
    <w:rsid w:val="00EF2EBA"/>
    <w:rsid w:val="00EF2EE8"/>
    <w:rsid w:val="00EF2EEA"/>
    <w:rsid w:val="00EF3244"/>
    <w:rsid w:val="00EF3542"/>
    <w:rsid w:val="00EF3555"/>
    <w:rsid w:val="00EF3831"/>
    <w:rsid w:val="00EF42B4"/>
    <w:rsid w:val="00EF43AC"/>
    <w:rsid w:val="00EF4454"/>
    <w:rsid w:val="00EF4781"/>
    <w:rsid w:val="00EF47FB"/>
    <w:rsid w:val="00EF4839"/>
    <w:rsid w:val="00EF4E77"/>
    <w:rsid w:val="00EF4F9D"/>
    <w:rsid w:val="00EF52F5"/>
    <w:rsid w:val="00EF53B2"/>
    <w:rsid w:val="00EF5697"/>
    <w:rsid w:val="00EF5729"/>
    <w:rsid w:val="00EF5806"/>
    <w:rsid w:val="00EF583E"/>
    <w:rsid w:val="00EF5B53"/>
    <w:rsid w:val="00EF5D09"/>
    <w:rsid w:val="00EF6012"/>
    <w:rsid w:val="00EF6097"/>
    <w:rsid w:val="00EF63D9"/>
    <w:rsid w:val="00EF648F"/>
    <w:rsid w:val="00EF65D0"/>
    <w:rsid w:val="00EF65D8"/>
    <w:rsid w:val="00EF66F2"/>
    <w:rsid w:val="00EF6D0C"/>
    <w:rsid w:val="00EF6D44"/>
    <w:rsid w:val="00EF78A3"/>
    <w:rsid w:val="00EF7B96"/>
    <w:rsid w:val="00F00284"/>
    <w:rsid w:val="00F002D4"/>
    <w:rsid w:val="00F0041C"/>
    <w:rsid w:val="00F0052C"/>
    <w:rsid w:val="00F005A5"/>
    <w:rsid w:val="00F008C0"/>
    <w:rsid w:val="00F00928"/>
    <w:rsid w:val="00F00945"/>
    <w:rsid w:val="00F00AB5"/>
    <w:rsid w:val="00F00EBF"/>
    <w:rsid w:val="00F01443"/>
    <w:rsid w:val="00F0198E"/>
    <w:rsid w:val="00F01AE0"/>
    <w:rsid w:val="00F01B8D"/>
    <w:rsid w:val="00F01B99"/>
    <w:rsid w:val="00F01BD7"/>
    <w:rsid w:val="00F01CA0"/>
    <w:rsid w:val="00F01CAF"/>
    <w:rsid w:val="00F01D6B"/>
    <w:rsid w:val="00F020A2"/>
    <w:rsid w:val="00F0223A"/>
    <w:rsid w:val="00F024DD"/>
    <w:rsid w:val="00F024F0"/>
    <w:rsid w:val="00F02595"/>
    <w:rsid w:val="00F025C8"/>
    <w:rsid w:val="00F026D2"/>
    <w:rsid w:val="00F027D3"/>
    <w:rsid w:val="00F02825"/>
    <w:rsid w:val="00F029D6"/>
    <w:rsid w:val="00F02A28"/>
    <w:rsid w:val="00F02AFE"/>
    <w:rsid w:val="00F02B58"/>
    <w:rsid w:val="00F02CC4"/>
    <w:rsid w:val="00F02D56"/>
    <w:rsid w:val="00F02EE8"/>
    <w:rsid w:val="00F03369"/>
    <w:rsid w:val="00F033A8"/>
    <w:rsid w:val="00F03437"/>
    <w:rsid w:val="00F034D2"/>
    <w:rsid w:val="00F03713"/>
    <w:rsid w:val="00F03A33"/>
    <w:rsid w:val="00F03A40"/>
    <w:rsid w:val="00F03D00"/>
    <w:rsid w:val="00F03EFA"/>
    <w:rsid w:val="00F03F00"/>
    <w:rsid w:val="00F042C5"/>
    <w:rsid w:val="00F04304"/>
    <w:rsid w:val="00F044C5"/>
    <w:rsid w:val="00F0463E"/>
    <w:rsid w:val="00F04686"/>
    <w:rsid w:val="00F04AD5"/>
    <w:rsid w:val="00F04C5B"/>
    <w:rsid w:val="00F04D2E"/>
    <w:rsid w:val="00F04E4F"/>
    <w:rsid w:val="00F051E3"/>
    <w:rsid w:val="00F052AB"/>
    <w:rsid w:val="00F05395"/>
    <w:rsid w:val="00F0543E"/>
    <w:rsid w:val="00F05697"/>
    <w:rsid w:val="00F05997"/>
    <w:rsid w:val="00F05A3A"/>
    <w:rsid w:val="00F05C47"/>
    <w:rsid w:val="00F05DEA"/>
    <w:rsid w:val="00F06497"/>
    <w:rsid w:val="00F06806"/>
    <w:rsid w:val="00F068F1"/>
    <w:rsid w:val="00F06AF8"/>
    <w:rsid w:val="00F06D8F"/>
    <w:rsid w:val="00F06EB3"/>
    <w:rsid w:val="00F06F24"/>
    <w:rsid w:val="00F0704E"/>
    <w:rsid w:val="00F070D4"/>
    <w:rsid w:val="00F0711C"/>
    <w:rsid w:val="00F077AF"/>
    <w:rsid w:val="00F077EA"/>
    <w:rsid w:val="00F079FD"/>
    <w:rsid w:val="00F07B13"/>
    <w:rsid w:val="00F07D99"/>
    <w:rsid w:val="00F07F42"/>
    <w:rsid w:val="00F1017D"/>
    <w:rsid w:val="00F101FC"/>
    <w:rsid w:val="00F10209"/>
    <w:rsid w:val="00F102E4"/>
    <w:rsid w:val="00F10523"/>
    <w:rsid w:val="00F10689"/>
    <w:rsid w:val="00F1068B"/>
    <w:rsid w:val="00F1097D"/>
    <w:rsid w:val="00F10D1F"/>
    <w:rsid w:val="00F1120C"/>
    <w:rsid w:val="00F112DE"/>
    <w:rsid w:val="00F11302"/>
    <w:rsid w:val="00F113AE"/>
    <w:rsid w:val="00F115B3"/>
    <w:rsid w:val="00F11666"/>
    <w:rsid w:val="00F117EC"/>
    <w:rsid w:val="00F11876"/>
    <w:rsid w:val="00F11918"/>
    <w:rsid w:val="00F11A48"/>
    <w:rsid w:val="00F11DC9"/>
    <w:rsid w:val="00F11E2D"/>
    <w:rsid w:val="00F11FF4"/>
    <w:rsid w:val="00F122AC"/>
    <w:rsid w:val="00F12339"/>
    <w:rsid w:val="00F1241D"/>
    <w:rsid w:val="00F12676"/>
    <w:rsid w:val="00F1272B"/>
    <w:rsid w:val="00F12BAB"/>
    <w:rsid w:val="00F12D1E"/>
    <w:rsid w:val="00F12D76"/>
    <w:rsid w:val="00F12D9C"/>
    <w:rsid w:val="00F12F4D"/>
    <w:rsid w:val="00F130BC"/>
    <w:rsid w:val="00F130D1"/>
    <w:rsid w:val="00F132C0"/>
    <w:rsid w:val="00F13490"/>
    <w:rsid w:val="00F13615"/>
    <w:rsid w:val="00F13753"/>
    <w:rsid w:val="00F137C7"/>
    <w:rsid w:val="00F13894"/>
    <w:rsid w:val="00F1393E"/>
    <w:rsid w:val="00F13953"/>
    <w:rsid w:val="00F13B83"/>
    <w:rsid w:val="00F13CE2"/>
    <w:rsid w:val="00F13DAA"/>
    <w:rsid w:val="00F13E9D"/>
    <w:rsid w:val="00F13F11"/>
    <w:rsid w:val="00F147B3"/>
    <w:rsid w:val="00F147F5"/>
    <w:rsid w:val="00F14923"/>
    <w:rsid w:val="00F1498A"/>
    <w:rsid w:val="00F14C70"/>
    <w:rsid w:val="00F14D24"/>
    <w:rsid w:val="00F14E7A"/>
    <w:rsid w:val="00F14E7C"/>
    <w:rsid w:val="00F14E8A"/>
    <w:rsid w:val="00F14FCC"/>
    <w:rsid w:val="00F15051"/>
    <w:rsid w:val="00F15176"/>
    <w:rsid w:val="00F15214"/>
    <w:rsid w:val="00F155F2"/>
    <w:rsid w:val="00F156B9"/>
    <w:rsid w:val="00F156D3"/>
    <w:rsid w:val="00F15AEF"/>
    <w:rsid w:val="00F15BD8"/>
    <w:rsid w:val="00F15C91"/>
    <w:rsid w:val="00F16387"/>
    <w:rsid w:val="00F163D6"/>
    <w:rsid w:val="00F168EE"/>
    <w:rsid w:val="00F169AF"/>
    <w:rsid w:val="00F16A2E"/>
    <w:rsid w:val="00F16A42"/>
    <w:rsid w:val="00F16A87"/>
    <w:rsid w:val="00F16B16"/>
    <w:rsid w:val="00F16C0F"/>
    <w:rsid w:val="00F16C20"/>
    <w:rsid w:val="00F16D4A"/>
    <w:rsid w:val="00F17122"/>
    <w:rsid w:val="00F1725A"/>
    <w:rsid w:val="00F176F0"/>
    <w:rsid w:val="00F2018D"/>
    <w:rsid w:val="00F207B9"/>
    <w:rsid w:val="00F208E9"/>
    <w:rsid w:val="00F20A5F"/>
    <w:rsid w:val="00F20A67"/>
    <w:rsid w:val="00F20A78"/>
    <w:rsid w:val="00F20BED"/>
    <w:rsid w:val="00F20C10"/>
    <w:rsid w:val="00F20C7A"/>
    <w:rsid w:val="00F20F16"/>
    <w:rsid w:val="00F2100F"/>
    <w:rsid w:val="00F2109A"/>
    <w:rsid w:val="00F211FE"/>
    <w:rsid w:val="00F212B7"/>
    <w:rsid w:val="00F212FF"/>
    <w:rsid w:val="00F214A6"/>
    <w:rsid w:val="00F2156B"/>
    <w:rsid w:val="00F218DC"/>
    <w:rsid w:val="00F21CD4"/>
    <w:rsid w:val="00F21DF9"/>
    <w:rsid w:val="00F21F57"/>
    <w:rsid w:val="00F21FBA"/>
    <w:rsid w:val="00F21FC5"/>
    <w:rsid w:val="00F2204E"/>
    <w:rsid w:val="00F22177"/>
    <w:rsid w:val="00F223DC"/>
    <w:rsid w:val="00F22756"/>
    <w:rsid w:val="00F227E2"/>
    <w:rsid w:val="00F229C1"/>
    <w:rsid w:val="00F22C94"/>
    <w:rsid w:val="00F22E6F"/>
    <w:rsid w:val="00F23130"/>
    <w:rsid w:val="00F23154"/>
    <w:rsid w:val="00F23286"/>
    <w:rsid w:val="00F232B4"/>
    <w:rsid w:val="00F2356C"/>
    <w:rsid w:val="00F23822"/>
    <w:rsid w:val="00F23DBD"/>
    <w:rsid w:val="00F2403C"/>
    <w:rsid w:val="00F243CE"/>
    <w:rsid w:val="00F246CD"/>
    <w:rsid w:val="00F247B5"/>
    <w:rsid w:val="00F247CA"/>
    <w:rsid w:val="00F24A0C"/>
    <w:rsid w:val="00F24C0D"/>
    <w:rsid w:val="00F24C3D"/>
    <w:rsid w:val="00F24CB1"/>
    <w:rsid w:val="00F25122"/>
    <w:rsid w:val="00F25398"/>
    <w:rsid w:val="00F253CA"/>
    <w:rsid w:val="00F2540D"/>
    <w:rsid w:val="00F25442"/>
    <w:rsid w:val="00F254A8"/>
    <w:rsid w:val="00F255A6"/>
    <w:rsid w:val="00F255D1"/>
    <w:rsid w:val="00F25721"/>
    <w:rsid w:val="00F25816"/>
    <w:rsid w:val="00F25820"/>
    <w:rsid w:val="00F25E23"/>
    <w:rsid w:val="00F262AE"/>
    <w:rsid w:val="00F26345"/>
    <w:rsid w:val="00F26630"/>
    <w:rsid w:val="00F26944"/>
    <w:rsid w:val="00F26956"/>
    <w:rsid w:val="00F2696F"/>
    <w:rsid w:val="00F26EC4"/>
    <w:rsid w:val="00F2719A"/>
    <w:rsid w:val="00F27218"/>
    <w:rsid w:val="00F2721B"/>
    <w:rsid w:val="00F273A3"/>
    <w:rsid w:val="00F27432"/>
    <w:rsid w:val="00F2769E"/>
    <w:rsid w:val="00F27740"/>
    <w:rsid w:val="00F27764"/>
    <w:rsid w:val="00F2776C"/>
    <w:rsid w:val="00F278CE"/>
    <w:rsid w:val="00F278EF"/>
    <w:rsid w:val="00F2794F"/>
    <w:rsid w:val="00F279DF"/>
    <w:rsid w:val="00F27ACD"/>
    <w:rsid w:val="00F27C40"/>
    <w:rsid w:val="00F27E03"/>
    <w:rsid w:val="00F303F2"/>
    <w:rsid w:val="00F30660"/>
    <w:rsid w:val="00F307E9"/>
    <w:rsid w:val="00F30861"/>
    <w:rsid w:val="00F30A77"/>
    <w:rsid w:val="00F30B12"/>
    <w:rsid w:val="00F30B5B"/>
    <w:rsid w:val="00F30C01"/>
    <w:rsid w:val="00F30F6D"/>
    <w:rsid w:val="00F312B6"/>
    <w:rsid w:val="00F312EC"/>
    <w:rsid w:val="00F313DC"/>
    <w:rsid w:val="00F314ED"/>
    <w:rsid w:val="00F3159C"/>
    <w:rsid w:val="00F3164D"/>
    <w:rsid w:val="00F31832"/>
    <w:rsid w:val="00F31959"/>
    <w:rsid w:val="00F31CAD"/>
    <w:rsid w:val="00F31DE8"/>
    <w:rsid w:val="00F31F78"/>
    <w:rsid w:val="00F322B0"/>
    <w:rsid w:val="00F323B0"/>
    <w:rsid w:val="00F32693"/>
    <w:rsid w:val="00F32AD1"/>
    <w:rsid w:val="00F32ADD"/>
    <w:rsid w:val="00F32DE9"/>
    <w:rsid w:val="00F330EE"/>
    <w:rsid w:val="00F33196"/>
    <w:rsid w:val="00F33246"/>
    <w:rsid w:val="00F3348B"/>
    <w:rsid w:val="00F3362F"/>
    <w:rsid w:val="00F338E7"/>
    <w:rsid w:val="00F33AA4"/>
    <w:rsid w:val="00F33BD3"/>
    <w:rsid w:val="00F33C9E"/>
    <w:rsid w:val="00F33CB9"/>
    <w:rsid w:val="00F33FA3"/>
    <w:rsid w:val="00F33FA8"/>
    <w:rsid w:val="00F33FEA"/>
    <w:rsid w:val="00F3432A"/>
    <w:rsid w:val="00F34369"/>
    <w:rsid w:val="00F343BA"/>
    <w:rsid w:val="00F3447C"/>
    <w:rsid w:val="00F346B3"/>
    <w:rsid w:val="00F3473C"/>
    <w:rsid w:val="00F348E6"/>
    <w:rsid w:val="00F34906"/>
    <w:rsid w:val="00F34B48"/>
    <w:rsid w:val="00F34C7F"/>
    <w:rsid w:val="00F34DD0"/>
    <w:rsid w:val="00F34F38"/>
    <w:rsid w:val="00F35041"/>
    <w:rsid w:val="00F351E7"/>
    <w:rsid w:val="00F3535A"/>
    <w:rsid w:val="00F3557C"/>
    <w:rsid w:val="00F355B9"/>
    <w:rsid w:val="00F356E0"/>
    <w:rsid w:val="00F359AE"/>
    <w:rsid w:val="00F35AD4"/>
    <w:rsid w:val="00F35B55"/>
    <w:rsid w:val="00F35D65"/>
    <w:rsid w:val="00F35E75"/>
    <w:rsid w:val="00F35EC9"/>
    <w:rsid w:val="00F3606C"/>
    <w:rsid w:val="00F364AC"/>
    <w:rsid w:val="00F364F8"/>
    <w:rsid w:val="00F3666D"/>
    <w:rsid w:val="00F367A0"/>
    <w:rsid w:val="00F36AFB"/>
    <w:rsid w:val="00F36BAD"/>
    <w:rsid w:val="00F36C60"/>
    <w:rsid w:val="00F36CF7"/>
    <w:rsid w:val="00F36F90"/>
    <w:rsid w:val="00F37042"/>
    <w:rsid w:val="00F3739D"/>
    <w:rsid w:val="00F37589"/>
    <w:rsid w:val="00F376E5"/>
    <w:rsid w:val="00F378D8"/>
    <w:rsid w:val="00F403A5"/>
    <w:rsid w:val="00F404D4"/>
    <w:rsid w:val="00F40521"/>
    <w:rsid w:val="00F4069D"/>
    <w:rsid w:val="00F40AB2"/>
    <w:rsid w:val="00F40AD8"/>
    <w:rsid w:val="00F40BF3"/>
    <w:rsid w:val="00F4116B"/>
    <w:rsid w:val="00F4124C"/>
    <w:rsid w:val="00F41255"/>
    <w:rsid w:val="00F41336"/>
    <w:rsid w:val="00F41355"/>
    <w:rsid w:val="00F413C7"/>
    <w:rsid w:val="00F4144D"/>
    <w:rsid w:val="00F414F4"/>
    <w:rsid w:val="00F41688"/>
    <w:rsid w:val="00F41A21"/>
    <w:rsid w:val="00F42549"/>
    <w:rsid w:val="00F425C2"/>
    <w:rsid w:val="00F426F6"/>
    <w:rsid w:val="00F42783"/>
    <w:rsid w:val="00F42812"/>
    <w:rsid w:val="00F42A6E"/>
    <w:rsid w:val="00F42B9D"/>
    <w:rsid w:val="00F42C6D"/>
    <w:rsid w:val="00F42D8F"/>
    <w:rsid w:val="00F43014"/>
    <w:rsid w:val="00F430A6"/>
    <w:rsid w:val="00F43152"/>
    <w:rsid w:val="00F4315F"/>
    <w:rsid w:val="00F4316F"/>
    <w:rsid w:val="00F433C7"/>
    <w:rsid w:val="00F4341C"/>
    <w:rsid w:val="00F434CD"/>
    <w:rsid w:val="00F43526"/>
    <w:rsid w:val="00F43788"/>
    <w:rsid w:val="00F4391A"/>
    <w:rsid w:val="00F43E71"/>
    <w:rsid w:val="00F44183"/>
    <w:rsid w:val="00F44451"/>
    <w:rsid w:val="00F444A4"/>
    <w:rsid w:val="00F44694"/>
    <w:rsid w:val="00F44917"/>
    <w:rsid w:val="00F44B7F"/>
    <w:rsid w:val="00F44E2E"/>
    <w:rsid w:val="00F44E51"/>
    <w:rsid w:val="00F44EFE"/>
    <w:rsid w:val="00F44F9E"/>
    <w:rsid w:val="00F44FC0"/>
    <w:rsid w:val="00F45397"/>
    <w:rsid w:val="00F453F0"/>
    <w:rsid w:val="00F45545"/>
    <w:rsid w:val="00F45590"/>
    <w:rsid w:val="00F457E1"/>
    <w:rsid w:val="00F45A13"/>
    <w:rsid w:val="00F45BBD"/>
    <w:rsid w:val="00F45EBA"/>
    <w:rsid w:val="00F45EFB"/>
    <w:rsid w:val="00F45F62"/>
    <w:rsid w:val="00F462D9"/>
    <w:rsid w:val="00F4630A"/>
    <w:rsid w:val="00F463E9"/>
    <w:rsid w:val="00F4655D"/>
    <w:rsid w:val="00F46590"/>
    <w:rsid w:val="00F468C3"/>
    <w:rsid w:val="00F4695E"/>
    <w:rsid w:val="00F46B55"/>
    <w:rsid w:val="00F46C75"/>
    <w:rsid w:val="00F46F99"/>
    <w:rsid w:val="00F47110"/>
    <w:rsid w:val="00F47152"/>
    <w:rsid w:val="00F4723C"/>
    <w:rsid w:val="00F47605"/>
    <w:rsid w:val="00F47902"/>
    <w:rsid w:val="00F47903"/>
    <w:rsid w:val="00F47CCB"/>
    <w:rsid w:val="00F47CE3"/>
    <w:rsid w:val="00F47D12"/>
    <w:rsid w:val="00F47E58"/>
    <w:rsid w:val="00F47EF3"/>
    <w:rsid w:val="00F503D7"/>
    <w:rsid w:val="00F50585"/>
    <w:rsid w:val="00F505BF"/>
    <w:rsid w:val="00F50744"/>
    <w:rsid w:val="00F50CFD"/>
    <w:rsid w:val="00F50D8A"/>
    <w:rsid w:val="00F511AD"/>
    <w:rsid w:val="00F5129A"/>
    <w:rsid w:val="00F514C8"/>
    <w:rsid w:val="00F515DD"/>
    <w:rsid w:val="00F515F6"/>
    <w:rsid w:val="00F517FA"/>
    <w:rsid w:val="00F51854"/>
    <w:rsid w:val="00F51A20"/>
    <w:rsid w:val="00F51AC1"/>
    <w:rsid w:val="00F51B2C"/>
    <w:rsid w:val="00F51C4F"/>
    <w:rsid w:val="00F51EB0"/>
    <w:rsid w:val="00F51F5D"/>
    <w:rsid w:val="00F51FD8"/>
    <w:rsid w:val="00F520F9"/>
    <w:rsid w:val="00F52294"/>
    <w:rsid w:val="00F522AB"/>
    <w:rsid w:val="00F5239D"/>
    <w:rsid w:val="00F523F5"/>
    <w:rsid w:val="00F52413"/>
    <w:rsid w:val="00F524BD"/>
    <w:rsid w:val="00F52652"/>
    <w:rsid w:val="00F52792"/>
    <w:rsid w:val="00F5280B"/>
    <w:rsid w:val="00F5293F"/>
    <w:rsid w:val="00F529A4"/>
    <w:rsid w:val="00F52A23"/>
    <w:rsid w:val="00F52AC5"/>
    <w:rsid w:val="00F52B93"/>
    <w:rsid w:val="00F52C9B"/>
    <w:rsid w:val="00F52F6C"/>
    <w:rsid w:val="00F530BC"/>
    <w:rsid w:val="00F5317D"/>
    <w:rsid w:val="00F532E6"/>
    <w:rsid w:val="00F5335A"/>
    <w:rsid w:val="00F53513"/>
    <w:rsid w:val="00F53573"/>
    <w:rsid w:val="00F53574"/>
    <w:rsid w:val="00F53660"/>
    <w:rsid w:val="00F537EB"/>
    <w:rsid w:val="00F53837"/>
    <w:rsid w:val="00F53989"/>
    <w:rsid w:val="00F539A5"/>
    <w:rsid w:val="00F53A1D"/>
    <w:rsid w:val="00F53AA6"/>
    <w:rsid w:val="00F53F14"/>
    <w:rsid w:val="00F53F36"/>
    <w:rsid w:val="00F5419E"/>
    <w:rsid w:val="00F54221"/>
    <w:rsid w:val="00F54254"/>
    <w:rsid w:val="00F542C3"/>
    <w:rsid w:val="00F542F7"/>
    <w:rsid w:val="00F543CC"/>
    <w:rsid w:val="00F544A6"/>
    <w:rsid w:val="00F54880"/>
    <w:rsid w:val="00F54888"/>
    <w:rsid w:val="00F548CF"/>
    <w:rsid w:val="00F54948"/>
    <w:rsid w:val="00F54BB8"/>
    <w:rsid w:val="00F55020"/>
    <w:rsid w:val="00F55740"/>
    <w:rsid w:val="00F557D0"/>
    <w:rsid w:val="00F55946"/>
    <w:rsid w:val="00F55A2A"/>
    <w:rsid w:val="00F55B28"/>
    <w:rsid w:val="00F56047"/>
    <w:rsid w:val="00F56301"/>
    <w:rsid w:val="00F56372"/>
    <w:rsid w:val="00F563C9"/>
    <w:rsid w:val="00F563F5"/>
    <w:rsid w:val="00F565EE"/>
    <w:rsid w:val="00F56713"/>
    <w:rsid w:val="00F56938"/>
    <w:rsid w:val="00F56A9B"/>
    <w:rsid w:val="00F56B52"/>
    <w:rsid w:val="00F56F88"/>
    <w:rsid w:val="00F56F92"/>
    <w:rsid w:val="00F57043"/>
    <w:rsid w:val="00F572D1"/>
    <w:rsid w:val="00F574AB"/>
    <w:rsid w:val="00F578C4"/>
    <w:rsid w:val="00F57A5A"/>
    <w:rsid w:val="00F57B7E"/>
    <w:rsid w:val="00F57C69"/>
    <w:rsid w:val="00F57D74"/>
    <w:rsid w:val="00F57D89"/>
    <w:rsid w:val="00F57FF6"/>
    <w:rsid w:val="00F6044A"/>
    <w:rsid w:val="00F604DB"/>
    <w:rsid w:val="00F605AA"/>
    <w:rsid w:val="00F605EA"/>
    <w:rsid w:val="00F60694"/>
    <w:rsid w:val="00F6074E"/>
    <w:rsid w:val="00F608E8"/>
    <w:rsid w:val="00F609A8"/>
    <w:rsid w:val="00F60A25"/>
    <w:rsid w:val="00F60AF1"/>
    <w:rsid w:val="00F60B63"/>
    <w:rsid w:val="00F61278"/>
    <w:rsid w:val="00F6138D"/>
    <w:rsid w:val="00F6146D"/>
    <w:rsid w:val="00F614E3"/>
    <w:rsid w:val="00F6153A"/>
    <w:rsid w:val="00F61611"/>
    <w:rsid w:val="00F6167E"/>
    <w:rsid w:val="00F61941"/>
    <w:rsid w:val="00F61967"/>
    <w:rsid w:val="00F61A7C"/>
    <w:rsid w:val="00F61C64"/>
    <w:rsid w:val="00F61D09"/>
    <w:rsid w:val="00F61D36"/>
    <w:rsid w:val="00F61EC1"/>
    <w:rsid w:val="00F621FA"/>
    <w:rsid w:val="00F62346"/>
    <w:rsid w:val="00F62854"/>
    <w:rsid w:val="00F629A6"/>
    <w:rsid w:val="00F63271"/>
    <w:rsid w:val="00F6347E"/>
    <w:rsid w:val="00F636C2"/>
    <w:rsid w:val="00F63831"/>
    <w:rsid w:val="00F63839"/>
    <w:rsid w:val="00F63BF4"/>
    <w:rsid w:val="00F63C9A"/>
    <w:rsid w:val="00F63CA6"/>
    <w:rsid w:val="00F63FB7"/>
    <w:rsid w:val="00F64149"/>
    <w:rsid w:val="00F642EF"/>
    <w:rsid w:val="00F645CE"/>
    <w:rsid w:val="00F646CC"/>
    <w:rsid w:val="00F64A04"/>
    <w:rsid w:val="00F64CB5"/>
    <w:rsid w:val="00F64CE1"/>
    <w:rsid w:val="00F64D65"/>
    <w:rsid w:val="00F64DCA"/>
    <w:rsid w:val="00F64F5F"/>
    <w:rsid w:val="00F650CB"/>
    <w:rsid w:val="00F65224"/>
    <w:rsid w:val="00F652BA"/>
    <w:rsid w:val="00F652D0"/>
    <w:rsid w:val="00F65713"/>
    <w:rsid w:val="00F6584B"/>
    <w:rsid w:val="00F6596B"/>
    <w:rsid w:val="00F659EC"/>
    <w:rsid w:val="00F65A5D"/>
    <w:rsid w:val="00F65ACE"/>
    <w:rsid w:val="00F65B95"/>
    <w:rsid w:val="00F65BD2"/>
    <w:rsid w:val="00F65D30"/>
    <w:rsid w:val="00F65F3A"/>
    <w:rsid w:val="00F661C2"/>
    <w:rsid w:val="00F66439"/>
    <w:rsid w:val="00F6645D"/>
    <w:rsid w:val="00F668A2"/>
    <w:rsid w:val="00F67471"/>
    <w:rsid w:val="00F675A0"/>
    <w:rsid w:val="00F67A9D"/>
    <w:rsid w:val="00F67B18"/>
    <w:rsid w:val="00F67BE4"/>
    <w:rsid w:val="00F67BF6"/>
    <w:rsid w:val="00F67CB7"/>
    <w:rsid w:val="00F67E1F"/>
    <w:rsid w:val="00F7018D"/>
    <w:rsid w:val="00F7054A"/>
    <w:rsid w:val="00F7073D"/>
    <w:rsid w:val="00F70884"/>
    <w:rsid w:val="00F70917"/>
    <w:rsid w:val="00F70C40"/>
    <w:rsid w:val="00F70DA3"/>
    <w:rsid w:val="00F70F22"/>
    <w:rsid w:val="00F71058"/>
    <w:rsid w:val="00F710AE"/>
    <w:rsid w:val="00F71211"/>
    <w:rsid w:val="00F71254"/>
    <w:rsid w:val="00F714BC"/>
    <w:rsid w:val="00F714C8"/>
    <w:rsid w:val="00F7150E"/>
    <w:rsid w:val="00F718CF"/>
    <w:rsid w:val="00F718D6"/>
    <w:rsid w:val="00F71A8E"/>
    <w:rsid w:val="00F71B81"/>
    <w:rsid w:val="00F71BAE"/>
    <w:rsid w:val="00F71C8E"/>
    <w:rsid w:val="00F71CB6"/>
    <w:rsid w:val="00F71E98"/>
    <w:rsid w:val="00F71F34"/>
    <w:rsid w:val="00F71F88"/>
    <w:rsid w:val="00F722BD"/>
    <w:rsid w:val="00F72410"/>
    <w:rsid w:val="00F728C9"/>
    <w:rsid w:val="00F72BAE"/>
    <w:rsid w:val="00F730A0"/>
    <w:rsid w:val="00F734C8"/>
    <w:rsid w:val="00F734F9"/>
    <w:rsid w:val="00F73654"/>
    <w:rsid w:val="00F7387C"/>
    <w:rsid w:val="00F739DD"/>
    <w:rsid w:val="00F73AF4"/>
    <w:rsid w:val="00F73CDB"/>
    <w:rsid w:val="00F73CDC"/>
    <w:rsid w:val="00F743D7"/>
    <w:rsid w:val="00F7487C"/>
    <w:rsid w:val="00F74941"/>
    <w:rsid w:val="00F74E07"/>
    <w:rsid w:val="00F74E1D"/>
    <w:rsid w:val="00F74FC7"/>
    <w:rsid w:val="00F750D0"/>
    <w:rsid w:val="00F75202"/>
    <w:rsid w:val="00F75380"/>
    <w:rsid w:val="00F7581B"/>
    <w:rsid w:val="00F7589A"/>
    <w:rsid w:val="00F75CEE"/>
    <w:rsid w:val="00F75E14"/>
    <w:rsid w:val="00F75E8E"/>
    <w:rsid w:val="00F75FFB"/>
    <w:rsid w:val="00F76206"/>
    <w:rsid w:val="00F7623E"/>
    <w:rsid w:val="00F76274"/>
    <w:rsid w:val="00F76362"/>
    <w:rsid w:val="00F76668"/>
    <w:rsid w:val="00F767B1"/>
    <w:rsid w:val="00F767EE"/>
    <w:rsid w:val="00F76A86"/>
    <w:rsid w:val="00F76EB7"/>
    <w:rsid w:val="00F76EDC"/>
    <w:rsid w:val="00F773CC"/>
    <w:rsid w:val="00F774DE"/>
    <w:rsid w:val="00F77C8D"/>
    <w:rsid w:val="00F77D5D"/>
    <w:rsid w:val="00F77ED4"/>
    <w:rsid w:val="00F77EEA"/>
    <w:rsid w:val="00F80BC3"/>
    <w:rsid w:val="00F80C76"/>
    <w:rsid w:val="00F80D2E"/>
    <w:rsid w:val="00F80D6F"/>
    <w:rsid w:val="00F81000"/>
    <w:rsid w:val="00F81057"/>
    <w:rsid w:val="00F811A3"/>
    <w:rsid w:val="00F8141E"/>
    <w:rsid w:val="00F81642"/>
    <w:rsid w:val="00F816D1"/>
    <w:rsid w:val="00F818EC"/>
    <w:rsid w:val="00F818FC"/>
    <w:rsid w:val="00F81B1C"/>
    <w:rsid w:val="00F81BA7"/>
    <w:rsid w:val="00F81E96"/>
    <w:rsid w:val="00F81F89"/>
    <w:rsid w:val="00F81FAE"/>
    <w:rsid w:val="00F81FFD"/>
    <w:rsid w:val="00F820D8"/>
    <w:rsid w:val="00F8213D"/>
    <w:rsid w:val="00F822DC"/>
    <w:rsid w:val="00F82308"/>
    <w:rsid w:val="00F8237E"/>
    <w:rsid w:val="00F824B8"/>
    <w:rsid w:val="00F82608"/>
    <w:rsid w:val="00F82AD3"/>
    <w:rsid w:val="00F82B1D"/>
    <w:rsid w:val="00F82F26"/>
    <w:rsid w:val="00F82FFA"/>
    <w:rsid w:val="00F830BF"/>
    <w:rsid w:val="00F8313D"/>
    <w:rsid w:val="00F831E1"/>
    <w:rsid w:val="00F83442"/>
    <w:rsid w:val="00F8347C"/>
    <w:rsid w:val="00F83727"/>
    <w:rsid w:val="00F83789"/>
    <w:rsid w:val="00F837E1"/>
    <w:rsid w:val="00F83CC3"/>
    <w:rsid w:val="00F83F4A"/>
    <w:rsid w:val="00F83FBA"/>
    <w:rsid w:val="00F841E5"/>
    <w:rsid w:val="00F84334"/>
    <w:rsid w:val="00F84392"/>
    <w:rsid w:val="00F8444D"/>
    <w:rsid w:val="00F84827"/>
    <w:rsid w:val="00F848C8"/>
    <w:rsid w:val="00F8497A"/>
    <w:rsid w:val="00F84B70"/>
    <w:rsid w:val="00F84DFC"/>
    <w:rsid w:val="00F855C6"/>
    <w:rsid w:val="00F8577A"/>
    <w:rsid w:val="00F857E0"/>
    <w:rsid w:val="00F859ED"/>
    <w:rsid w:val="00F859F0"/>
    <w:rsid w:val="00F85A58"/>
    <w:rsid w:val="00F85CD0"/>
    <w:rsid w:val="00F85D66"/>
    <w:rsid w:val="00F86201"/>
    <w:rsid w:val="00F86278"/>
    <w:rsid w:val="00F862AE"/>
    <w:rsid w:val="00F8636F"/>
    <w:rsid w:val="00F86476"/>
    <w:rsid w:val="00F8649D"/>
    <w:rsid w:val="00F86581"/>
    <w:rsid w:val="00F86955"/>
    <w:rsid w:val="00F869EB"/>
    <w:rsid w:val="00F86E89"/>
    <w:rsid w:val="00F87048"/>
    <w:rsid w:val="00F87245"/>
    <w:rsid w:val="00F872BB"/>
    <w:rsid w:val="00F876F0"/>
    <w:rsid w:val="00F8784F"/>
    <w:rsid w:val="00F87A41"/>
    <w:rsid w:val="00F87AE9"/>
    <w:rsid w:val="00F87EED"/>
    <w:rsid w:val="00F901CD"/>
    <w:rsid w:val="00F90419"/>
    <w:rsid w:val="00F909F6"/>
    <w:rsid w:val="00F90BFF"/>
    <w:rsid w:val="00F90D16"/>
    <w:rsid w:val="00F913EA"/>
    <w:rsid w:val="00F913F5"/>
    <w:rsid w:val="00F91404"/>
    <w:rsid w:val="00F917D6"/>
    <w:rsid w:val="00F91A2A"/>
    <w:rsid w:val="00F91A2F"/>
    <w:rsid w:val="00F91AC3"/>
    <w:rsid w:val="00F91B40"/>
    <w:rsid w:val="00F91F77"/>
    <w:rsid w:val="00F920AC"/>
    <w:rsid w:val="00F92243"/>
    <w:rsid w:val="00F9247A"/>
    <w:rsid w:val="00F9248E"/>
    <w:rsid w:val="00F92559"/>
    <w:rsid w:val="00F92701"/>
    <w:rsid w:val="00F927A3"/>
    <w:rsid w:val="00F92861"/>
    <w:rsid w:val="00F928E0"/>
    <w:rsid w:val="00F92A82"/>
    <w:rsid w:val="00F92BD9"/>
    <w:rsid w:val="00F92E2E"/>
    <w:rsid w:val="00F9301A"/>
    <w:rsid w:val="00F93108"/>
    <w:rsid w:val="00F931FD"/>
    <w:rsid w:val="00F93235"/>
    <w:rsid w:val="00F933BF"/>
    <w:rsid w:val="00F934B4"/>
    <w:rsid w:val="00F93790"/>
    <w:rsid w:val="00F93839"/>
    <w:rsid w:val="00F938D8"/>
    <w:rsid w:val="00F93D5D"/>
    <w:rsid w:val="00F93D92"/>
    <w:rsid w:val="00F94044"/>
    <w:rsid w:val="00F941DB"/>
    <w:rsid w:val="00F94316"/>
    <w:rsid w:val="00F943A0"/>
    <w:rsid w:val="00F94481"/>
    <w:rsid w:val="00F944D3"/>
    <w:rsid w:val="00F945A9"/>
    <w:rsid w:val="00F946AB"/>
    <w:rsid w:val="00F946C0"/>
    <w:rsid w:val="00F94A0B"/>
    <w:rsid w:val="00F94D0A"/>
    <w:rsid w:val="00F94DDF"/>
    <w:rsid w:val="00F94E52"/>
    <w:rsid w:val="00F94E98"/>
    <w:rsid w:val="00F94F25"/>
    <w:rsid w:val="00F94F32"/>
    <w:rsid w:val="00F94F48"/>
    <w:rsid w:val="00F95014"/>
    <w:rsid w:val="00F95207"/>
    <w:rsid w:val="00F952CE"/>
    <w:rsid w:val="00F953EF"/>
    <w:rsid w:val="00F954E7"/>
    <w:rsid w:val="00F954FD"/>
    <w:rsid w:val="00F9570C"/>
    <w:rsid w:val="00F95723"/>
    <w:rsid w:val="00F95752"/>
    <w:rsid w:val="00F95872"/>
    <w:rsid w:val="00F95A0D"/>
    <w:rsid w:val="00F95A6F"/>
    <w:rsid w:val="00F95CB5"/>
    <w:rsid w:val="00F95D9A"/>
    <w:rsid w:val="00F96123"/>
    <w:rsid w:val="00F9631C"/>
    <w:rsid w:val="00F966D0"/>
    <w:rsid w:val="00F96732"/>
    <w:rsid w:val="00F96751"/>
    <w:rsid w:val="00F96AE1"/>
    <w:rsid w:val="00F96B0F"/>
    <w:rsid w:val="00F96CF4"/>
    <w:rsid w:val="00F96D55"/>
    <w:rsid w:val="00F96DD4"/>
    <w:rsid w:val="00F96E31"/>
    <w:rsid w:val="00F96F96"/>
    <w:rsid w:val="00F97097"/>
    <w:rsid w:val="00F9766B"/>
    <w:rsid w:val="00F976BB"/>
    <w:rsid w:val="00F977FA"/>
    <w:rsid w:val="00F97A47"/>
    <w:rsid w:val="00F97A8D"/>
    <w:rsid w:val="00FA0329"/>
    <w:rsid w:val="00FA062E"/>
    <w:rsid w:val="00FA0768"/>
    <w:rsid w:val="00FA0837"/>
    <w:rsid w:val="00FA0CFB"/>
    <w:rsid w:val="00FA1031"/>
    <w:rsid w:val="00FA10B5"/>
    <w:rsid w:val="00FA18BA"/>
    <w:rsid w:val="00FA18BF"/>
    <w:rsid w:val="00FA1B5F"/>
    <w:rsid w:val="00FA1DD8"/>
    <w:rsid w:val="00FA1FB0"/>
    <w:rsid w:val="00FA227A"/>
    <w:rsid w:val="00FA24E4"/>
    <w:rsid w:val="00FA2662"/>
    <w:rsid w:val="00FA28AE"/>
    <w:rsid w:val="00FA2A65"/>
    <w:rsid w:val="00FA2B3E"/>
    <w:rsid w:val="00FA2BFA"/>
    <w:rsid w:val="00FA2D2C"/>
    <w:rsid w:val="00FA2FB5"/>
    <w:rsid w:val="00FA2FCC"/>
    <w:rsid w:val="00FA30D6"/>
    <w:rsid w:val="00FA3278"/>
    <w:rsid w:val="00FA3B08"/>
    <w:rsid w:val="00FA3BF0"/>
    <w:rsid w:val="00FA3C8F"/>
    <w:rsid w:val="00FA3D06"/>
    <w:rsid w:val="00FA3D55"/>
    <w:rsid w:val="00FA3E24"/>
    <w:rsid w:val="00FA41C0"/>
    <w:rsid w:val="00FA4365"/>
    <w:rsid w:val="00FA43FC"/>
    <w:rsid w:val="00FA4560"/>
    <w:rsid w:val="00FA4DBE"/>
    <w:rsid w:val="00FA4F4B"/>
    <w:rsid w:val="00FA56E5"/>
    <w:rsid w:val="00FA5AE3"/>
    <w:rsid w:val="00FA5CB4"/>
    <w:rsid w:val="00FA5CF0"/>
    <w:rsid w:val="00FA5F9C"/>
    <w:rsid w:val="00FA5FDB"/>
    <w:rsid w:val="00FA601B"/>
    <w:rsid w:val="00FA6481"/>
    <w:rsid w:val="00FA699D"/>
    <w:rsid w:val="00FA6B7D"/>
    <w:rsid w:val="00FA6C92"/>
    <w:rsid w:val="00FA6D67"/>
    <w:rsid w:val="00FA6EBA"/>
    <w:rsid w:val="00FA70D3"/>
    <w:rsid w:val="00FA741E"/>
    <w:rsid w:val="00FA787D"/>
    <w:rsid w:val="00FA7979"/>
    <w:rsid w:val="00FA7A7F"/>
    <w:rsid w:val="00FA7AA6"/>
    <w:rsid w:val="00FA7C36"/>
    <w:rsid w:val="00FA7CD3"/>
    <w:rsid w:val="00FA7DD5"/>
    <w:rsid w:val="00FA7E5A"/>
    <w:rsid w:val="00FB0028"/>
    <w:rsid w:val="00FB0042"/>
    <w:rsid w:val="00FB01F1"/>
    <w:rsid w:val="00FB0283"/>
    <w:rsid w:val="00FB03F6"/>
    <w:rsid w:val="00FB08DB"/>
    <w:rsid w:val="00FB0B11"/>
    <w:rsid w:val="00FB0B41"/>
    <w:rsid w:val="00FB12BB"/>
    <w:rsid w:val="00FB12FC"/>
    <w:rsid w:val="00FB1358"/>
    <w:rsid w:val="00FB13AF"/>
    <w:rsid w:val="00FB1600"/>
    <w:rsid w:val="00FB18EF"/>
    <w:rsid w:val="00FB19A0"/>
    <w:rsid w:val="00FB1B37"/>
    <w:rsid w:val="00FB1B45"/>
    <w:rsid w:val="00FB1DBA"/>
    <w:rsid w:val="00FB21A0"/>
    <w:rsid w:val="00FB22AE"/>
    <w:rsid w:val="00FB2819"/>
    <w:rsid w:val="00FB2B85"/>
    <w:rsid w:val="00FB2F5F"/>
    <w:rsid w:val="00FB2FFB"/>
    <w:rsid w:val="00FB3110"/>
    <w:rsid w:val="00FB33B5"/>
    <w:rsid w:val="00FB33CC"/>
    <w:rsid w:val="00FB34A5"/>
    <w:rsid w:val="00FB34F3"/>
    <w:rsid w:val="00FB3603"/>
    <w:rsid w:val="00FB3AD7"/>
    <w:rsid w:val="00FB3AE6"/>
    <w:rsid w:val="00FB3B07"/>
    <w:rsid w:val="00FB3B84"/>
    <w:rsid w:val="00FB3C4A"/>
    <w:rsid w:val="00FB4075"/>
    <w:rsid w:val="00FB4257"/>
    <w:rsid w:val="00FB434F"/>
    <w:rsid w:val="00FB474A"/>
    <w:rsid w:val="00FB47FF"/>
    <w:rsid w:val="00FB4AA2"/>
    <w:rsid w:val="00FB4B56"/>
    <w:rsid w:val="00FB4C7C"/>
    <w:rsid w:val="00FB4D13"/>
    <w:rsid w:val="00FB4F2E"/>
    <w:rsid w:val="00FB504B"/>
    <w:rsid w:val="00FB50E2"/>
    <w:rsid w:val="00FB534B"/>
    <w:rsid w:val="00FB53AD"/>
    <w:rsid w:val="00FB542E"/>
    <w:rsid w:val="00FB5653"/>
    <w:rsid w:val="00FB5713"/>
    <w:rsid w:val="00FB5BBD"/>
    <w:rsid w:val="00FB5D66"/>
    <w:rsid w:val="00FB5DB3"/>
    <w:rsid w:val="00FB620F"/>
    <w:rsid w:val="00FB67F2"/>
    <w:rsid w:val="00FB6A12"/>
    <w:rsid w:val="00FB6AA5"/>
    <w:rsid w:val="00FB6B78"/>
    <w:rsid w:val="00FB6B7F"/>
    <w:rsid w:val="00FB73D7"/>
    <w:rsid w:val="00FB76FA"/>
    <w:rsid w:val="00FB7797"/>
    <w:rsid w:val="00FB77D1"/>
    <w:rsid w:val="00FB7AF5"/>
    <w:rsid w:val="00FB7C51"/>
    <w:rsid w:val="00FB7F02"/>
    <w:rsid w:val="00FB7F0E"/>
    <w:rsid w:val="00FC0438"/>
    <w:rsid w:val="00FC0442"/>
    <w:rsid w:val="00FC0618"/>
    <w:rsid w:val="00FC09A6"/>
    <w:rsid w:val="00FC0A69"/>
    <w:rsid w:val="00FC0BA6"/>
    <w:rsid w:val="00FC0EBC"/>
    <w:rsid w:val="00FC0F61"/>
    <w:rsid w:val="00FC13B8"/>
    <w:rsid w:val="00FC1696"/>
    <w:rsid w:val="00FC17BC"/>
    <w:rsid w:val="00FC18BC"/>
    <w:rsid w:val="00FC19D9"/>
    <w:rsid w:val="00FC1ADA"/>
    <w:rsid w:val="00FC1CA5"/>
    <w:rsid w:val="00FC1D93"/>
    <w:rsid w:val="00FC1DA7"/>
    <w:rsid w:val="00FC1E17"/>
    <w:rsid w:val="00FC1FB2"/>
    <w:rsid w:val="00FC1FDA"/>
    <w:rsid w:val="00FC2002"/>
    <w:rsid w:val="00FC21BC"/>
    <w:rsid w:val="00FC22A0"/>
    <w:rsid w:val="00FC232D"/>
    <w:rsid w:val="00FC282A"/>
    <w:rsid w:val="00FC292A"/>
    <w:rsid w:val="00FC292B"/>
    <w:rsid w:val="00FC2943"/>
    <w:rsid w:val="00FC2C1F"/>
    <w:rsid w:val="00FC2DCC"/>
    <w:rsid w:val="00FC2E3E"/>
    <w:rsid w:val="00FC31F1"/>
    <w:rsid w:val="00FC334F"/>
    <w:rsid w:val="00FC38E0"/>
    <w:rsid w:val="00FC3A94"/>
    <w:rsid w:val="00FC3B0F"/>
    <w:rsid w:val="00FC3B18"/>
    <w:rsid w:val="00FC3BEF"/>
    <w:rsid w:val="00FC3D14"/>
    <w:rsid w:val="00FC3D25"/>
    <w:rsid w:val="00FC3D76"/>
    <w:rsid w:val="00FC3F56"/>
    <w:rsid w:val="00FC404F"/>
    <w:rsid w:val="00FC4316"/>
    <w:rsid w:val="00FC432F"/>
    <w:rsid w:val="00FC43D1"/>
    <w:rsid w:val="00FC43FE"/>
    <w:rsid w:val="00FC44D0"/>
    <w:rsid w:val="00FC45A2"/>
    <w:rsid w:val="00FC45B2"/>
    <w:rsid w:val="00FC4668"/>
    <w:rsid w:val="00FC4695"/>
    <w:rsid w:val="00FC469B"/>
    <w:rsid w:val="00FC491F"/>
    <w:rsid w:val="00FC4A97"/>
    <w:rsid w:val="00FC4BCF"/>
    <w:rsid w:val="00FC4CFE"/>
    <w:rsid w:val="00FC4E02"/>
    <w:rsid w:val="00FC4F36"/>
    <w:rsid w:val="00FC5020"/>
    <w:rsid w:val="00FC51C1"/>
    <w:rsid w:val="00FC52CD"/>
    <w:rsid w:val="00FC5413"/>
    <w:rsid w:val="00FC55A9"/>
    <w:rsid w:val="00FC57C2"/>
    <w:rsid w:val="00FC5839"/>
    <w:rsid w:val="00FC58BD"/>
    <w:rsid w:val="00FC5A01"/>
    <w:rsid w:val="00FC5A28"/>
    <w:rsid w:val="00FC5A67"/>
    <w:rsid w:val="00FC5BCE"/>
    <w:rsid w:val="00FC5E0C"/>
    <w:rsid w:val="00FC5E5F"/>
    <w:rsid w:val="00FC624B"/>
    <w:rsid w:val="00FC64E3"/>
    <w:rsid w:val="00FC65FC"/>
    <w:rsid w:val="00FC6900"/>
    <w:rsid w:val="00FC6BA7"/>
    <w:rsid w:val="00FC7205"/>
    <w:rsid w:val="00FC74D8"/>
    <w:rsid w:val="00FC76D0"/>
    <w:rsid w:val="00FC7784"/>
    <w:rsid w:val="00FC79F2"/>
    <w:rsid w:val="00FC7A7B"/>
    <w:rsid w:val="00FC7C33"/>
    <w:rsid w:val="00FC7E6A"/>
    <w:rsid w:val="00FC7EF5"/>
    <w:rsid w:val="00FC7F99"/>
    <w:rsid w:val="00FD006B"/>
    <w:rsid w:val="00FD00CB"/>
    <w:rsid w:val="00FD0153"/>
    <w:rsid w:val="00FD03D5"/>
    <w:rsid w:val="00FD09D8"/>
    <w:rsid w:val="00FD0A2A"/>
    <w:rsid w:val="00FD0AC3"/>
    <w:rsid w:val="00FD0DCD"/>
    <w:rsid w:val="00FD0E90"/>
    <w:rsid w:val="00FD0FCD"/>
    <w:rsid w:val="00FD0FF4"/>
    <w:rsid w:val="00FD10DB"/>
    <w:rsid w:val="00FD1260"/>
    <w:rsid w:val="00FD1269"/>
    <w:rsid w:val="00FD1587"/>
    <w:rsid w:val="00FD168D"/>
    <w:rsid w:val="00FD1691"/>
    <w:rsid w:val="00FD180B"/>
    <w:rsid w:val="00FD1952"/>
    <w:rsid w:val="00FD1AE6"/>
    <w:rsid w:val="00FD1C72"/>
    <w:rsid w:val="00FD1CA0"/>
    <w:rsid w:val="00FD1D0A"/>
    <w:rsid w:val="00FD1DFD"/>
    <w:rsid w:val="00FD1E53"/>
    <w:rsid w:val="00FD200A"/>
    <w:rsid w:val="00FD2082"/>
    <w:rsid w:val="00FD216A"/>
    <w:rsid w:val="00FD2173"/>
    <w:rsid w:val="00FD2383"/>
    <w:rsid w:val="00FD238B"/>
    <w:rsid w:val="00FD239E"/>
    <w:rsid w:val="00FD23EE"/>
    <w:rsid w:val="00FD2436"/>
    <w:rsid w:val="00FD251D"/>
    <w:rsid w:val="00FD2601"/>
    <w:rsid w:val="00FD2795"/>
    <w:rsid w:val="00FD28A6"/>
    <w:rsid w:val="00FD2948"/>
    <w:rsid w:val="00FD298E"/>
    <w:rsid w:val="00FD2A13"/>
    <w:rsid w:val="00FD2C8D"/>
    <w:rsid w:val="00FD2DD9"/>
    <w:rsid w:val="00FD2FA1"/>
    <w:rsid w:val="00FD313A"/>
    <w:rsid w:val="00FD320D"/>
    <w:rsid w:val="00FD3317"/>
    <w:rsid w:val="00FD33FE"/>
    <w:rsid w:val="00FD3572"/>
    <w:rsid w:val="00FD3820"/>
    <w:rsid w:val="00FD38C1"/>
    <w:rsid w:val="00FD3C1F"/>
    <w:rsid w:val="00FD3E10"/>
    <w:rsid w:val="00FD3F0A"/>
    <w:rsid w:val="00FD3F12"/>
    <w:rsid w:val="00FD3F61"/>
    <w:rsid w:val="00FD3F8D"/>
    <w:rsid w:val="00FD3FB8"/>
    <w:rsid w:val="00FD4134"/>
    <w:rsid w:val="00FD4140"/>
    <w:rsid w:val="00FD41F1"/>
    <w:rsid w:val="00FD4328"/>
    <w:rsid w:val="00FD4440"/>
    <w:rsid w:val="00FD45C5"/>
    <w:rsid w:val="00FD4799"/>
    <w:rsid w:val="00FD47A2"/>
    <w:rsid w:val="00FD4946"/>
    <w:rsid w:val="00FD4E4D"/>
    <w:rsid w:val="00FD5103"/>
    <w:rsid w:val="00FD52FC"/>
    <w:rsid w:val="00FD5343"/>
    <w:rsid w:val="00FD539B"/>
    <w:rsid w:val="00FD5463"/>
    <w:rsid w:val="00FD56D0"/>
    <w:rsid w:val="00FD5944"/>
    <w:rsid w:val="00FD5E3E"/>
    <w:rsid w:val="00FD5E4C"/>
    <w:rsid w:val="00FD5EB3"/>
    <w:rsid w:val="00FD61B3"/>
    <w:rsid w:val="00FD61D1"/>
    <w:rsid w:val="00FD64E4"/>
    <w:rsid w:val="00FD64EE"/>
    <w:rsid w:val="00FD6614"/>
    <w:rsid w:val="00FD66B1"/>
    <w:rsid w:val="00FD687A"/>
    <w:rsid w:val="00FD6A15"/>
    <w:rsid w:val="00FD6DB3"/>
    <w:rsid w:val="00FD6F12"/>
    <w:rsid w:val="00FD7581"/>
    <w:rsid w:val="00FD7910"/>
    <w:rsid w:val="00FD7A76"/>
    <w:rsid w:val="00FD7B11"/>
    <w:rsid w:val="00FD7DDE"/>
    <w:rsid w:val="00FD7F69"/>
    <w:rsid w:val="00FE008C"/>
    <w:rsid w:val="00FE0208"/>
    <w:rsid w:val="00FE027C"/>
    <w:rsid w:val="00FE033A"/>
    <w:rsid w:val="00FE0617"/>
    <w:rsid w:val="00FE072A"/>
    <w:rsid w:val="00FE09A3"/>
    <w:rsid w:val="00FE0B81"/>
    <w:rsid w:val="00FE106D"/>
    <w:rsid w:val="00FE10EF"/>
    <w:rsid w:val="00FE1552"/>
    <w:rsid w:val="00FE15C0"/>
    <w:rsid w:val="00FE163B"/>
    <w:rsid w:val="00FE1979"/>
    <w:rsid w:val="00FE1A35"/>
    <w:rsid w:val="00FE1BFE"/>
    <w:rsid w:val="00FE1C88"/>
    <w:rsid w:val="00FE1CFB"/>
    <w:rsid w:val="00FE1ECF"/>
    <w:rsid w:val="00FE203E"/>
    <w:rsid w:val="00FE21D3"/>
    <w:rsid w:val="00FE21DA"/>
    <w:rsid w:val="00FE259D"/>
    <w:rsid w:val="00FE270B"/>
    <w:rsid w:val="00FE2826"/>
    <w:rsid w:val="00FE2922"/>
    <w:rsid w:val="00FE2DBB"/>
    <w:rsid w:val="00FE2E2F"/>
    <w:rsid w:val="00FE2F30"/>
    <w:rsid w:val="00FE2F4B"/>
    <w:rsid w:val="00FE304D"/>
    <w:rsid w:val="00FE3216"/>
    <w:rsid w:val="00FE3239"/>
    <w:rsid w:val="00FE3634"/>
    <w:rsid w:val="00FE3635"/>
    <w:rsid w:val="00FE395D"/>
    <w:rsid w:val="00FE39C8"/>
    <w:rsid w:val="00FE39CB"/>
    <w:rsid w:val="00FE3A63"/>
    <w:rsid w:val="00FE3D95"/>
    <w:rsid w:val="00FE421E"/>
    <w:rsid w:val="00FE42DE"/>
    <w:rsid w:val="00FE449B"/>
    <w:rsid w:val="00FE4548"/>
    <w:rsid w:val="00FE4600"/>
    <w:rsid w:val="00FE4684"/>
    <w:rsid w:val="00FE4714"/>
    <w:rsid w:val="00FE4721"/>
    <w:rsid w:val="00FE4A06"/>
    <w:rsid w:val="00FE4A1D"/>
    <w:rsid w:val="00FE4A5B"/>
    <w:rsid w:val="00FE4C2A"/>
    <w:rsid w:val="00FE4C56"/>
    <w:rsid w:val="00FE543D"/>
    <w:rsid w:val="00FE56B2"/>
    <w:rsid w:val="00FE57FF"/>
    <w:rsid w:val="00FE5821"/>
    <w:rsid w:val="00FE5DF1"/>
    <w:rsid w:val="00FE6059"/>
    <w:rsid w:val="00FE62BD"/>
    <w:rsid w:val="00FE6353"/>
    <w:rsid w:val="00FE6523"/>
    <w:rsid w:val="00FE696E"/>
    <w:rsid w:val="00FE6B18"/>
    <w:rsid w:val="00FE6C0B"/>
    <w:rsid w:val="00FE6ECB"/>
    <w:rsid w:val="00FE6F74"/>
    <w:rsid w:val="00FE6FA1"/>
    <w:rsid w:val="00FE6FD7"/>
    <w:rsid w:val="00FE7127"/>
    <w:rsid w:val="00FE71FE"/>
    <w:rsid w:val="00FE73A8"/>
    <w:rsid w:val="00FE773E"/>
    <w:rsid w:val="00FE7896"/>
    <w:rsid w:val="00FE78CD"/>
    <w:rsid w:val="00FE79BA"/>
    <w:rsid w:val="00FE7A1B"/>
    <w:rsid w:val="00FE7BB3"/>
    <w:rsid w:val="00FE7CC5"/>
    <w:rsid w:val="00FE7D18"/>
    <w:rsid w:val="00FF02D2"/>
    <w:rsid w:val="00FF0539"/>
    <w:rsid w:val="00FF05F4"/>
    <w:rsid w:val="00FF0B7E"/>
    <w:rsid w:val="00FF0F47"/>
    <w:rsid w:val="00FF0F90"/>
    <w:rsid w:val="00FF1095"/>
    <w:rsid w:val="00FF11A9"/>
    <w:rsid w:val="00FF1278"/>
    <w:rsid w:val="00FF1329"/>
    <w:rsid w:val="00FF164A"/>
    <w:rsid w:val="00FF1680"/>
    <w:rsid w:val="00FF17F6"/>
    <w:rsid w:val="00FF181C"/>
    <w:rsid w:val="00FF1C7B"/>
    <w:rsid w:val="00FF1DB9"/>
    <w:rsid w:val="00FF20CA"/>
    <w:rsid w:val="00FF2609"/>
    <w:rsid w:val="00FF2A25"/>
    <w:rsid w:val="00FF3257"/>
    <w:rsid w:val="00FF32C4"/>
    <w:rsid w:val="00FF35BF"/>
    <w:rsid w:val="00FF36F0"/>
    <w:rsid w:val="00FF36F8"/>
    <w:rsid w:val="00FF3EE5"/>
    <w:rsid w:val="00FF3F86"/>
    <w:rsid w:val="00FF4363"/>
    <w:rsid w:val="00FF44B3"/>
    <w:rsid w:val="00FF45C8"/>
    <w:rsid w:val="00FF4669"/>
    <w:rsid w:val="00FF476A"/>
    <w:rsid w:val="00FF47D3"/>
    <w:rsid w:val="00FF4928"/>
    <w:rsid w:val="00FF4B4C"/>
    <w:rsid w:val="00FF4B8C"/>
    <w:rsid w:val="00FF4BC4"/>
    <w:rsid w:val="00FF4DB5"/>
    <w:rsid w:val="00FF4FB4"/>
    <w:rsid w:val="00FF50AE"/>
    <w:rsid w:val="00FF513A"/>
    <w:rsid w:val="00FF51AB"/>
    <w:rsid w:val="00FF534F"/>
    <w:rsid w:val="00FF53D4"/>
    <w:rsid w:val="00FF55B7"/>
    <w:rsid w:val="00FF563D"/>
    <w:rsid w:val="00FF5643"/>
    <w:rsid w:val="00FF56DF"/>
    <w:rsid w:val="00FF56F5"/>
    <w:rsid w:val="00FF5706"/>
    <w:rsid w:val="00FF582A"/>
    <w:rsid w:val="00FF598D"/>
    <w:rsid w:val="00FF5DD1"/>
    <w:rsid w:val="00FF5F85"/>
    <w:rsid w:val="00FF603B"/>
    <w:rsid w:val="00FF6270"/>
    <w:rsid w:val="00FF6385"/>
    <w:rsid w:val="00FF6414"/>
    <w:rsid w:val="00FF642D"/>
    <w:rsid w:val="00FF69E8"/>
    <w:rsid w:val="00FF6C09"/>
    <w:rsid w:val="00FF6DF2"/>
    <w:rsid w:val="00FF6E43"/>
    <w:rsid w:val="00FF6E68"/>
    <w:rsid w:val="00FF6FAC"/>
    <w:rsid w:val="00FF7287"/>
    <w:rsid w:val="00FF767A"/>
    <w:rsid w:val="00FF792E"/>
    <w:rsid w:val="00FF7B42"/>
    <w:rsid w:val="00FF7DE8"/>
    <w:rsid w:val="00FF7F17"/>
    <w:rsid w:val="00FF7F9A"/>
    <w:rsid w:val="00FF7FA5"/>
    <w:rsid w:val="00FF7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28D2B-BED1-4EBF-8477-97613CA8D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BE1B6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BE1B60"/>
    <w:rPr>
      <w:sz w:val="20"/>
      <w:szCs w:val="20"/>
    </w:rPr>
  </w:style>
  <w:style w:type="character" w:customStyle="1" w:styleId="a4">
    <w:name w:val="Текст сноски Знак"/>
    <w:basedOn w:val="a0"/>
    <w:link w:val="a3"/>
    <w:uiPriority w:val="99"/>
    <w:rsid w:val="00BE1B60"/>
    <w:rPr>
      <w:rFonts w:ascii="Calibri" w:eastAsia="Calibri" w:hAnsi="Calibri" w:cs="Times New Roman"/>
      <w:sz w:val="20"/>
      <w:szCs w:val="20"/>
    </w:rPr>
  </w:style>
  <w:style w:type="character" w:styleId="a5">
    <w:name w:val="footnote reference"/>
    <w:aliases w:val="Знак сноски 1,Знак сноски-FN,Ciae niinee-FN,Referencia nota al pie,Odwołanie przypisu,Footnote symbol,SUPERS,зс,Ref,de nota al pie"/>
    <w:uiPriority w:val="99"/>
    <w:unhideWhenUsed/>
    <w:rsid w:val="00BE1B60"/>
    <w:rPr>
      <w:vertAlign w:val="superscript"/>
    </w:rPr>
  </w:style>
  <w:style w:type="character" w:styleId="a6">
    <w:name w:val="Hyperlink"/>
    <w:uiPriority w:val="99"/>
    <w:unhideWhenUsed/>
    <w:rsid w:val="00BE1B60"/>
    <w:rPr>
      <w:color w:val="0000FF"/>
      <w:u w:val="single"/>
    </w:rPr>
  </w:style>
  <w:style w:type="paragraph" w:styleId="a7">
    <w:name w:val="List Paragraph"/>
    <w:basedOn w:val="a"/>
    <w:link w:val="a8"/>
    <w:uiPriority w:val="34"/>
    <w:qFormat/>
    <w:rsid w:val="00BE1B60"/>
    <w:pPr>
      <w:spacing w:after="0" w:line="360" w:lineRule="auto"/>
      <w:ind w:left="708" w:firstLine="709"/>
      <w:jc w:val="both"/>
    </w:pPr>
    <w:rPr>
      <w:rFonts w:ascii="Times New Roman" w:eastAsia="Times New Roman" w:hAnsi="Times New Roman"/>
      <w:sz w:val="24"/>
      <w:szCs w:val="20"/>
    </w:rPr>
  </w:style>
  <w:style w:type="character" w:customStyle="1" w:styleId="a8">
    <w:name w:val="Абзац списка Знак"/>
    <w:link w:val="a7"/>
    <w:uiPriority w:val="34"/>
    <w:rsid w:val="00BE1B60"/>
    <w:rPr>
      <w:rFonts w:ascii="Times New Roman" w:eastAsia="Times New Roman" w:hAnsi="Times New Roman" w:cs="Times New Roman"/>
      <w:sz w:val="24"/>
      <w:szCs w:val="20"/>
    </w:rPr>
  </w:style>
  <w:style w:type="paragraph" w:styleId="a9">
    <w:name w:val="Balloon Text"/>
    <w:basedOn w:val="a"/>
    <w:link w:val="aa"/>
    <w:uiPriority w:val="99"/>
    <w:semiHidden/>
    <w:unhideWhenUsed/>
    <w:rsid w:val="00BE1B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E1B6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hyperlink" Target="http://ob.mosreg.ru/index.php/analiz-ispolneniya-byudzhetov-moskovskoj-oblasti/6-sravnenie-otdelnykh-pokazatelej-ispolneniya-byudzhetov-sub-ektov/fk-0001-0011-moskva" TargetMode="External"/><Relationship Id="rId26" Type="http://schemas.openxmlformats.org/officeDocument/2006/relationships/hyperlink" Target="http://fincom.spb.ru/comfin/acts/budjet.htm" TargetMode="External"/><Relationship Id="rId39" Type="http://schemas.openxmlformats.org/officeDocument/2006/relationships/hyperlink" Target="http://ru.cbonds.info" TargetMode="External"/><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hyperlink" Target="http://zsnso.ru/667/" TargetMode="Externa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chart" Target="charts/chart16.xml"/><Relationship Id="rId38" Type="http://schemas.openxmlformats.org/officeDocument/2006/relationships/hyperlink" Target="http://www.vedomosti.ru/opinion/articles/2015/06/09/595738-vozmozhni-li-v-rossii-defoltiregionov" TargetMode="External"/><Relationship Id="rId2" Type="http://schemas.openxmlformats.org/officeDocument/2006/relationships/styles" Target="styles.xml"/><Relationship Id="rId16" Type="http://schemas.openxmlformats.org/officeDocument/2006/relationships/hyperlink" Target="http://admtyumen.ru/ogv_ru/finance/finance/bugjet.htm" TargetMode="External"/><Relationship Id="rId20" Type="http://schemas.openxmlformats.org/officeDocument/2006/relationships/hyperlink" Target="http://ob.mosreg.ru/index.php/analiz-ispolneniya-byudzhetov-moskovskoj-oblasti/6-sravnenie-otdelnykh-pokazatelej-ispolneniya-byudzhetov-sub-ektov/fk-0001-0011-moskva" TargetMode="External"/><Relationship Id="rId29" Type="http://schemas.openxmlformats.org/officeDocument/2006/relationships/chart" Target="charts/chart14.xml"/><Relationship Id="rId41" Type="http://schemas.openxmlformats.org/officeDocument/2006/relationships/hyperlink" Target="http://www.fincom.spb.ru/cf/activity/gos_dolg/analitics/grafs/dynamic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so.ru/page/2267" TargetMode="External"/><Relationship Id="rId24" Type="http://schemas.openxmlformats.org/officeDocument/2006/relationships/hyperlink" Target="http://fincom.spb.ru/comfin/acts/budjet.htm" TargetMode="External"/><Relationship Id="rId32" Type="http://schemas.openxmlformats.org/officeDocument/2006/relationships/hyperlink" Target="http://budget.mos.ru/debt_index" TargetMode="External"/><Relationship Id="rId37" Type="http://schemas.openxmlformats.org/officeDocument/2006/relationships/chart" Target="charts/chart20.xml"/><Relationship Id="rId40" Type="http://schemas.openxmlformats.org/officeDocument/2006/relationships/hyperlink" Target="http://www.roskazna.ru/ispolnenie-byudzhetov/konsolidirovannye-byudzhety-subektov/" TargetMode="Externa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hyperlink" Target="http://budget.mos.ru/debt_index" TargetMode="External"/><Relationship Id="rId36" Type="http://schemas.openxmlformats.org/officeDocument/2006/relationships/chart" Target="charts/chart19.xml"/><Relationship Id="rId10" Type="http://schemas.openxmlformats.org/officeDocument/2006/relationships/chart" Target="charts/chart4.xml"/><Relationship Id="rId19" Type="http://schemas.openxmlformats.org/officeDocument/2006/relationships/chart" Target="charts/chart9.xml"/><Relationship Id="rId31"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6.xml"/><Relationship Id="rId22" Type="http://schemas.openxmlformats.org/officeDocument/2006/relationships/hyperlink" Target="http://ob.mosreg.ru/index.php/analiz-ispolneniya-byudzhetov-moskovskoj-oblasti/6-sravnenie-otdelnykh-pokazatelej-ispolneniya-byudzhetov-sub-ektov/fk-0001-0011-moskva" TargetMode="External"/><Relationship Id="rId27" Type="http://schemas.openxmlformats.org/officeDocument/2006/relationships/chart" Target="charts/chart13.xml"/><Relationship Id="rId30" Type="http://schemas.openxmlformats.org/officeDocument/2006/relationships/hyperlink" Target="http://budget.mos.ru/debt_index" TargetMode="External"/><Relationship Id="rId35" Type="http://schemas.openxmlformats.org/officeDocument/2006/relationships/chart" Target="charts/chart18.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ob.mosreg.ru/index.php/analiz-ispolneniya-byudzhetov-moskovskoj-oblasti/6-sravnenie-otdelnykh-pokazatelej-ispolneniya-byudzhetov-sub-ektov/fk-0001-0011-moskva" TargetMode="External"/><Relationship Id="rId2" Type="http://schemas.openxmlformats.org/officeDocument/2006/relationships/hyperlink" Target="http://www.minfin.ru/ru/perfomance/public_debt/subdbt/" TargetMode="External"/><Relationship Id="rId1" Type="http://schemas.openxmlformats.org/officeDocument/2006/relationships/hyperlink" Target="http://www.minfin.ru/ru/perfomance/public_debt/subdb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na\Desktop\&#1062;&#1056;&#1059;\&#1052;&#1086;&#1089;&#1082;&#1074;&#1072;\&#1055;&#1080;&#1090;&#1077;&#1088;\report%20&#1055;&#1080;&#1090;&#1077;&#1088;.csv"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nna\Desktop\indexes_export%20(5).xls"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nna\Desktop\&#1056;&#1072;&#1073;&#1086;&#1095;&#1080;&#1081;%20&#1084;&#1072;&#1090;&#1077;&#1088;&#1080;&#1072;&#1083;\&#1057;&#1090;&#1088;&#1091;&#1082;&#1090;&#1091;&#1088;&#1072;%20&#1080;&#1085;&#1074;&#1077;&#1089;&#1090;&#1086;&#1088;&#1086;&#1074;%20&#1074;&#1086;%20&#1074;&#1090;&#1086;&#1088;&#1080;&#1095;&#1085;&#1099;&#1093;%20&#1090;&#1086;&#1088;&#1075;&#1072;&#1093;%20&#1086;&#1073;&#1083;&#1080;&#1075;&#1072;&#1094;&#1080;&#1103;&#1084;&#1080;%20%20-%20100.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nna\Desktop\&#1056;&#1072;&#1073;&#1086;&#1095;&#1080;&#1081;%20&#1084;&#1072;&#1090;&#1077;&#1088;&#1080;&#1072;&#1083;\&#1057;&#1090;&#1088;&#1091;&#1082;&#1090;&#1091;&#1088;&#1072;%20&#1080;&#1085;&#1074;&#1077;&#1089;&#1090;&#1086;&#1088;&#1086;&#1074;%20&#1074;&#1086;%20&#1074;&#1090;&#1086;&#1088;&#1080;&#1095;&#1085;&#1099;&#1093;%20&#1090;&#1086;&#1088;&#1075;&#1072;&#1093;%20&#1086;&#1073;&#1083;&#1080;&#1075;&#1072;&#1094;&#1080;&#1103;&#1084;&#1080;%20%20-%20100.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Объем рынка муниципальных облигаций РФ</a:t>
            </a:r>
            <a:r>
              <a:rPr lang="en-US"/>
              <a:t>( </a:t>
            </a:r>
            <a:r>
              <a:rPr lang="ru-RU"/>
              <a:t>в</a:t>
            </a:r>
            <a:r>
              <a:rPr lang="ru-RU" baseline="0"/>
              <a:t> млрд. рублей)</a:t>
            </a:r>
            <a:r>
              <a:rPr lang="ru-RU"/>
              <a:t> </a:t>
            </a:r>
          </a:p>
        </c:rich>
      </c:tx>
      <c:layout>
        <c:manualLayout>
          <c:xMode val="edge"/>
          <c:yMode val="edge"/>
          <c:x val="0.15481253141229762"/>
          <c:y val="2.7777714836005211E-2"/>
        </c:manualLayout>
      </c:layout>
      <c:overlay val="0"/>
    </c:title>
    <c:autoTitleDeleted val="0"/>
    <c:plotArea>
      <c:layout/>
      <c:areaChart>
        <c:grouping val="stacked"/>
        <c:varyColors val="0"/>
        <c:ser>
          <c:idx val="0"/>
          <c:order val="0"/>
          <c:cat>
            <c:strRef>
              <c:f>Лист1!$A$3:$A$162</c:f>
              <c:strCache>
                <c:ptCount val="160"/>
                <c:pt idx="0">
                  <c:v>30.09.2015</c:v>
                </c:pt>
                <c:pt idx="1">
                  <c:v>31.08.2015</c:v>
                </c:pt>
                <c:pt idx="2">
                  <c:v>31.07.2015</c:v>
                </c:pt>
                <c:pt idx="3">
                  <c:v>30.06.2015</c:v>
                </c:pt>
                <c:pt idx="4">
                  <c:v>29.05.2015</c:v>
                </c:pt>
                <c:pt idx="5">
                  <c:v>30.04.2015</c:v>
                </c:pt>
                <c:pt idx="6">
                  <c:v>31.03.2015</c:v>
                </c:pt>
                <c:pt idx="7">
                  <c:v>27.02.2015</c:v>
                </c:pt>
                <c:pt idx="8">
                  <c:v>30.01.2015</c:v>
                </c:pt>
                <c:pt idx="9">
                  <c:v>31.12.2014</c:v>
                </c:pt>
                <c:pt idx="10">
                  <c:v>28.11.2014</c:v>
                </c:pt>
                <c:pt idx="11">
                  <c:v>31.10.2014</c:v>
                </c:pt>
                <c:pt idx="12">
                  <c:v>30.09.2014</c:v>
                </c:pt>
                <c:pt idx="13">
                  <c:v>29.08.2014</c:v>
                </c:pt>
                <c:pt idx="14">
                  <c:v>31.07.2014</c:v>
                </c:pt>
                <c:pt idx="15">
                  <c:v>30.06.2014</c:v>
                </c:pt>
                <c:pt idx="16">
                  <c:v>30.05.2014</c:v>
                </c:pt>
                <c:pt idx="17">
                  <c:v>30.04.2014</c:v>
                </c:pt>
                <c:pt idx="18">
                  <c:v>31.03.2014</c:v>
                </c:pt>
                <c:pt idx="19">
                  <c:v>28.02.2014</c:v>
                </c:pt>
                <c:pt idx="20">
                  <c:v>31.01.2014</c:v>
                </c:pt>
                <c:pt idx="21">
                  <c:v>31.12.2013</c:v>
                </c:pt>
                <c:pt idx="22">
                  <c:v>29.11.2013</c:v>
                </c:pt>
                <c:pt idx="23">
                  <c:v>31.10.2013</c:v>
                </c:pt>
                <c:pt idx="24">
                  <c:v>30.09.2013</c:v>
                </c:pt>
                <c:pt idx="25">
                  <c:v>30.08.2013</c:v>
                </c:pt>
                <c:pt idx="26">
                  <c:v>31.07.2013</c:v>
                </c:pt>
                <c:pt idx="27">
                  <c:v>28.06.2013</c:v>
                </c:pt>
                <c:pt idx="28">
                  <c:v>31.05.2013</c:v>
                </c:pt>
                <c:pt idx="29">
                  <c:v>30.04.2013</c:v>
                </c:pt>
                <c:pt idx="30">
                  <c:v>29.03.2013</c:v>
                </c:pt>
                <c:pt idx="31">
                  <c:v>28.02.2013</c:v>
                </c:pt>
                <c:pt idx="32">
                  <c:v>31.01.2013</c:v>
                </c:pt>
                <c:pt idx="33">
                  <c:v>31.12.2012</c:v>
                </c:pt>
                <c:pt idx="34">
                  <c:v>30.11.2012</c:v>
                </c:pt>
                <c:pt idx="35">
                  <c:v>31.10.2012</c:v>
                </c:pt>
                <c:pt idx="36">
                  <c:v>28.09.2012</c:v>
                </c:pt>
                <c:pt idx="37">
                  <c:v>31.08.2012</c:v>
                </c:pt>
                <c:pt idx="38">
                  <c:v>31.07.2012</c:v>
                </c:pt>
                <c:pt idx="39">
                  <c:v>29.06.2012</c:v>
                </c:pt>
                <c:pt idx="40">
                  <c:v>31.05.2012</c:v>
                </c:pt>
                <c:pt idx="41">
                  <c:v>30.04.2012</c:v>
                </c:pt>
                <c:pt idx="42">
                  <c:v>30.03.2012</c:v>
                </c:pt>
                <c:pt idx="43">
                  <c:v>29.02.2012</c:v>
                </c:pt>
                <c:pt idx="44">
                  <c:v>31.01.2012</c:v>
                </c:pt>
                <c:pt idx="45">
                  <c:v>30.12.2011</c:v>
                </c:pt>
                <c:pt idx="46">
                  <c:v>30.11.2011</c:v>
                </c:pt>
                <c:pt idx="47">
                  <c:v>31.10.2011</c:v>
                </c:pt>
                <c:pt idx="48">
                  <c:v>30.09.2011</c:v>
                </c:pt>
                <c:pt idx="49">
                  <c:v>31.08.2011</c:v>
                </c:pt>
                <c:pt idx="50">
                  <c:v>29.07.2011</c:v>
                </c:pt>
                <c:pt idx="51">
                  <c:v>30.06.2011</c:v>
                </c:pt>
                <c:pt idx="52">
                  <c:v>31.05.2011</c:v>
                </c:pt>
                <c:pt idx="53">
                  <c:v>29.04.2011</c:v>
                </c:pt>
                <c:pt idx="54">
                  <c:v>31.03.2011</c:v>
                </c:pt>
                <c:pt idx="55">
                  <c:v>28.02.2011</c:v>
                </c:pt>
                <c:pt idx="56">
                  <c:v>31.01.2011</c:v>
                </c:pt>
                <c:pt idx="57">
                  <c:v>31.12.2010</c:v>
                </c:pt>
                <c:pt idx="58">
                  <c:v>30.11.2010</c:v>
                </c:pt>
                <c:pt idx="59">
                  <c:v>29.10.2010</c:v>
                </c:pt>
                <c:pt idx="60">
                  <c:v>30.09.2010</c:v>
                </c:pt>
                <c:pt idx="61">
                  <c:v>31.08.2010</c:v>
                </c:pt>
                <c:pt idx="62">
                  <c:v>30.07.2010</c:v>
                </c:pt>
                <c:pt idx="63">
                  <c:v>30.06.2010</c:v>
                </c:pt>
                <c:pt idx="64">
                  <c:v>31.05.2010</c:v>
                </c:pt>
                <c:pt idx="65">
                  <c:v>30.04.2010</c:v>
                </c:pt>
                <c:pt idx="66">
                  <c:v>31.03.2010</c:v>
                </c:pt>
                <c:pt idx="67">
                  <c:v>26.02.2010</c:v>
                </c:pt>
                <c:pt idx="68">
                  <c:v>29.01.2010</c:v>
                </c:pt>
                <c:pt idx="69">
                  <c:v>31.12.2009</c:v>
                </c:pt>
                <c:pt idx="70">
                  <c:v>30.11.2009</c:v>
                </c:pt>
                <c:pt idx="71">
                  <c:v>30.10.2009</c:v>
                </c:pt>
                <c:pt idx="72">
                  <c:v>30.09.2009</c:v>
                </c:pt>
                <c:pt idx="73">
                  <c:v>31.08.2009</c:v>
                </c:pt>
                <c:pt idx="74">
                  <c:v>31.07.2009</c:v>
                </c:pt>
                <c:pt idx="75">
                  <c:v>30.06.2009</c:v>
                </c:pt>
                <c:pt idx="76">
                  <c:v>29.05.2009</c:v>
                </c:pt>
                <c:pt idx="77">
                  <c:v>30.04.2009</c:v>
                </c:pt>
                <c:pt idx="78">
                  <c:v>31.03.2009</c:v>
                </c:pt>
                <c:pt idx="79">
                  <c:v>27.02.2009</c:v>
                </c:pt>
                <c:pt idx="80">
                  <c:v>30.01.2009</c:v>
                </c:pt>
                <c:pt idx="81">
                  <c:v>31.12.2008</c:v>
                </c:pt>
                <c:pt idx="82">
                  <c:v>28.11.2008</c:v>
                </c:pt>
                <c:pt idx="83">
                  <c:v>31.10.2008</c:v>
                </c:pt>
                <c:pt idx="84">
                  <c:v>30.09.2008</c:v>
                </c:pt>
                <c:pt idx="85">
                  <c:v>29.08.2008</c:v>
                </c:pt>
                <c:pt idx="86">
                  <c:v>31.07.2008</c:v>
                </c:pt>
                <c:pt idx="87">
                  <c:v>30.06.2008</c:v>
                </c:pt>
                <c:pt idx="88">
                  <c:v>30.05.2008</c:v>
                </c:pt>
                <c:pt idx="89">
                  <c:v>30.04.2008</c:v>
                </c:pt>
                <c:pt idx="90">
                  <c:v>31.03.2008</c:v>
                </c:pt>
                <c:pt idx="91">
                  <c:v>29.02.2008</c:v>
                </c:pt>
                <c:pt idx="92">
                  <c:v>31.01.2008</c:v>
                </c:pt>
                <c:pt idx="93">
                  <c:v>31.12.2007</c:v>
                </c:pt>
                <c:pt idx="94">
                  <c:v>30.11.2007</c:v>
                </c:pt>
                <c:pt idx="95">
                  <c:v>31.10.2007</c:v>
                </c:pt>
                <c:pt idx="96">
                  <c:v>28.09.2007</c:v>
                </c:pt>
                <c:pt idx="97">
                  <c:v>31.08.2007</c:v>
                </c:pt>
                <c:pt idx="98">
                  <c:v>31.07.2007</c:v>
                </c:pt>
                <c:pt idx="99">
                  <c:v>29.06.2007</c:v>
                </c:pt>
                <c:pt idx="100">
                  <c:v>31.05.2007</c:v>
                </c:pt>
                <c:pt idx="101">
                  <c:v>30.04.2007</c:v>
                </c:pt>
                <c:pt idx="102">
                  <c:v>30.03.2007</c:v>
                </c:pt>
                <c:pt idx="103">
                  <c:v>28.02.2007</c:v>
                </c:pt>
                <c:pt idx="104">
                  <c:v>31.01.2007</c:v>
                </c:pt>
                <c:pt idx="105">
                  <c:v>29.12.2006</c:v>
                </c:pt>
                <c:pt idx="106">
                  <c:v>30.11.2006</c:v>
                </c:pt>
                <c:pt idx="107">
                  <c:v>31.10.2006</c:v>
                </c:pt>
                <c:pt idx="108">
                  <c:v>29.09.2006</c:v>
                </c:pt>
                <c:pt idx="109">
                  <c:v>31.08.2006</c:v>
                </c:pt>
                <c:pt idx="110">
                  <c:v>31.07.2006</c:v>
                </c:pt>
                <c:pt idx="111">
                  <c:v>30.06.2006</c:v>
                </c:pt>
                <c:pt idx="112">
                  <c:v>31.05.2006</c:v>
                </c:pt>
                <c:pt idx="113">
                  <c:v>28.04.2006</c:v>
                </c:pt>
                <c:pt idx="114">
                  <c:v>31.03.2006</c:v>
                </c:pt>
                <c:pt idx="115">
                  <c:v>28.02.2006</c:v>
                </c:pt>
                <c:pt idx="116">
                  <c:v>31.01.2006</c:v>
                </c:pt>
                <c:pt idx="117">
                  <c:v>30.12.2005</c:v>
                </c:pt>
                <c:pt idx="118">
                  <c:v>30.11.2005</c:v>
                </c:pt>
                <c:pt idx="119">
                  <c:v>31.10.2005</c:v>
                </c:pt>
                <c:pt idx="120">
                  <c:v>30.09.2005</c:v>
                </c:pt>
                <c:pt idx="121">
                  <c:v>31.08.2005</c:v>
                </c:pt>
                <c:pt idx="122">
                  <c:v>29.07.2005</c:v>
                </c:pt>
                <c:pt idx="123">
                  <c:v>30.06.2005</c:v>
                </c:pt>
                <c:pt idx="124">
                  <c:v>31.05.2005</c:v>
                </c:pt>
                <c:pt idx="125">
                  <c:v>29.04.2005</c:v>
                </c:pt>
                <c:pt idx="126">
                  <c:v>31.03.2005</c:v>
                </c:pt>
                <c:pt idx="127">
                  <c:v>28.02.2005</c:v>
                </c:pt>
                <c:pt idx="128">
                  <c:v>31.01.2005</c:v>
                </c:pt>
                <c:pt idx="129">
                  <c:v>31.12.2004</c:v>
                </c:pt>
                <c:pt idx="130">
                  <c:v>30.11.2004</c:v>
                </c:pt>
                <c:pt idx="131">
                  <c:v>29.10.2004</c:v>
                </c:pt>
                <c:pt idx="132">
                  <c:v>30.09.2004</c:v>
                </c:pt>
                <c:pt idx="133">
                  <c:v>31.08.2004</c:v>
                </c:pt>
                <c:pt idx="134">
                  <c:v>30.07.2004</c:v>
                </c:pt>
                <c:pt idx="135">
                  <c:v>30.06.2004</c:v>
                </c:pt>
                <c:pt idx="136">
                  <c:v>31.05.2004</c:v>
                </c:pt>
                <c:pt idx="137">
                  <c:v>30.04.2004</c:v>
                </c:pt>
                <c:pt idx="138">
                  <c:v>31.03.2004</c:v>
                </c:pt>
                <c:pt idx="139">
                  <c:v>27.02.2004</c:v>
                </c:pt>
                <c:pt idx="140">
                  <c:v>30.01.2004</c:v>
                </c:pt>
                <c:pt idx="141">
                  <c:v>31.12.2003</c:v>
                </c:pt>
                <c:pt idx="142">
                  <c:v>28.11.2003</c:v>
                </c:pt>
                <c:pt idx="143">
                  <c:v>31.10.2003</c:v>
                </c:pt>
                <c:pt idx="144">
                  <c:v>30.09.2003</c:v>
                </c:pt>
                <c:pt idx="145">
                  <c:v>29.08.2003</c:v>
                </c:pt>
                <c:pt idx="146">
                  <c:v>31.07.2003</c:v>
                </c:pt>
                <c:pt idx="147">
                  <c:v>30.06.2003</c:v>
                </c:pt>
                <c:pt idx="148">
                  <c:v>30.05.2003</c:v>
                </c:pt>
                <c:pt idx="149">
                  <c:v>30.04.2003</c:v>
                </c:pt>
                <c:pt idx="150">
                  <c:v>31.03.2003</c:v>
                </c:pt>
                <c:pt idx="151">
                  <c:v>28.02.2003</c:v>
                </c:pt>
                <c:pt idx="152">
                  <c:v>31.01.2003</c:v>
                </c:pt>
                <c:pt idx="153">
                  <c:v>31.12.2002</c:v>
                </c:pt>
                <c:pt idx="154">
                  <c:v>29.11.2002</c:v>
                </c:pt>
                <c:pt idx="155">
                  <c:v>31.10.2002</c:v>
                </c:pt>
                <c:pt idx="156">
                  <c:v>30.09.2002</c:v>
                </c:pt>
                <c:pt idx="157">
                  <c:v>30.08.2002</c:v>
                </c:pt>
                <c:pt idx="158">
                  <c:v>31.07.2002</c:v>
                </c:pt>
                <c:pt idx="159">
                  <c:v>28.06.2002</c:v>
                </c:pt>
              </c:strCache>
            </c:strRef>
          </c:cat>
          <c:val>
            <c:numRef>
              <c:f>Лист1!$B$3:$B$162</c:f>
              <c:numCache>
                <c:formatCode>General</c:formatCode>
                <c:ptCount val="160"/>
                <c:pt idx="0">
                  <c:v>563.90205999999841</c:v>
                </c:pt>
                <c:pt idx="1">
                  <c:v>551.70520999999997</c:v>
                </c:pt>
                <c:pt idx="2">
                  <c:v>544.70520999999997</c:v>
                </c:pt>
                <c:pt idx="3">
                  <c:v>530.95520999999815</c:v>
                </c:pt>
                <c:pt idx="4">
                  <c:v>539.73035000000004</c:v>
                </c:pt>
                <c:pt idx="5">
                  <c:v>533.93034999999998</c:v>
                </c:pt>
                <c:pt idx="6">
                  <c:v>532.43034999999998</c:v>
                </c:pt>
                <c:pt idx="7">
                  <c:v>532.43034999999998</c:v>
                </c:pt>
                <c:pt idx="8">
                  <c:v>532.43034999999998</c:v>
                </c:pt>
                <c:pt idx="9">
                  <c:v>532.43034999999998</c:v>
                </c:pt>
                <c:pt idx="10">
                  <c:v>533.75534000000005</c:v>
                </c:pt>
                <c:pt idx="11">
                  <c:v>536.05534</c:v>
                </c:pt>
                <c:pt idx="12">
                  <c:v>490.94234</c:v>
                </c:pt>
                <c:pt idx="13">
                  <c:v>494.94229999999999</c:v>
                </c:pt>
                <c:pt idx="14">
                  <c:v>495.14663999999999</c:v>
                </c:pt>
                <c:pt idx="15">
                  <c:v>485.59724</c:v>
                </c:pt>
                <c:pt idx="16">
                  <c:v>489.1440000000008</c:v>
                </c:pt>
                <c:pt idx="17">
                  <c:v>477.14405000000068</c:v>
                </c:pt>
                <c:pt idx="18">
                  <c:v>498.64405000000068</c:v>
                </c:pt>
                <c:pt idx="19">
                  <c:v>498.64405000000068</c:v>
                </c:pt>
                <c:pt idx="20">
                  <c:v>498.6440000000008</c:v>
                </c:pt>
                <c:pt idx="21">
                  <c:v>498.6440000000008</c:v>
                </c:pt>
                <c:pt idx="22">
                  <c:v>515.50813000000005</c:v>
                </c:pt>
                <c:pt idx="23">
                  <c:v>504.12809999999934</c:v>
                </c:pt>
                <c:pt idx="24">
                  <c:v>472.28369999999921</c:v>
                </c:pt>
                <c:pt idx="25">
                  <c:v>461.25975</c:v>
                </c:pt>
                <c:pt idx="26">
                  <c:v>438.39</c:v>
                </c:pt>
                <c:pt idx="27">
                  <c:v>422.14800000000002</c:v>
                </c:pt>
                <c:pt idx="28">
                  <c:v>432.63200000000001</c:v>
                </c:pt>
                <c:pt idx="29">
                  <c:v>434.55700000000002</c:v>
                </c:pt>
                <c:pt idx="30">
                  <c:v>439.56189999999964</c:v>
                </c:pt>
                <c:pt idx="31">
                  <c:v>439.56189999999964</c:v>
                </c:pt>
                <c:pt idx="32">
                  <c:v>439.56189999999964</c:v>
                </c:pt>
                <c:pt idx="33">
                  <c:v>439.56189999999964</c:v>
                </c:pt>
                <c:pt idx="34">
                  <c:v>414.30666000000002</c:v>
                </c:pt>
                <c:pt idx="35">
                  <c:v>418.28999999999934</c:v>
                </c:pt>
                <c:pt idx="36">
                  <c:v>398.37700000000001</c:v>
                </c:pt>
                <c:pt idx="37">
                  <c:v>406.11</c:v>
                </c:pt>
                <c:pt idx="38">
                  <c:v>383.91999999999933</c:v>
                </c:pt>
                <c:pt idx="39">
                  <c:v>382.53</c:v>
                </c:pt>
                <c:pt idx="40">
                  <c:v>396.88</c:v>
                </c:pt>
                <c:pt idx="41">
                  <c:v>390.69950999999969</c:v>
                </c:pt>
                <c:pt idx="42">
                  <c:v>391.69950999999969</c:v>
                </c:pt>
                <c:pt idx="43">
                  <c:v>424.69950999999969</c:v>
                </c:pt>
                <c:pt idx="44">
                  <c:v>423.99950999999908</c:v>
                </c:pt>
                <c:pt idx="45">
                  <c:v>423.99950999999908</c:v>
                </c:pt>
                <c:pt idx="46">
                  <c:v>429.48608999999908</c:v>
                </c:pt>
                <c:pt idx="47">
                  <c:v>418.26014999999921</c:v>
                </c:pt>
                <c:pt idx="48">
                  <c:v>435.02148999999969</c:v>
                </c:pt>
                <c:pt idx="49">
                  <c:v>435.66499000000067</c:v>
                </c:pt>
                <c:pt idx="50">
                  <c:v>441.46499</c:v>
                </c:pt>
                <c:pt idx="51">
                  <c:v>444.745</c:v>
                </c:pt>
                <c:pt idx="52">
                  <c:v>452.04500000000002</c:v>
                </c:pt>
                <c:pt idx="53">
                  <c:v>448.92429999999933</c:v>
                </c:pt>
                <c:pt idx="54">
                  <c:v>462.1028000000008</c:v>
                </c:pt>
                <c:pt idx="55">
                  <c:v>462.1028000000008</c:v>
                </c:pt>
                <c:pt idx="56">
                  <c:v>462.1028000000008</c:v>
                </c:pt>
                <c:pt idx="57">
                  <c:v>461.6028000000008</c:v>
                </c:pt>
                <c:pt idx="58">
                  <c:v>457.26689999999934</c:v>
                </c:pt>
                <c:pt idx="59">
                  <c:v>459.6963999999989</c:v>
                </c:pt>
                <c:pt idx="60">
                  <c:v>444.81200000000001</c:v>
                </c:pt>
                <c:pt idx="61">
                  <c:v>421.1499000000008</c:v>
                </c:pt>
                <c:pt idx="62">
                  <c:v>420.83189999999934</c:v>
                </c:pt>
                <c:pt idx="63">
                  <c:v>432.24740000000008</c:v>
                </c:pt>
                <c:pt idx="64">
                  <c:v>430.1474000000008</c:v>
                </c:pt>
                <c:pt idx="65">
                  <c:v>432.75740000000002</c:v>
                </c:pt>
                <c:pt idx="66">
                  <c:v>422.94909999999999</c:v>
                </c:pt>
                <c:pt idx="67">
                  <c:v>420.62290000000002</c:v>
                </c:pt>
                <c:pt idx="68">
                  <c:v>420.62290000000002</c:v>
                </c:pt>
                <c:pt idx="69">
                  <c:v>420.62290000000002</c:v>
                </c:pt>
                <c:pt idx="70">
                  <c:v>414.55629999999934</c:v>
                </c:pt>
                <c:pt idx="71">
                  <c:v>372.05629999999934</c:v>
                </c:pt>
                <c:pt idx="72">
                  <c:v>373.15629999999999</c:v>
                </c:pt>
                <c:pt idx="73">
                  <c:v>343.91059999999908</c:v>
                </c:pt>
                <c:pt idx="74">
                  <c:v>343.53559999999908</c:v>
                </c:pt>
                <c:pt idx="75">
                  <c:v>333.32909999999993</c:v>
                </c:pt>
                <c:pt idx="76">
                  <c:v>315.67340000000002</c:v>
                </c:pt>
                <c:pt idx="77">
                  <c:v>294.72389999999933</c:v>
                </c:pt>
                <c:pt idx="78">
                  <c:v>292.07889999999969</c:v>
                </c:pt>
                <c:pt idx="79">
                  <c:v>279.51990000000001</c:v>
                </c:pt>
                <c:pt idx="80">
                  <c:v>278.79989999999964</c:v>
                </c:pt>
                <c:pt idx="81">
                  <c:v>277.09889999999933</c:v>
                </c:pt>
                <c:pt idx="82">
                  <c:v>271.08</c:v>
                </c:pt>
                <c:pt idx="83">
                  <c:v>272.33</c:v>
                </c:pt>
                <c:pt idx="84">
                  <c:v>277.52999999999969</c:v>
                </c:pt>
                <c:pt idx="85">
                  <c:v>277.88</c:v>
                </c:pt>
                <c:pt idx="86">
                  <c:v>270.2</c:v>
                </c:pt>
                <c:pt idx="87">
                  <c:v>265.13</c:v>
                </c:pt>
                <c:pt idx="88">
                  <c:v>240.56</c:v>
                </c:pt>
                <c:pt idx="89">
                  <c:v>236.28900000000002</c:v>
                </c:pt>
                <c:pt idx="90">
                  <c:v>224.98000000000027</c:v>
                </c:pt>
                <c:pt idx="91">
                  <c:v>223.34300000000002</c:v>
                </c:pt>
                <c:pt idx="92">
                  <c:v>220.34359999999998</c:v>
                </c:pt>
                <c:pt idx="93">
                  <c:v>223.601</c:v>
                </c:pt>
                <c:pt idx="94">
                  <c:v>211.3</c:v>
                </c:pt>
                <c:pt idx="95">
                  <c:v>209.16900000000001</c:v>
                </c:pt>
                <c:pt idx="96">
                  <c:v>210.58</c:v>
                </c:pt>
                <c:pt idx="97">
                  <c:v>211.35600000000034</c:v>
                </c:pt>
                <c:pt idx="98">
                  <c:v>214.84900000000002</c:v>
                </c:pt>
                <c:pt idx="99">
                  <c:v>212.846</c:v>
                </c:pt>
                <c:pt idx="100">
                  <c:v>206.14699999999999</c:v>
                </c:pt>
                <c:pt idx="101">
                  <c:v>206.82400000000001</c:v>
                </c:pt>
                <c:pt idx="102">
                  <c:v>188.691</c:v>
                </c:pt>
                <c:pt idx="103">
                  <c:v>189.93700000000001</c:v>
                </c:pt>
                <c:pt idx="104">
                  <c:v>190.12700000000001</c:v>
                </c:pt>
                <c:pt idx="105">
                  <c:v>189.81700000000001</c:v>
                </c:pt>
                <c:pt idx="106">
                  <c:v>188.185</c:v>
                </c:pt>
                <c:pt idx="107">
                  <c:v>187.07599999999999</c:v>
                </c:pt>
                <c:pt idx="108">
                  <c:v>187.542</c:v>
                </c:pt>
                <c:pt idx="109">
                  <c:v>184.96200000000007</c:v>
                </c:pt>
                <c:pt idx="110">
                  <c:v>177.88400000000001</c:v>
                </c:pt>
                <c:pt idx="111">
                  <c:v>180.39500000000001</c:v>
                </c:pt>
                <c:pt idx="112">
                  <c:v>179.09399999999999</c:v>
                </c:pt>
                <c:pt idx="113">
                  <c:v>180.09300000000002</c:v>
                </c:pt>
                <c:pt idx="114">
                  <c:v>161.124</c:v>
                </c:pt>
                <c:pt idx="115">
                  <c:v>161.39400000000001</c:v>
                </c:pt>
                <c:pt idx="116">
                  <c:v>165.435</c:v>
                </c:pt>
                <c:pt idx="117">
                  <c:v>161.06700000000001</c:v>
                </c:pt>
                <c:pt idx="118">
                  <c:v>158.94</c:v>
                </c:pt>
                <c:pt idx="119">
                  <c:v>155.53</c:v>
                </c:pt>
                <c:pt idx="120">
                  <c:v>150.14699999999999</c:v>
                </c:pt>
                <c:pt idx="121">
                  <c:v>144.34700000000001</c:v>
                </c:pt>
                <c:pt idx="122">
                  <c:v>148.49800000000027</c:v>
                </c:pt>
                <c:pt idx="123">
                  <c:v>148.054</c:v>
                </c:pt>
                <c:pt idx="124">
                  <c:v>150.55690000000001</c:v>
                </c:pt>
                <c:pt idx="125">
                  <c:v>150.863</c:v>
                </c:pt>
                <c:pt idx="126">
                  <c:v>130.78579999999999</c:v>
                </c:pt>
                <c:pt idx="127">
                  <c:v>132.35050000000001</c:v>
                </c:pt>
                <c:pt idx="128">
                  <c:v>126.54510000000002</c:v>
                </c:pt>
                <c:pt idx="129">
                  <c:v>128.24909999999966</c:v>
                </c:pt>
                <c:pt idx="130">
                  <c:v>121.066</c:v>
                </c:pt>
                <c:pt idx="131">
                  <c:v>121.38369999999999</c:v>
                </c:pt>
                <c:pt idx="132">
                  <c:v>108.16030000000001</c:v>
                </c:pt>
                <c:pt idx="133">
                  <c:v>96.438000000000002</c:v>
                </c:pt>
                <c:pt idx="134">
                  <c:v>97.853399999999979</c:v>
                </c:pt>
                <c:pt idx="135">
                  <c:v>95.753</c:v>
                </c:pt>
                <c:pt idx="136">
                  <c:v>91.766800000000003</c:v>
                </c:pt>
                <c:pt idx="137">
                  <c:v>95.194500000000005</c:v>
                </c:pt>
                <c:pt idx="138">
                  <c:v>84.810100000000006</c:v>
                </c:pt>
                <c:pt idx="139">
                  <c:v>86.539000000000001</c:v>
                </c:pt>
                <c:pt idx="140">
                  <c:v>88.674999999999983</c:v>
                </c:pt>
                <c:pt idx="141">
                  <c:v>83.174999999999983</c:v>
                </c:pt>
                <c:pt idx="142">
                  <c:v>79.830699999999993</c:v>
                </c:pt>
                <c:pt idx="143">
                  <c:v>71.490600000000171</c:v>
                </c:pt>
                <c:pt idx="144">
                  <c:v>66.935699999999997</c:v>
                </c:pt>
                <c:pt idx="145">
                  <c:v>63.252900000000011</c:v>
                </c:pt>
                <c:pt idx="146">
                  <c:v>56.766600000000011</c:v>
                </c:pt>
                <c:pt idx="147">
                  <c:v>54.411599999999993</c:v>
                </c:pt>
                <c:pt idx="148">
                  <c:v>48.911599999999993</c:v>
                </c:pt>
                <c:pt idx="149">
                  <c:v>42.511600000000001</c:v>
                </c:pt>
                <c:pt idx="150">
                  <c:v>36.973400000000005</c:v>
                </c:pt>
                <c:pt idx="151">
                  <c:v>42.92</c:v>
                </c:pt>
                <c:pt idx="152">
                  <c:v>39.919800000000002</c:v>
                </c:pt>
                <c:pt idx="153">
                  <c:v>34.919800000000002</c:v>
                </c:pt>
                <c:pt idx="154">
                  <c:v>32.149800000000006</c:v>
                </c:pt>
                <c:pt idx="155">
                  <c:v>32.174800000000005</c:v>
                </c:pt>
                <c:pt idx="156">
                  <c:v>27.129200000000001</c:v>
                </c:pt>
                <c:pt idx="157">
                  <c:v>24.221999999999987</c:v>
                </c:pt>
                <c:pt idx="158">
                  <c:v>23.855</c:v>
                </c:pt>
                <c:pt idx="159">
                  <c:v>23.675000000000001</c:v>
                </c:pt>
              </c:numCache>
            </c:numRef>
          </c:val>
          <c:extLst>
            <c:ext xmlns:c16="http://schemas.microsoft.com/office/drawing/2014/chart" uri="{C3380CC4-5D6E-409C-BE32-E72D297353CC}">
              <c16:uniqueId val="{00000000-B104-4E5A-9C49-3E2E7BD1FD41}"/>
            </c:ext>
          </c:extLst>
        </c:ser>
        <c:dLbls>
          <c:showLegendKey val="0"/>
          <c:showVal val="0"/>
          <c:showCatName val="0"/>
          <c:showSerName val="0"/>
          <c:showPercent val="0"/>
          <c:showBubbleSize val="0"/>
        </c:dLbls>
        <c:axId val="186823040"/>
        <c:axId val="186824576"/>
      </c:areaChart>
      <c:catAx>
        <c:axId val="186823040"/>
        <c:scaling>
          <c:orientation val="maxMin"/>
        </c:scaling>
        <c:delete val="0"/>
        <c:axPos val="b"/>
        <c:numFmt formatCode="General" sourceLinked="1"/>
        <c:majorTickMark val="out"/>
        <c:minorTickMark val="none"/>
        <c:tickLblPos val="nextTo"/>
        <c:crossAx val="186824576"/>
        <c:crosses val="autoZero"/>
        <c:auto val="1"/>
        <c:lblAlgn val="ctr"/>
        <c:lblOffset val="100"/>
        <c:noMultiLvlLbl val="0"/>
      </c:catAx>
      <c:valAx>
        <c:axId val="186824576"/>
        <c:scaling>
          <c:orientation val="minMax"/>
        </c:scaling>
        <c:delete val="0"/>
        <c:axPos val="r"/>
        <c:majorGridlines/>
        <c:numFmt formatCode="General" sourceLinked="1"/>
        <c:majorTickMark val="out"/>
        <c:minorTickMark val="none"/>
        <c:tickLblPos val="nextTo"/>
        <c:crossAx val="186823040"/>
        <c:crosses val="autoZero"/>
        <c:crossBetween val="midCat"/>
      </c:valAx>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Абсолютный и относительный размер госдолга Московской области</a:t>
            </a:r>
          </a:p>
        </c:rich>
      </c:tx>
      <c:overlay val="0"/>
      <c:spPr>
        <a:noFill/>
        <a:ln w="25389">
          <a:noFill/>
        </a:ln>
      </c:spPr>
    </c:title>
    <c:autoTitleDeleted val="0"/>
    <c:plotArea>
      <c:layout/>
      <c:barChart>
        <c:barDir val="col"/>
        <c:grouping val="clustered"/>
        <c:varyColors val="0"/>
        <c:ser>
          <c:idx val="0"/>
          <c:order val="0"/>
          <c:tx>
            <c:strRef>
              <c:f>'C:\Users\home\Desktop\Москва\[Красноярск,Новосибирск,Тюмень, Новгород,Московская область.xlsx]Лист8'!$B$3</c:f>
              <c:strCache>
                <c:ptCount val="1"/>
                <c:pt idx="0">
                  <c:v>Размер долга в млрд. рублей</c:v>
                </c:pt>
              </c:strCache>
            </c:strRef>
          </c:tx>
          <c:spPr>
            <a:solidFill>
              <a:srgbClr val="4F81BD"/>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'C:\Users\home\Desktop\Москва\[Красноярск,Новосибирск,Тюмень, Новгород,Московская область.xlsx]Лист8'!$A$4:$A$9</c:f>
              <c:numCache>
                <c:formatCode>General</c:formatCode>
                <c:ptCount val="6"/>
                <c:pt idx="0">
                  <c:v>2009</c:v>
                </c:pt>
                <c:pt idx="1">
                  <c:v>2010</c:v>
                </c:pt>
                <c:pt idx="2">
                  <c:v>2011</c:v>
                </c:pt>
                <c:pt idx="3">
                  <c:v>2012</c:v>
                </c:pt>
                <c:pt idx="4">
                  <c:v>2013</c:v>
                </c:pt>
                <c:pt idx="5">
                  <c:v>41609</c:v>
                </c:pt>
              </c:numCache>
            </c:numRef>
          </c:cat>
          <c:val>
            <c:numRef>
              <c:f>'C:\Users\home\Desktop\Москва\[Красноярск,Новосибирск,Тюмень, Новгород,Московская область.xlsx]Лист8'!$B$4:$B$9</c:f>
              <c:numCache>
                <c:formatCode>General</c:formatCode>
                <c:ptCount val="6"/>
                <c:pt idx="0">
                  <c:v>156.1</c:v>
                </c:pt>
                <c:pt idx="1">
                  <c:v>163.69999999999999</c:v>
                </c:pt>
                <c:pt idx="2">
                  <c:v>146.80000000000001</c:v>
                </c:pt>
                <c:pt idx="3">
                  <c:v>106.1</c:v>
                </c:pt>
                <c:pt idx="4">
                  <c:v>97.9</c:v>
                </c:pt>
                <c:pt idx="5">
                  <c:v>46.1</c:v>
                </c:pt>
              </c:numCache>
            </c:numRef>
          </c:val>
          <c:extLst>
            <c:ext xmlns:c16="http://schemas.microsoft.com/office/drawing/2014/chart" uri="{C3380CC4-5D6E-409C-BE32-E72D297353CC}">
              <c16:uniqueId val="{00000000-6FC4-40A0-8A72-A299386D30EF}"/>
            </c:ext>
          </c:extLst>
        </c:ser>
        <c:ser>
          <c:idx val="1"/>
          <c:order val="1"/>
          <c:tx>
            <c:strRef>
              <c:f>'C:\Users\home\Desktop\Москва\[Красноярск,Новосибирск,Тюмень, Новгород,Московская область.xlsx]Лист8'!$C$3</c:f>
              <c:strCache>
                <c:ptCount val="1"/>
                <c:pt idx="0">
                  <c:v>Долг в % к доходам</c:v>
                </c:pt>
              </c:strCache>
            </c:strRef>
          </c:tx>
          <c:spPr>
            <a:solidFill>
              <a:srgbClr val="9BBB59"/>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'C:\Users\home\Desktop\Москва\[Красноярск,Новосибирск,Тюмень, Новгород,Московская область.xlsx]Лист8'!$A$4:$A$9</c:f>
              <c:numCache>
                <c:formatCode>General</c:formatCode>
                <c:ptCount val="6"/>
                <c:pt idx="0">
                  <c:v>2009</c:v>
                </c:pt>
                <c:pt idx="1">
                  <c:v>2010</c:v>
                </c:pt>
                <c:pt idx="2">
                  <c:v>2011</c:v>
                </c:pt>
                <c:pt idx="3">
                  <c:v>2012</c:v>
                </c:pt>
                <c:pt idx="4">
                  <c:v>2013</c:v>
                </c:pt>
                <c:pt idx="5">
                  <c:v>41609</c:v>
                </c:pt>
              </c:numCache>
            </c:numRef>
          </c:cat>
          <c:val>
            <c:numRef>
              <c:f>'C:\Users\home\Desktop\Москва\[Красноярск,Новосибирск,Тюмень, Новгород,Московская область.xlsx]Лист8'!$C$4:$C$9</c:f>
              <c:numCache>
                <c:formatCode>General</c:formatCode>
                <c:ptCount val="6"/>
                <c:pt idx="0">
                  <c:v>84.6</c:v>
                </c:pt>
                <c:pt idx="1">
                  <c:v>93.1</c:v>
                </c:pt>
                <c:pt idx="2">
                  <c:v>71.7</c:v>
                </c:pt>
                <c:pt idx="3">
                  <c:v>45.2</c:v>
                </c:pt>
                <c:pt idx="4">
                  <c:v>35.700000000000003</c:v>
                </c:pt>
                <c:pt idx="5">
                  <c:v>35.700000000000003</c:v>
                </c:pt>
              </c:numCache>
            </c:numRef>
          </c:val>
          <c:extLst>
            <c:ext xmlns:c16="http://schemas.microsoft.com/office/drawing/2014/chart" uri="{C3380CC4-5D6E-409C-BE32-E72D297353CC}">
              <c16:uniqueId val="{00000001-6FC4-40A0-8A72-A299386D30EF}"/>
            </c:ext>
          </c:extLst>
        </c:ser>
        <c:dLbls>
          <c:showLegendKey val="0"/>
          <c:showVal val="1"/>
          <c:showCatName val="0"/>
          <c:showSerName val="0"/>
          <c:showPercent val="0"/>
          <c:showBubbleSize val="0"/>
        </c:dLbls>
        <c:gapWidth val="219"/>
        <c:overlap val="-27"/>
        <c:axId val="221657344"/>
        <c:axId val="221671424"/>
      </c:barChart>
      <c:catAx>
        <c:axId val="221657344"/>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671424"/>
        <c:crosses val="autoZero"/>
        <c:auto val="1"/>
        <c:lblAlgn val="ctr"/>
        <c:lblOffset val="100"/>
        <c:noMultiLvlLbl val="0"/>
      </c:catAx>
      <c:valAx>
        <c:axId val="221671424"/>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657344"/>
        <c:crosses val="autoZero"/>
        <c:crossBetween val="between"/>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Структура государственного долга Санкт-Петербурга на 1 июня 2015 года</a:t>
            </a:r>
          </a:p>
        </c:rich>
      </c:tx>
      <c:overlay val="0"/>
      <c:spPr>
        <a:noFill/>
        <a:ln w="25402">
          <a:noFill/>
        </a:ln>
      </c:spPr>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4F81BD"/>
              </a:solidFill>
              <a:ln w="25402">
                <a:solidFill>
                  <a:srgbClr val="FFFFFF"/>
                </a:solidFill>
                <a:prstDash val="solid"/>
              </a:ln>
            </c:spPr>
            <c:extLst>
              <c:ext xmlns:c16="http://schemas.microsoft.com/office/drawing/2014/chart" uri="{C3380CC4-5D6E-409C-BE32-E72D297353CC}">
                <c16:uniqueId val="{00000000-E09C-4E58-8D8D-8BF19237BC03}"/>
              </c:ext>
            </c:extLst>
          </c:dPt>
          <c:dPt>
            <c:idx val="1"/>
            <c:bubble3D val="0"/>
            <c:spPr>
              <a:solidFill>
                <a:srgbClr val="9BBB59"/>
              </a:solidFill>
              <a:ln w="25402">
                <a:solidFill>
                  <a:srgbClr val="FFFFFF"/>
                </a:solidFill>
                <a:prstDash val="solid"/>
              </a:ln>
            </c:spPr>
            <c:extLst>
              <c:ext xmlns:c16="http://schemas.microsoft.com/office/drawing/2014/chart" uri="{C3380CC4-5D6E-409C-BE32-E72D297353CC}">
                <c16:uniqueId val="{00000001-E09C-4E58-8D8D-8BF19237BC03}"/>
              </c:ext>
            </c:extLst>
          </c:dPt>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Лист1!$I$14:$I$15</c:f>
              <c:strCache>
                <c:ptCount val="2"/>
                <c:pt idx="0">
                  <c:v>Ценные бумаги Санкт-Петербурга </c:v>
                </c:pt>
                <c:pt idx="1">
                  <c:v>Бюджетные кредиты от других бюджетов бюджетной системы Российской Федерации</c:v>
                </c:pt>
              </c:strCache>
            </c:strRef>
          </c:cat>
          <c:val>
            <c:numRef>
              <c:f>Лист1!$J$14:$J$15</c:f>
              <c:numCache>
                <c:formatCode>General</c:formatCode>
                <c:ptCount val="2"/>
                <c:pt idx="0">
                  <c:v>60.5</c:v>
                </c:pt>
                <c:pt idx="1">
                  <c:v>39.5</c:v>
                </c:pt>
              </c:numCache>
            </c:numRef>
          </c:val>
          <c:extLst>
            <c:ext xmlns:c16="http://schemas.microsoft.com/office/drawing/2014/chart" uri="{C3380CC4-5D6E-409C-BE32-E72D297353CC}">
              <c16:uniqueId val="{00000002-E09C-4E58-8D8D-8BF19237BC03}"/>
            </c:ext>
          </c:extLst>
        </c:ser>
        <c:dLbls>
          <c:showLegendKey val="0"/>
          <c:showVal val="0"/>
          <c:showCatName val="0"/>
          <c:showSerName val="0"/>
          <c:showPercent val="1"/>
          <c:showBubbleSize val="0"/>
          <c:showLeaderLines val="1"/>
        </c:dLbls>
      </c:pie3DChart>
      <c:spPr>
        <a:noFill/>
        <a:ln w="25402">
          <a:noFill/>
        </a:ln>
      </c:spPr>
    </c:plotArea>
    <c:legend>
      <c:legendPos val="b"/>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lineChart>
        <c:grouping val="standard"/>
        <c:varyColors val="0"/>
        <c:ser>
          <c:idx val="0"/>
          <c:order val="0"/>
          <c:tx>
            <c:strRef>
              <c:f>'report Питер'!$A$3</c:f>
              <c:strCache>
                <c:ptCount val="1"/>
                <c:pt idx="0">
                  <c:v>Долг в % к доходам</c:v>
                </c:pt>
              </c:strCache>
            </c:strRef>
          </c:tx>
          <c:cat>
            <c:numRef>
              <c:f>'report Питер'!$B$1:$DV$1</c:f>
              <c:numCache>
                <c:formatCode>dd/mm/yyyy</c:formatCode>
                <c:ptCount val="125"/>
                <c:pt idx="0">
                  <c:v>38384</c:v>
                </c:pt>
                <c:pt idx="1">
                  <c:v>38412</c:v>
                </c:pt>
                <c:pt idx="2">
                  <c:v>38443</c:v>
                </c:pt>
                <c:pt idx="3">
                  <c:v>38473</c:v>
                </c:pt>
                <c:pt idx="4">
                  <c:v>38504</c:v>
                </c:pt>
                <c:pt idx="5">
                  <c:v>38534</c:v>
                </c:pt>
                <c:pt idx="6">
                  <c:v>38565</c:v>
                </c:pt>
                <c:pt idx="7">
                  <c:v>38596</c:v>
                </c:pt>
                <c:pt idx="8">
                  <c:v>38626</c:v>
                </c:pt>
                <c:pt idx="9">
                  <c:v>38657</c:v>
                </c:pt>
                <c:pt idx="10">
                  <c:v>38687</c:v>
                </c:pt>
                <c:pt idx="11">
                  <c:v>38718</c:v>
                </c:pt>
                <c:pt idx="12">
                  <c:v>38749</c:v>
                </c:pt>
                <c:pt idx="13">
                  <c:v>38777</c:v>
                </c:pt>
                <c:pt idx="14">
                  <c:v>38808</c:v>
                </c:pt>
                <c:pt idx="15">
                  <c:v>38838</c:v>
                </c:pt>
                <c:pt idx="16">
                  <c:v>38869</c:v>
                </c:pt>
                <c:pt idx="17">
                  <c:v>38899</c:v>
                </c:pt>
                <c:pt idx="18">
                  <c:v>38930</c:v>
                </c:pt>
                <c:pt idx="19">
                  <c:v>38961</c:v>
                </c:pt>
                <c:pt idx="20">
                  <c:v>38991</c:v>
                </c:pt>
                <c:pt idx="21">
                  <c:v>39022</c:v>
                </c:pt>
                <c:pt idx="22">
                  <c:v>39052</c:v>
                </c:pt>
                <c:pt idx="23">
                  <c:v>39083</c:v>
                </c:pt>
                <c:pt idx="24">
                  <c:v>39114</c:v>
                </c:pt>
                <c:pt idx="25">
                  <c:v>39142</c:v>
                </c:pt>
                <c:pt idx="26">
                  <c:v>39173</c:v>
                </c:pt>
                <c:pt idx="27">
                  <c:v>39203</c:v>
                </c:pt>
                <c:pt idx="28">
                  <c:v>39234</c:v>
                </c:pt>
                <c:pt idx="29">
                  <c:v>39264</c:v>
                </c:pt>
                <c:pt idx="30">
                  <c:v>39295</c:v>
                </c:pt>
                <c:pt idx="31">
                  <c:v>39326</c:v>
                </c:pt>
                <c:pt idx="32">
                  <c:v>39356</c:v>
                </c:pt>
                <c:pt idx="33">
                  <c:v>39387</c:v>
                </c:pt>
                <c:pt idx="34">
                  <c:v>39417</c:v>
                </c:pt>
                <c:pt idx="35">
                  <c:v>39448</c:v>
                </c:pt>
                <c:pt idx="36">
                  <c:v>39479</c:v>
                </c:pt>
                <c:pt idx="37">
                  <c:v>39508</c:v>
                </c:pt>
                <c:pt idx="38">
                  <c:v>39539</c:v>
                </c:pt>
                <c:pt idx="39">
                  <c:v>39569</c:v>
                </c:pt>
                <c:pt idx="40">
                  <c:v>39600</c:v>
                </c:pt>
                <c:pt idx="41">
                  <c:v>39630</c:v>
                </c:pt>
                <c:pt idx="42">
                  <c:v>39661</c:v>
                </c:pt>
                <c:pt idx="43">
                  <c:v>39692</c:v>
                </c:pt>
                <c:pt idx="44">
                  <c:v>39722</c:v>
                </c:pt>
                <c:pt idx="45">
                  <c:v>39753</c:v>
                </c:pt>
                <c:pt idx="46">
                  <c:v>39783</c:v>
                </c:pt>
                <c:pt idx="47">
                  <c:v>39814</c:v>
                </c:pt>
                <c:pt idx="48">
                  <c:v>39845</c:v>
                </c:pt>
                <c:pt idx="49">
                  <c:v>39873</c:v>
                </c:pt>
                <c:pt idx="50">
                  <c:v>39904</c:v>
                </c:pt>
                <c:pt idx="51">
                  <c:v>39934</c:v>
                </c:pt>
                <c:pt idx="52">
                  <c:v>39965</c:v>
                </c:pt>
                <c:pt idx="53">
                  <c:v>39995</c:v>
                </c:pt>
                <c:pt idx="54">
                  <c:v>40026</c:v>
                </c:pt>
                <c:pt idx="55">
                  <c:v>40057</c:v>
                </c:pt>
                <c:pt idx="56">
                  <c:v>40087</c:v>
                </c:pt>
                <c:pt idx="57">
                  <c:v>40118</c:v>
                </c:pt>
                <c:pt idx="58">
                  <c:v>40148</c:v>
                </c:pt>
                <c:pt idx="59">
                  <c:v>40179</c:v>
                </c:pt>
                <c:pt idx="60">
                  <c:v>40210</c:v>
                </c:pt>
                <c:pt idx="61">
                  <c:v>40238</c:v>
                </c:pt>
                <c:pt idx="62">
                  <c:v>40269</c:v>
                </c:pt>
                <c:pt idx="63">
                  <c:v>40299</c:v>
                </c:pt>
                <c:pt idx="64">
                  <c:v>40330</c:v>
                </c:pt>
                <c:pt idx="65">
                  <c:v>40360</c:v>
                </c:pt>
                <c:pt idx="66">
                  <c:v>40391</c:v>
                </c:pt>
                <c:pt idx="67">
                  <c:v>40422</c:v>
                </c:pt>
                <c:pt idx="68">
                  <c:v>40452</c:v>
                </c:pt>
                <c:pt idx="69">
                  <c:v>40483</c:v>
                </c:pt>
                <c:pt idx="70">
                  <c:v>40513</c:v>
                </c:pt>
                <c:pt idx="71">
                  <c:v>40544</c:v>
                </c:pt>
                <c:pt idx="72">
                  <c:v>40575</c:v>
                </c:pt>
                <c:pt idx="73">
                  <c:v>40603</c:v>
                </c:pt>
                <c:pt idx="74">
                  <c:v>40634</c:v>
                </c:pt>
                <c:pt idx="75">
                  <c:v>40664</c:v>
                </c:pt>
                <c:pt idx="76">
                  <c:v>40695</c:v>
                </c:pt>
                <c:pt idx="77">
                  <c:v>40725</c:v>
                </c:pt>
                <c:pt idx="78">
                  <c:v>40756</c:v>
                </c:pt>
                <c:pt idx="79">
                  <c:v>40787</c:v>
                </c:pt>
                <c:pt idx="80">
                  <c:v>40817</c:v>
                </c:pt>
                <c:pt idx="81">
                  <c:v>40848</c:v>
                </c:pt>
                <c:pt idx="82">
                  <c:v>40878</c:v>
                </c:pt>
                <c:pt idx="83">
                  <c:v>40909</c:v>
                </c:pt>
                <c:pt idx="84">
                  <c:v>40940</c:v>
                </c:pt>
                <c:pt idx="85">
                  <c:v>40969</c:v>
                </c:pt>
                <c:pt idx="86">
                  <c:v>41000</c:v>
                </c:pt>
                <c:pt idx="87">
                  <c:v>41030</c:v>
                </c:pt>
                <c:pt idx="88">
                  <c:v>41061</c:v>
                </c:pt>
                <c:pt idx="89">
                  <c:v>41091</c:v>
                </c:pt>
                <c:pt idx="90">
                  <c:v>41122</c:v>
                </c:pt>
                <c:pt idx="91">
                  <c:v>41153</c:v>
                </c:pt>
                <c:pt idx="92">
                  <c:v>41183</c:v>
                </c:pt>
                <c:pt idx="93">
                  <c:v>41214</c:v>
                </c:pt>
                <c:pt idx="94">
                  <c:v>41244</c:v>
                </c:pt>
                <c:pt idx="95">
                  <c:v>41275</c:v>
                </c:pt>
                <c:pt idx="96">
                  <c:v>41306</c:v>
                </c:pt>
                <c:pt idx="97">
                  <c:v>41334</c:v>
                </c:pt>
                <c:pt idx="98">
                  <c:v>41365</c:v>
                </c:pt>
                <c:pt idx="99">
                  <c:v>41395</c:v>
                </c:pt>
                <c:pt idx="100">
                  <c:v>41426</c:v>
                </c:pt>
                <c:pt idx="101">
                  <c:v>41456</c:v>
                </c:pt>
                <c:pt idx="102">
                  <c:v>41487</c:v>
                </c:pt>
                <c:pt idx="103">
                  <c:v>41518</c:v>
                </c:pt>
                <c:pt idx="104">
                  <c:v>41548</c:v>
                </c:pt>
                <c:pt idx="105">
                  <c:v>41579</c:v>
                </c:pt>
                <c:pt idx="106">
                  <c:v>41609</c:v>
                </c:pt>
                <c:pt idx="107">
                  <c:v>41640</c:v>
                </c:pt>
                <c:pt idx="108">
                  <c:v>41671</c:v>
                </c:pt>
                <c:pt idx="109">
                  <c:v>41699</c:v>
                </c:pt>
                <c:pt idx="110">
                  <c:v>41730</c:v>
                </c:pt>
                <c:pt idx="111">
                  <c:v>41760</c:v>
                </c:pt>
                <c:pt idx="112">
                  <c:v>41791</c:v>
                </c:pt>
                <c:pt idx="113">
                  <c:v>41821</c:v>
                </c:pt>
                <c:pt idx="114">
                  <c:v>41852</c:v>
                </c:pt>
                <c:pt idx="115">
                  <c:v>41883</c:v>
                </c:pt>
                <c:pt idx="116">
                  <c:v>41913</c:v>
                </c:pt>
                <c:pt idx="117">
                  <c:v>41944</c:v>
                </c:pt>
                <c:pt idx="118">
                  <c:v>41974</c:v>
                </c:pt>
                <c:pt idx="119">
                  <c:v>42005</c:v>
                </c:pt>
                <c:pt idx="120">
                  <c:v>42036</c:v>
                </c:pt>
                <c:pt idx="121">
                  <c:v>42064</c:v>
                </c:pt>
                <c:pt idx="122">
                  <c:v>42095</c:v>
                </c:pt>
              </c:numCache>
            </c:numRef>
          </c:cat>
          <c:val>
            <c:numRef>
              <c:f>'report Питер'!$B$3:$DV$3</c:f>
              <c:numCache>
                <c:formatCode>General</c:formatCode>
                <c:ptCount val="125"/>
                <c:pt idx="0">
                  <c:v>10.68</c:v>
                </c:pt>
                <c:pt idx="1">
                  <c:v>10.77</c:v>
                </c:pt>
                <c:pt idx="2">
                  <c:v>10.99</c:v>
                </c:pt>
                <c:pt idx="3">
                  <c:v>11.04</c:v>
                </c:pt>
                <c:pt idx="4">
                  <c:v>9.3500000000000068</c:v>
                </c:pt>
                <c:pt idx="5">
                  <c:v>8.3000000000000007</c:v>
                </c:pt>
                <c:pt idx="6">
                  <c:v>7.73</c:v>
                </c:pt>
                <c:pt idx="7">
                  <c:v>8.32</c:v>
                </c:pt>
                <c:pt idx="8">
                  <c:v>8.02</c:v>
                </c:pt>
                <c:pt idx="9">
                  <c:v>7.9</c:v>
                </c:pt>
                <c:pt idx="10">
                  <c:v>8.34</c:v>
                </c:pt>
                <c:pt idx="11">
                  <c:v>6.08</c:v>
                </c:pt>
                <c:pt idx="12">
                  <c:v>6.59</c:v>
                </c:pt>
                <c:pt idx="13">
                  <c:v>6.6599999999999975</c:v>
                </c:pt>
                <c:pt idx="14">
                  <c:v>5.78</c:v>
                </c:pt>
                <c:pt idx="15">
                  <c:v>5.79</c:v>
                </c:pt>
                <c:pt idx="16">
                  <c:v>5.14</c:v>
                </c:pt>
                <c:pt idx="17">
                  <c:v>5.3199999999999985</c:v>
                </c:pt>
                <c:pt idx="18">
                  <c:v>5.17</c:v>
                </c:pt>
                <c:pt idx="19">
                  <c:v>5.1499999999999995</c:v>
                </c:pt>
                <c:pt idx="20">
                  <c:v>5.1899999999999995</c:v>
                </c:pt>
                <c:pt idx="21">
                  <c:v>4.49</c:v>
                </c:pt>
                <c:pt idx="22">
                  <c:v>4.59</c:v>
                </c:pt>
                <c:pt idx="23">
                  <c:v>3.3099999999999987</c:v>
                </c:pt>
                <c:pt idx="24">
                  <c:v>3.23</c:v>
                </c:pt>
                <c:pt idx="25">
                  <c:v>2.96</c:v>
                </c:pt>
                <c:pt idx="26">
                  <c:v>2.9099999999999997</c:v>
                </c:pt>
                <c:pt idx="27">
                  <c:v>2.9699999999999998</c:v>
                </c:pt>
                <c:pt idx="28">
                  <c:v>3.62</c:v>
                </c:pt>
                <c:pt idx="29">
                  <c:v>3.18</c:v>
                </c:pt>
                <c:pt idx="30">
                  <c:v>3.19</c:v>
                </c:pt>
                <c:pt idx="31">
                  <c:v>3.18</c:v>
                </c:pt>
                <c:pt idx="32">
                  <c:v>3.18</c:v>
                </c:pt>
                <c:pt idx="33">
                  <c:v>2.94</c:v>
                </c:pt>
                <c:pt idx="34">
                  <c:v>2.5499999999999998</c:v>
                </c:pt>
                <c:pt idx="35">
                  <c:v>1.72</c:v>
                </c:pt>
                <c:pt idx="36">
                  <c:v>2.4699999999999998</c:v>
                </c:pt>
                <c:pt idx="37">
                  <c:v>1.82</c:v>
                </c:pt>
                <c:pt idx="38">
                  <c:v>1.7</c:v>
                </c:pt>
                <c:pt idx="39">
                  <c:v>0.93</c:v>
                </c:pt>
                <c:pt idx="40">
                  <c:v>0.17</c:v>
                </c:pt>
                <c:pt idx="41">
                  <c:v>0.14000000000000001</c:v>
                </c:pt>
                <c:pt idx="42">
                  <c:v>0.30000000000000032</c:v>
                </c:pt>
                <c:pt idx="43">
                  <c:v>0.12000000000000002</c:v>
                </c:pt>
                <c:pt idx="44">
                  <c:v>0.12000000000000002</c:v>
                </c:pt>
                <c:pt idx="45">
                  <c:v>0.15000000000000024</c:v>
                </c:pt>
                <c:pt idx="46">
                  <c:v>0.14000000000000001</c:v>
                </c:pt>
                <c:pt idx="47">
                  <c:v>9.0000000000000024E-2</c:v>
                </c:pt>
                <c:pt idx="48">
                  <c:v>0.1</c:v>
                </c:pt>
                <c:pt idx="49">
                  <c:v>9.0000000000000024E-2</c:v>
                </c:pt>
                <c:pt idx="50">
                  <c:v>9.0000000000000024E-2</c:v>
                </c:pt>
                <c:pt idx="51">
                  <c:v>0.13</c:v>
                </c:pt>
                <c:pt idx="52">
                  <c:v>8.0000000000000043E-2</c:v>
                </c:pt>
                <c:pt idx="53">
                  <c:v>8.0000000000000043E-2</c:v>
                </c:pt>
                <c:pt idx="54">
                  <c:v>8.0000000000000043E-2</c:v>
                </c:pt>
                <c:pt idx="55">
                  <c:v>0.5</c:v>
                </c:pt>
                <c:pt idx="56">
                  <c:v>0.49000000000000032</c:v>
                </c:pt>
                <c:pt idx="57">
                  <c:v>0.49000000000000032</c:v>
                </c:pt>
                <c:pt idx="58">
                  <c:v>0.48000000000000032</c:v>
                </c:pt>
                <c:pt idx="59">
                  <c:v>0.56999999999999995</c:v>
                </c:pt>
                <c:pt idx="60">
                  <c:v>0.56999999999999995</c:v>
                </c:pt>
                <c:pt idx="61">
                  <c:v>0.56000000000000005</c:v>
                </c:pt>
                <c:pt idx="62">
                  <c:v>0.56000000000000005</c:v>
                </c:pt>
                <c:pt idx="63">
                  <c:v>0.56000000000000005</c:v>
                </c:pt>
                <c:pt idx="64">
                  <c:v>0.55000000000000004</c:v>
                </c:pt>
                <c:pt idx="65">
                  <c:v>1.1599999999999957</c:v>
                </c:pt>
                <c:pt idx="66">
                  <c:v>1.1599999999999957</c:v>
                </c:pt>
                <c:pt idx="67">
                  <c:v>1.1299999999999957</c:v>
                </c:pt>
                <c:pt idx="68">
                  <c:v>1.1299999999999957</c:v>
                </c:pt>
                <c:pt idx="69">
                  <c:v>1.1299999999999957</c:v>
                </c:pt>
                <c:pt idx="70">
                  <c:v>1.78</c:v>
                </c:pt>
                <c:pt idx="71">
                  <c:v>1.8800000000000001</c:v>
                </c:pt>
                <c:pt idx="72">
                  <c:v>1.8800000000000001</c:v>
                </c:pt>
                <c:pt idx="73">
                  <c:v>1.8800000000000001</c:v>
                </c:pt>
                <c:pt idx="74">
                  <c:v>1.8800000000000001</c:v>
                </c:pt>
                <c:pt idx="75">
                  <c:v>1.8800000000000001</c:v>
                </c:pt>
                <c:pt idx="76">
                  <c:v>1.8800000000000001</c:v>
                </c:pt>
                <c:pt idx="77">
                  <c:v>1.8800000000000001</c:v>
                </c:pt>
                <c:pt idx="78">
                  <c:v>1.8800000000000001</c:v>
                </c:pt>
                <c:pt idx="79">
                  <c:v>1.8800000000000001</c:v>
                </c:pt>
                <c:pt idx="80">
                  <c:v>2.4299999999999997</c:v>
                </c:pt>
                <c:pt idx="81">
                  <c:v>2.4299999999999997</c:v>
                </c:pt>
                <c:pt idx="82">
                  <c:v>2.4299999999999997</c:v>
                </c:pt>
                <c:pt idx="83">
                  <c:v>2.2000000000000002</c:v>
                </c:pt>
                <c:pt idx="84">
                  <c:v>2.2000000000000002</c:v>
                </c:pt>
                <c:pt idx="85">
                  <c:v>2.2000000000000002</c:v>
                </c:pt>
                <c:pt idx="86">
                  <c:v>2.2000000000000002</c:v>
                </c:pt>
                <c:pt idx="87">
                  <c:v>2.2000000000000002</c:v>
                </c:pt>
                <c:pt idx="88">
                  <c:v>2.2000000000000002</c:v>
                </c:pt>
                <c:pt idx="89">
                  <c:v>1.78</c:v>
                </c:pt>
                <c:pt idx="90">
                  <c:v>1.78</c:v>
                </c:pt>
                <c:pt idx="91">
                  <c:v>1.78</c:v>
                </c:pt>
                <c:pt idx="92">
                  <c:v>1.78</c:v>
                </c:pt>
                <c:pt idx="93">
                  <c:v>1.78</c:v>
                </c:pt>
                <c:pt idx="94">
                  <c:v>1.78</c:v>
                </c:pt>
                <c:pt idx="95">
                  <c:v>5.51</c:v>
                </c:pt>
                <c:pt idx="96">
                  <c:v>5.54</c:v>
                </c:pt>
                <c:pt idx="97">
                  <c:v>5.54</c:v>
                </c:pt>
                <c:pt idx="98">
                  <c:v>5.34</c:v>
                </c:pt>
                <c:pt idx="99">
                  <c:v>5.34</c:v>
                </c:pt>
                <c:pt idx="100">
                  <c:v>5.34</c:v>
                </c:pt>
                <c:pt idx="101">
                  <c:v>5.34</c:v>
                </c:pt>
                <c:pt idx="102">
                  <c:v>5.34</c:v>
                </c:pt>
                <c:pt idx="103">
                  <c:v>5.34</c:v>
                </c:pt>
                <c:pt idx="104">
                  <c:v>5.34</c:v>
                </c:pt>
                <c:pt idx="105">
                  <c:v>5.34</c:v>
                </c:pt>
                <c:pt idx="106">
                  <c:v>5.34</c:v>
                </c:pt>
                <c:pt idx="107">
                  <c:v>4.55</c:v>
                </c:pt>
                <c:pt idx="108">
                  <c:v>4.5999999999999996</c:v>
                </c:pt>
                <c:pt idx="109">
                  <c:v>4.5999999999999996</c:v>
                </c:pt>
                <c:pt idx="110">
                  <c:v>4.5999999999999996</c:v>
                </c:pt>
                <c:pt idx="111">
                  <c:v>4.5999999999999996</c:v>
                </c:pt>
                <c:pt idx="112">
                  <c:v>4.5999999999999996</c:v>
                </c:pt>
                <c:pt idx="113">
                  <c:v>4.5999999999999996</c:v>
                </c:pt>
                <c:pt idx="114">
                  <c:v>4.38</c:v>
                </c:pt>
                <c:pt idx="115">
                  <c:v>4.38</c:v>
                </c:pt>
                <c:pt idx="116">
                  <c:v>4.38</c:v>
                </c:pt>
                <c:pt idx="117">
                  <c:v>4.38</c:v>
                </c:pt>
                <c:pt idx="118">
                  <c:v>4.38</c:v>
                </c:pt>
                <c:pt idx="119">
                  <c:v>3.4899999999999998</c:v>
                </c:pt>
                <c:pt idx="120">
                  <c:v>3.4899999999999998</c:v>
                </c:pt>
                <c:pt idx="121">
                  <c:v>3.4899999999999998</c:v>
                </c:pt>
                <c:pt idx="122">
                  <c:v>3.4899999999999998</c:v>
                </c:pt>
              </c:numCache>
            </c:numRef>
          </c:val>
          <c:smooth val="0"/>
          <c:extLst>
            <c:ext xmlns:c16="http://schemas.microsoft.com/office/drawing/2014/chart" uri="{C3380CC4-5D6E-409C-BE32-E72D297353CC}">
              <c16:uniqueId val="{00000000-DBFE-4E99-B8BD-5B2741B8E372}"/>
            </c:ext>
          </c:extLst>
        </c:ser>
        <c:dLbls>
          <c:showLegendKey val="0"/>
          <c:showVal val="0"/>
          <c:showCatName val="0"/>
          <c:showSerName val="0"/>
          <c:showPercent val="0"/>
          <c:showBubbleSize val="0"/>
        </c:dLbls>
        <c:marker val="1"/>
        <c:smooth val="0"/>
        <c:axId val="258012672"/>
        <c:axId val="258014208"/>
      </c:lineChart>
      <c:dateAx>
        <c:axId val="258012672"/>
        <c:scaling>
          <c:orientation val="minMax"/>
        </c:scaling>
        <c:delete val="0"/>
        <c:axPos val="b"/>
        <c:numFmt formatCode="dd/mm/yyyy" sourceLinked="1"/>
        <c:majorTickMark val="out"/>
        <c:minorTickMark val="none"/>
        <c:tickLblPos val="nextTo"/>
        <c:crossAx val="258014208"/>
        <c:crosses val="autoZero"/>
        <c:auto val="1"/>
        <c:lblOffset val="100"/>
        <c:baseTimeUnit val="months"/>
      </c:dateAx>
      <c:valAx>
        <c:axId val="258014208"/>
        <c:scaling>
          <c:orientation val="minMax"/>
        </c:scaling>
        <c:delete val="0"/>
        <c:axPos val="l"/>
        <c:majorGridlines/>
        <c:numFmt formatCode="General" sourceLinked="1"/>
        <c:majorTickMark val="out"/>
        <c:minorTickMark val="none"/>
        <c:tickLblPos val="nextTo"/>
        <c:crossAx val="25801267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Структура госдолга Москвы  на 01.06.2015 </a:t>
            </a:r>
          </a:p>
        </c:rich>
      </c:tx>
      <c:overlay val="0"/>
      <c:spPr>
        <a:noFill/>
        <a:ln w="25391">
          <a:noFill/>
        </a:ln>
      </c:spPr>
    </c:title>
    <c:autoTitleDeleted val="0"/>
    <c:plotArea>
      <c:layout/>
      <c:pieChart>
        <c:varyColors val="1"/>
        <c:ser>
          <c:idx val="0"/>
          <c:order val="0"/>
          <c:dPt>
            <c:idx val="0"/>
            <c:bubble3D val="0"/>
            <c:spPr>
              <a:solidFill>
                <a:srgbClr val="FFFF00"/>
              </a:solidFill>
              <a:ln w="12695">
                <a:solidFill>
                  <a:srgbClr val="FFFFFF"/>
                </a:solidFill>
                <a:prstDash val="solid"/>
              </a:ln>
            </c:spPr>
            <c:extLst>
              <c:ext xmlns:c16="http://schemas.microsoft.com/office/drawing/2014/chart" uri="{C3380CC4-5D6E-409C-BE32-E72D297353CC}">
                <c16:uniqueId val="{00000000-D136-4312-9AC5-4F75300D072D}"/>
              </c:ext>
            </c:extLst>
          </c:dPt>
          <c:dPt>
            <c:idx val="1"/>
            <c:bubble3D val="0"/>
            <c:spPr>
              <a:solidFill>
                <a:srgbClr val="9BBB59"/>
              </a:solidFill>
              <a:ln w="12695">
                <a:solidFill>
                  <a:srgbClr val="FFFFFF"/>
                </a:solidFill>
                <a:prstDash val="solid"/>
              </a:ln>
            </c:spPr>
            <c:extLst>
              <c:ext xmlns:c16="http://schemas.microsoft.com/office/drawing/2014/chart" uri="{C3380CC4-5D6E-409C-BE32-E72D297353CC}">
                <c16:uniqueId val="{00000001-D136-4312-9AC5-4F75300D072D}"/>
              </c:ext>
            </c:extLst>
          </c:dPt>
          <c:dPt>
            <c:idx val="2"/>
            <c:bubble3D val="0"/>
            <c:spPr>
              <a:solidFill>
                <a:srgbClr val="4BACC6"/>
              </a:solidFill>
              <a:ln w="12695">
                <a:solidFill>
                  <a:srgbClr val="FFFFFF"/>
                </a:solidFill>
                <a:prstDash val="solid"/>
              </a:ln>
            </c:spPr>
            <c:extLst>
              <c:ext xmlns:c16="http://schemas.microsoft.com/office/drawing/2014/chart" uri="{C3380CC4-5D6E-409C-BE32-E72D297353CC}">
                <c16:uniqueId val="{00000002-D136-4312-9AC5-4F75300D072D}"/>
              </c:ext>
            </c:extLst>
          </c:dPt>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Лист4!$A$1:$A$3</c:f>
              <c:strCache>
                <c:ptCount val="3"/>
                <c:pt idx="0">
                  <c:v>Бюджетные кредиты</c:v>
                </c:pt>
                <c:pt idx="1">
                  <c:v>Государственные займы</c:v>
                </c:pt>
                <c:pt idx="2">
                  <c:v>Банковские кредиты</c:v>
                </c:pt>
              </c:strCache>
            </c:strRef>
          </c:cat>
          <c:val>
            <c:numRef>
              <c:f>Лист4!$B$1:$B$3</c:f>
              <c:numCache>
                <c:formatCode>General</c:formatCode>
                <c:ptCount val="3"/>
                <c:pt idx="0">
                  <c:v>21.436</c:v>
                </c:pt>
                <c:pt idx="1">
                  <c:v>111.255</c:v>
                </c:pt>
                <c:pt idx="2">
                  <c:v>23.61100000000005</c:v>
                </c:pt>
              </c:numCache>
            </c:numRef>
          </c:val>
          <c:extLst>
            <c:ext xmlns:c16="http://schemas.microsoft.com/office/drawing/2014/chart" uri="{C3380CC4-5D6E-409C-BE32-E72D297353CC}">
              <c16:uniqueId val="{00000003-D136-4312-9AC5-4F75300D072D}"/>
            </c:ext>
          </c:extLst>
        </c:ser>
        <c:ser>
          <c:idx val="1"/>
          <c:order val="1"/>
          <c:dPt>
            <c:idx val="0"/>
            <c:bubble3D val="0"/>
            <c:spPr>
              <a:solidFill>
                <a:srgbClr val="4F81BD"/>
              </a:solidFill>
              <a:ln w="12695">
                <a:solidFill>
                  <a:srgbClr val="FFFFFF"/>
                </a:solidFill>
                <a:prstDash val="solid"/>
              </a:ln>
            </c:spPr>
            <c:extLst>
              <c:ext xmlns:c16="http://schemas.microsoft.com/office/drawing/2014/chart" uri="{C3380CC4-5D6E-409C-BE32-E72D297353CC}">
                <c16:uniqueId val="{00000004-D136-4312-9AC5-4F75300D072D}"/>
              </c:ext>
            </c:extLst>
          </c:dPt>
          <c:dPt>
            <c:idx val="1"/>
            <c:bubble3D val="0"/>
            <c:spPr>
              <a:solidFill>
                <a:srgbClr val="9BBB59"/>
              </a:solidFill>
              <a:ln w="12695">
                <a:solidFill>
                  <a:srgbClr val="FFFFFF"/>
                </a:solidFill>
                <a:prstDash val="solid"/>
              </a:ln>
            </c:spPr>
            <c:extLst>
              <c:ext xmlns:c16="http://schemas.microsoft.com/office/drawing/2014/chart" uri="{C3380CC4-5D6E-409C-BE32-E72D297353CC}">
                <c16:uniqueId val="{00000005-D136-4312-9AC5-4F75300D072D}"/>
              </c:ext>
            </c:extLst>
          </c:dPt>
          <c:dPt>
            <c:idx val="2"/>
            <c:bubble3D val="0"/>
            <c:spPr>
              <a:solidFill>
                <a:srgbClr val="4BACC6"/>
              </a:solidFill>
              <a:ln w="12695">
                <a:solidFill>
                  <a:srgbClr val="FFFFFF"/>
                </a:solidFill>
                <a:prstDash val="solid"/>
              </a:ln>
            </c:spPr>
            <c:extLst>
              <c:ext xmlns:c16="http://schemas.microsoft.com/office/drawing/2014/chart" uri="{C3380CC4-5D6E-409C-BE32-E72D297353CC}">
                <c16:uniqueId val="{00000006-D136-4312-9AC5-4F75300D072D}"/>
              </c:ext>
            </c:extLst>
          </c:dPt>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1"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Лист4!$A$1:$A$3</c:f>
              <c:strCache>
                <c:ptCount val="3"/>
                <c:pt idx="0">
                  <c:v>Бюджетные кредиты</c:v>
                </c:pt>
                <c:pt idx="1">
                  <c:v>Государственные займы</c:v>
                </c:pt>
                <c:pt idx="2">
                  <c:v>Банковские кредиты</c:v>
                </c:pt>
              </c:strCache>
            </c:strRef>
          </c:cat>
          <c:val>
            <c:numRef>
              <c:f>Лист4!$C$1:$C$3</c:f>
              <c:numCache>
                <c:formatCode>General</c:formatCode>
                <c:ptCount val="3"/>
                <c:pt idx="0">
                  <c:v>14</c:v>
                </c:pt>
                <c:pt idx="1">
                  <c:v>71</c:v>
                </c:pt>
                <c:pt idx="2">
                  <c:v>15</c:v>
                </c:pt>
              </c:numCache>
            </c:numRef>
          </c:val>
          <c:extLst>
            <c:ext xmlns:c16="http://schemas.microsoft.com/office/drawing/2014/chart" uri="{C3380CC4-5D6E-409C-BE32-E72D297353CC}">
              <c16:uniqueId val="{00000007-D136-4312-9AC5-4F75300D072D}"/>
            </c:ext>
          </c:extLst>
        </c:ser>
        <c:dLbls>
          <c:showLegendKey val="0"/>
          <c:showVal val="0"/>
          <c:showCatName val="0"/>
          <c:showSerName val="0"/>
          <c:showPercent val="1"/>
          <c:showBubbleSize val="0"/>
          <c:showLeaderLines val="1"/>
        </c:dLbls>
        <c:firstSliceAng val="0"/>
      </c:pie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9" b="1" i="0" u="none" strike="noStrike" kern="1200" baseline="0">
                <a:solidFill>
                  <a:schemeClr val="tx1"/>
                </a:solidFill>
                <a:latin typeface="+mn-lt"/>
                <a:ea typeface="+mn-ea"/>
                <a:cs typeface="+mn-cs"/>
              </a:defRPr>
            </a:pPr>
            <a:r>
              <a:rPr lang="ru-RU"/>
              <a:t>Госдолг</a:t>
            </a:r>
            <a:r>
              <a:rPr lang="ru-RU" baseline="0"/>
              <a:t> Москвы в млрд.руб.</a:t>
            </a:r>
            <a:endParaRPr lang="ru-RU"/>
          </a:p>
        </c:rich>
      </c:tx>
      <c:overlay val="0"/>
      <c:spPr>
        <a:noFill/>
        <a:ln w="25390">
          <a:noFill/>
        </a:ln>
      </c:spPr>
    </c:title>
    <c:autoTitleDeleted val="0"/>
    <c:plotArea>
      <c:layout/>
      <c:barChart>
        <c:barDir val="col"/>
        <c:grouping val="clustered"/>
        <c:varyColors val="0"/>
        <c:ser>
          <c:idx val="0"/>
          <c:order val="0"/>
          <c:tx>
            <c:strRef>
              <c:f>Лист1!$B$1</c:f>
              <c:strCache>
                <c:ptCount val="1"/>
                <c:pt idx="0">
                  <c:v>Доходы без учета безвозмездных поступлений</c:v>
                </c:pt>
              </c:strCache>
            </c:strRef>
          </c:tx>
          <c:spPr>
            <a:solidFill>
              <a:srgbClr val="4F81BD"/>
            </a:solidFill>
            <a:ln w="25390">
              <a:noFill/>
            </a:ln>
          </c:spPr>
          <c:invertIfNegative val="0"/>
          <c:cat>
            <c:numRef>
              <c:f>Лист1!$A$2:$A$7</c:f>
              <c:numCache>
                <c:formatCode>General</c:formatCode>
                <c:ptCount val="6"/>
                <c:pt idx="0">
                  <c:v>2010</c:v>
                </c:pt>
                <c:pt idx="1">
                  <c:v>2011</c:v>
                </c:pt>
                <c:pt idx="2">
                  <c:v>2012</c:v>
                </c:pt>
                <c:pt idx="3">
                  <c:v>2013</c:v>
                </c:pt>
                <c:pt idx="4">
                  <c:v>2014</c:v>
                </c:pt>
                <c:pt idx="5" formatCode="dd/mm/yyyy">
                  <c:v>42156</c:v>
                </c:pt>
              </c:numCache>
            </c:numRef>
          </c:cat>
          <c:val>
            <c:numRef>
              <c:f>Лист1!$B$2:$B$7</c:f>
              <c:numCache>
                <c:formatCode>General</c:formatCode>
                <c:ptCount val="6"/>
                <c:pt idx="0">
                  <c:v>1084.3</c:v>
                </c:pt>
                <c:pt idx="1">
                  <c:v>1319.3</c:v>
                </c:pt>
                <c:pt idx="2">
                  <c:v>1042.0999999999999</c:v>
                </c:pt>
                <c:pt idx="3">
                  <c:v>1436.1</c:v>
                </c:pt>
                <c:pt idx="4">
                  <c:v>1511.1</c:v>
                </c:pt>
                <c:pt idx="5">
                  <c:v>1486.2</c:v>
                </c:pt>
              </c:numCache>
            </c:numRef>
          </c:val>
          <c:extLst>
            <c:ext xmlns:c16="http://schemas.microsoft.com/office/drawing/2014/chart" uri="{C3380CC4-5D6E-409C-BE32-E72D297353CC}">
              <c16:uniqueId val="{00000000-8728-4DB5-85DA-12C18182EBC0}"/>
            </c:ext>
          </c:extLst>
        </c:ser>
        <c:ser>
          <c:idx val="1"/>
          <c:order val="1"/>
          <c:tx>
            <c:strRef>
              <c:f>Лист1!$C$1</c:f>
              <c:strCache>
                <c:ptCount val="1"/>
                <c:pt idx="0">
                  <c:v>Государственный долг</c:v>
                </c:pt>
              </c:strCache>
            </c:strRef>
          </c:tx>
          <c:spPr>
            <a:solidFill>
              <a:srgbClr val="9BBB59"/>
            </a:solidFill>
            <a:ln w="25390">
              <a:noFill/>
            </a:ln>
          </c:spPr>
          <c:invertIfNegative val="0"/>
          <c:cat>
            <c:numRef>
              <c:f>Лист1!$A$2:$A$7</c:f>
              <c:numCache>
                <c:formatCode>General</c:formatCode>
                <c:ptCount val="6"/>
                <c:pt idx="0">
                  <c:v>2010</c:v>
                </c:pt>
                <c:pt idx="1">
                  <c:v>2011</c:v>
                </c:pt>
                <c:pt idx="2">
                  <c:v>2012</c:v>
                </c:pt>
                <c:pt idx="3">
                  <c:v>2013</c:v>
                </c:pt>
                <c:pt idx="4">
                  <c:v>2014</c:v>
                </c:pt>
                <c:pt idx="5" formatCode="dd/mm/yyyy">
                  <c:v>42156</c:v>
                </c:pt>
              </c:numCache>
            </c:numRef>
          </c:cat>
          <c:val>
            <c:numRef>
              <c:f>Лист1!$C$2:$C$7</c:f>
              <c:numCache>
                <c:formatCode>General</c:formatCode>
                <c:ptCount val="6"/>
                <c:pt idx="0">
                  <c:v>299.3</c:v>
                </c:pt>
                <c:pt idx="1">
                  <c:v>234.1</c:v>
                </c:pt>
                <c:pt idx="2">
                  <c:v>188.4</c:v>
                </c:pt>
                <c:pt idx="3">
                  <c:v>179.2</c:v>
                </c:pt>
                <c:pt idx="4">
                  <c:v>161.69999999999999</c:v>
                </c:pt>
                <c:pt idx="5">
                  <c:v>156.30000000000001</c:v>
                </c:pt>
              </c:numCache>
            </c:numRef>
          </c:val>
          <c:extLst>
            <c:ext xmlns:c16="http://schemas.microsoft.com/office/drawing/2014/chart" uri="{C3380CC4-5D6E-409C-BE32-E72D297353CC}">
              <c16:uniqueId val="{00000001-8728-4DB5-85DA-12C18182EBC0}"/>
            </c:ext>
          </c:extLst>
        </c:ser>
        <c:dLbls>
          <c:showLegendKey val="0"/>
          <c:showVal val="0"/>
          <c:showCatName val="0"/>
          <c:showSerName val="0"/>
          <c:showPercent val="0"/>
          <c:showBubbleSize val="0"/>
        </c:dLbls>
        <c:gapWidth val="0"/>
        <c:axId val="258105728"/>
        <c:axId val="258107648"/>
      </c:barChart>
      <c:lineChart>
        <c:grouping val="standard"/>
        <c:varyColors val="0"/>
        <c:ser>
          <c:idx val="2"/>
          <c:order val="2"/>
          <c:tx>
            <c:strRef>
              <c:f>Лист1!$D$1</c:f>
              <c:strCache>
                <c:ptCount val="1"/>
                <c:pt idx="0">
                  <c:v>Отношение госдолга к доходам без учета без учета безвозмездных поступлений  в процентах </c:v>
                </c:pt>
              </c:strCache>
            </c:strRef>
          </c:tx>
          <c:spPr>
            <a:ln w="25390">
              <a:solidFill>
                <a:srgbClr val="FFFF00"/>
              </a:solidFill>
              <a:prstDash val="solid"/>
            </a:ln>
          </c:spPr>
          <c:marker>
            <c:spPr>
              <a:solidFill>
                <a:srgbClr val="FFC000"/>
              </a:solidFill>
              <a:ln>
                <a:solidFill>
                  <a:srgbClr val="FFFF00"/>
                </a:solidFill>
                <a:prstDash val="solid"/>
              </a:ln>
            </c:spPr>
          </c:marker>
          <c:cat>
            <c:numRef>
              <c:f>Лист1!$A$2:$A$7</c:f>
              <c:numCache>
                <c:formatCode>General</c:formatCode>
                <c:ptCount val="6"/>
                <c:pt idx="0">
                  <c:v>2010</c:v>
                </c:pt>
                <c:pt idx="1">
                  <c:v>2011</c:v>
                </c:pt>
                <c:pt idx="2">
                  <c:v>2012</c:v>
                </c:pt>
                <c:pt idx="3">
                  <c:v>2013</c:v>
                </c:pt>
                <c:pt idx="4">
                  <c:v>2014</c:v>
                </c:pt>
                <c:pt idx="5" formatCode="dd/mm/yyyy">
                  <c:v>42156</c:v>
                </c:pt>
              </c:numCache>
            </c:numRef>
          </c:cat>
          <c:val>
            <c:numRef>
              <c:f>Лист1!$D$2:$D$7</c:f>
              <c:numCache>
                <c:formatCode>General</c:formatCode>
                <c:ptCount val="6"/>
                <c:pt idx="0">
                  <c:v>0.27603061883242647</c:v>
                </c:pt>
                <c:pt idx="1">
                  <c:v>0.17744258318805461</c:v>
                </c:pt>
                <c:pt idx="2">
                  <c:v>0.18078879186258556</c:v>
                </c:pt>
                <c:pt idx="3">
                  <c:v>0.12478239676902721</c:v>
                </c:pt>
                <c:pt idx="4">
                  <c:v>0.10700813976573359</c:v>
                </c:pt>
                <c:pt idx="5">
                  <c:v>0.10516754138070264</c:v>
                </c:pt>
              </c:numCache>
            </c:numRef>
          </c:val>
          <c:smooth val="0"/>
          <c:extLst>
            <c:ext xmlns:c16="http://schemas.microsoft.com/office/drawing/2014/chart" uri="{C3380CC4-5D6E-409C-BE32-E72D297353CC}">
              <c16:uniqueId val="{00000002-8728-4DB5-85DA-12C18182EBC0}"/>
            </c:ext>
          </c:extLst>
        </c:ser>
        <c:dLbls>
          <c:showLegendKey val="0"/>
          <c:showVal val="0"/>
          <c:showCatName val="0"/>
          <c:showSerName val="0"/>
          <c:showPercent val="0"/>
          <c:showBubbleSize val="0"/>
        </c:dLbls>
        <c:marker val="1"/>
        <c:smooth val="0"/>
        <c:axId val="258392064"/>
        <c:axId val="258393600"/>
      </c:lineChart>
      <c:catAx>
        <c:axId val="258105728"/>
        <c:scaling>
          <c:orientation val="minMax"/>
        </c:scaling>
        <c:delete val="0"/>
        <c:axPos val="b"/>
        <c:numFmt formatCode="General" sourceLinked="1"/>
        <c:majorTickMark val="out"/>
        <c:minorTickMark val="none"/>
        <c:tickLblPos val="nextTo"/>
        <c:spPr>
          <a:noFill/>
          <a:ln w="9521"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58107648"/>
        <c:crosses val="autoZero"/>
        <c:auto val="1"/>
        <c:lblAlgn val="ctr"/>
        <c:lblOffset val="100"/>
        <c:noMultiLvlLbl val="0"/>
      </c:catAx>
      <c:valAx>
        <c:axId val="258107648"/>
        <c:scaling>
          <c:orientation val="minMax"/>
        </c:scaling>
        <c:delete val="0"/>
        <c:axPos val="l"/>
        <c:majorGridlines>
          <c:spPr>
            <a:ln w="9521"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1"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58105728"/>
        <c:crosses val="autoZero"/>
        <c:crossBetween val="between"/>
      </c:valAx>
      <c:catAx>
        <c:axId val="258392064"/>
        <c:scaling>
          <c:orientation val="minMax"/>
        </c:scaling>
        <c:delete val="1"/>
        <c:axPos val="b"/>
        <c:numFmt formatCode="General" sourceLinked="1"/>
        <c:majorTickMark val="out"/>
        <c:minorTickMark val="none"/>
        <c:tickLblPos val="none"/>
        <c:crossAx val="258393600"/>
        <c:crosses val="autoZero"/>
        <c:auto val="1"/>
        <c:lblAlgn val="ctr"/>
        <c:lblOffset val="100"/>
        <c:noMultiLvlLbl val="0"/>
      </c:catAx>
      <c:valAx>
        <c:axId val="258393600"/>
        <c:scaling>
          <c:orientation val="minMax"/>
        </c:scaling>
        <c:delete val="0"/>
        <c:axPos val="r"/>
        <c:numFmt formatCode="General" sourceLinked="1"/>
        <c:majorTickMark val="out"/>
        <c:minorTickMark val="none"/>
        <c:tickLblPos val="nextTo"/>
        <c:spPr>
          <a:noFill/>
          <a:ln w="9521"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58392064"/>
        <c:crosses val="max"/>
        <c:crossBetween val="between"/>
      </c:valAx>
      <c:spPr>
        <a:solidFill>
          <a:srgbClr val="FFFFFF"/>
        </a:solidFill>
        <a:ln w="25390">
          <a:noFill/>
        </a:ln>
      </c:spPr>
    </c:plotArea>
    <c:legend>
      <c:legendPos val="r"/>
      <c:layout>
        <c:manualLayout>
          <c:xMode val="edge"/>
          <c:yMode val="edge"/>
          <c:x val="0.64217694663167246"/>
          <c:y val="0.2603009776616359"/>
          <c:w val="0.34149650043744467"/>
          <c:h val="0.64456899219475194"/>
        </c:manualLayout>
      </c:layout>
      <c:overlay val="0"/>
      <c:spPr>
        <a:noFill/>
        <a:ln w="2539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tint val="75000"/>
          <a:shade val="95000"/>
          <a:satMod val="105000"/>
        </a:schemeClr>
      </a:solidFill>
      <a:prstDash val="solid"/>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98" b="1" i="0" u="none" strike="noStrike" kern="1200" cap="all" spc="120" normalizeH="0" baseline="0">
                <a:solidFill>
                  <a:schemeClr val="tx1">
                    <a:lumMod val="65000"/>
                    <a:lumOff val="35000"/>
                  </a:schemeClr>
                </a:solidFill>
                <a:latin typeface="+mn-lt"/>
                <a:ea typeface="+mn-ea"/>
                <a:cs typeface="+mn-cs"/>
              </a:defRPr>
            </a:pPr>
            <a:r>
              <a:rPr lang="ru-RU"/>
              <a:t>Государственный долг Москвы</a:t>
            </a:r>
          </a:p>
        </c:rich>
      </c:tx>
      <c:overlay val="0"/>
      <c:spPr>
        <a:noFill/>
        <a:ln w="25367">
          <a:noFill/>
        </a:ln>
      </c:spPr>
    </c:title>
    <c:autoTitleDeleted val="0"/>
    <c:plotArea>
      <c:layout/>
      <c:barChart>
        <c:barDir val="col"/>
        <c:grouping val="stacked"/>
        <c:varyColors val="0"/>
        <c:ser>
          <c:idx val="0"/>
          <c:order val="0"/>
          <c:tx>
            <c:strRef>
              <c:f>Лист5!$B$1</c:f>
              <c:strCache>
                <c:ptCount val="1"/>
                <c:pt idx="0">
                  <c:v>Государственные гарантии</c:v>
                </c:pt>
              </c:strCache>
            </c:strRef>
          </c:tx>
          <c:spPr>
            <a:solidFill>
              <a:srgbClr val="4F81BD"/>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Лист5!$A$2:$A$7</c:f>
              <c:strCache>
                <c:ptCount val="6"/>
                <c:pt idx="0">
                  <c:v>2010</c:v>
                </c:pt>
                <c:pt idx="1">
                  <c:v>2011</c:v>
                </c:pt>
                <c:pt idx="2">
                  <c:v>2012</c:v>
                </c:pt>
                <c:pt idx="3">
                  <c:v>2013</c:v>
                </c:pt>
                <c:pt idx="4">
                  <c:v>2014</c:v>
                </c:pt>
                <c:pt idx="5">
                  <c:v>2015 (на 1.06.2015</c:v>
                </c:pt>
              </c:strCache>
            </c:strRef>
          </c:cat>
          <c:val>
            <c:numRef>
              <c:f>Лист5!$B$2:$B$7</c:f>
              <c:numCache>
                <c:formatCode>General</c:formatCode>
                <c:ptCount val="6"/>
                <c:pt idx="0">
                  <c:v>2.0709999999999997</c:v>
                </c:pt>
                <c:pt idx="1">
                  <c:v>1.4209999999999965</c:v>
                </c:pt>
                <c:pt idx="2">
                  <c:v>1.149999999999997</c:v>
                </c:pt>
                <c:pt idx="3">
                  <c:v>1.149999999999997</c:v>
                </c:pt>
                <c:pt idx="4">
                  <c:v>1.1000000000000001</c:v>
                </c:pt>
                <c:pt idx="5">
                  <c:v>0</c:v>
                </c:pt>
              </c:numCache>
            </c:numRef>
          </c:val>
          <c:extLst>
            <c:ext xmlns:c16="http://schemas.microsoft.com/office/drawing/2014/chart" uri="{C3380CC4-5D6E-409C-BE32-E72D297353CC}">
              <c16:uniqueId val="{00000000-0C89-47C9-898B-71013DF66CD6}"/>
            </c:ext>
          </c:extLst>
        </c:ser>
        <c:ser>
          <c:idx val="1"/>
          <c:order val="1"/>
          <c:tx>
            <c:strRef>
              <c:f>Лист5!$C$1</c:f>
              <c:strCache>
                <c:ptCount val="1"/>
                <c:pt idx="0">
                  <c:v>Бюджетные кредиты</c:v>
                </c:pt>
              </c:strCache>
            </c:strRef>
          </c:tx>
          <c:spPr>
            <a:solidFill>
              <a:srgbClr val="9BBB59"/>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Лист5!$A$2:$A$7</c:f>
              <c:strCache>
                <c:ptCount val="6"/>
                <c:pt idx="0">
                  <c:v>2010</c:v>
                </c:pt>
                <c:pt idx="1">
                  <c:v>2011</c:v>
                </c:pt>
                <c:pt idx="2">
                  <c:v>2012</c:v>
                </c:pt>
                <c:pt idx="3">
                  <c:v>2013</c:v>
                </c:pt>
                <c:pt idx="4">
                  <c:v>2014</c:v>
                </c:pt>
                <c:pt idx="5">
                  <c:v>2015 (на 1.06.2015</c:v>
                </c:pt>
              </c:strCache>
            </c:strRef>
          </c:cat>
          <c:val>
            <c:numRef>
              <c:f>Лист5!$C$2:$C$7</c:f>
              <c:numCache>
                <c:formatCode>General</c:formatCode>
                <c:ptCount val="6"/>
                <c:pt idx="0">
                  <c:v>31.786999999999953</c:v>
                </c:pt>
                <c:pt idx="1">
                  <c:v>40.728000000000094</c:v>
                </c:pt>
                <c:pt idx="2">
                  <c:v>25.844999999999999</c:v>
                </c:pt>
                <c:pt idx="3">
                  <c:v>10.68</c:v>
                </c:pt>
                <c:pt idx="4">
                  <c:v>21.518000000000001</c:v>
                </c:pt>
                <c:pt idx="5">
                  <c:v>21.436</c:v>
                </c:pt>
              </c:numCache>
            </c:numRef>
          </c:val>
          <c:extLst>
            <c:ext xmlns:c16="http://schemas.microsoft.com/office/drawing/2014/chart" uri="{C3380CC4-5D6E-409C-BE32-E72D297353CC}">
              <c16:uniqueId val="{00000001-0C89-47C9-898B-71013DF66CD6}"/>
            </c:ext>
          </c:extLst>
        </c:ser>
        <c:ser>
          <c:idx val="2"/>
          <c:order val="2"/>
          <c:tx>
            <c:strRef>
              <c:f>Лист5!$D$1</c:f>
              <c:strCache>
                <c:ptCount val="1"/>
                <c:pt idx="0">
                  <c:v>Государственные займы</c:v>
                </c:pt>
              </c:strCache>
            </c:strRef>
          </c:tx>
          <c:spPr>
            <a:solidFill>
              <a:srgbClr val="4BACC6"/>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Лист5!$A$2:$A$7</c:f>
              <c:strCache>
                <c:ptCount val="6"/>
                <c:pt idx="0">
                  <c:v>2010</c:v>
                </c:pt>
                <c:pt idx="1">
                  <c:v>2011</c:v>
                </c:pt>
                <c:pt idx="2">
                  <c:v>2012</c:v>
                </c:pt>
                <c:pt idx="3">
                  <c:v>2013</c:v>
                </c:pt>
                <c:pt idx="4">
                  <c:v>2014</c:v>
                </c:pt>
                <c:pt idx="5">
                  <c:v>2015 (на 1.06.2015</c:v>
                </c:pt>
              </c:strCache>
            </c:strRef>
          </c:cat>
          <c:val>
            <c:numRef>
              <c:f>Лист5!$D$2:$D$7</c:f>
              <c:numCache>
                <c:formatCode>General</c:formatCode>
                <c:ptCount val="6"/>
                <c:pt idx="0">
                  <c:v>233.89100000000033</c:v>
                </c:pt>
                <c:pt idx="1">
                  <c:v>175.006</c:v>
                </c:pt>
                <c:pt idx="2">
                  <c:v>145.006</c:v>
                </c:pt>
                <c:pt idx="3">
                  <c:v>149.006</c:v>
                </c:pt>
                <c:pt idx="4">
                  <c:v>111.255</c:v>
                </c:pt>
                <c:pt idx="5">
                  <c:v>111.255</c:v>
                </c:pt>
              </c:numCache>
            </c:numRef>
          </c:val>
          <c:extLst>
            <c:ext xmlns:c16="http://schemas.microsoft.com/office/drawing/2014/chart" uri="{C3380CC4-5D6E-409C-BE32-E72D297353CC}">
              <c16:uniqueId val="{00000002-0C89-47C9-898B-71013DF66CD6}"/>
            </c:ext>
          </c:extLst>
        </c:ser>
        <c:ser>
          <c:idx val="3"/>
          <c:order val="3"/>
          <c:tx>
            <c:strRef>
              <c:f>Лист5!$E$1</c:f>
              <c:strCache>
                <c:ptCount val="1"/>
                <c:pt idx="0">
                  <c:v>Банковские кредиты</c:v>
                </c:pt>
              </c:strCache>
            </c:strRef>
          </c:tx>
          <c:spPr>
            <a:solidFill>
              <a:srgbClr val="FFC000"/>
            </a:solidFill>
            <a:ln w="25367">
              <a:noFill/>
            </a:ln>
          </c:spPr>
          <c:invertIfNegative val="0"/>
          <c:dLbls>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Лист5!$A$2:$A$7</c:f>
              <c:strCache>
                <c:ptCount val="6"/>
                <c:pt idx="0">
                  <c:v>2010</c:v>
                </c:pt>
                <c:pt idx="1">
                  <c:v>2011</c:v>
                </c:pt>
                <c:pt idx="2">
                  <c:v>2012</c:v>
                </c:pt>
                <c:pt idx="3">
                  <c:v>2013</c:v>
                </c:pt>
                <c:pt idx="4">
                  <c:v>2014</c:v>
                </c:pt>
                <c:pt idx="5">
                  <c:v>2015 (на 1.06.2015</c:v>
                </c:pt>
              </c:strCache>
            </c:strRef>
          </c:cat>
          <c:val>
            <c:numRef>
              <c:f>Лист5!$E$2:$E$7</c:f>
              <c:numCache>
                <c:formatCode>General</c:formatCode>
                <c:ptCount val="6"/>
                <c:pt idx="0">
                  <c:v>27.810000000000031</c:v>
                </c:pt>
                <c:pt idx="1">
                  <c:v>16.959999999999987</c:v>
                </c:pt>
                <c:pt idx="2">
                  <c:v>18.3</c:v>
                </c:pt>
                <c:pt idx="3">
                  <c:v>16.959999999999987</c:v>
                </c:pt>
                <c:pt idx="4">
                  <c:v>27.810000000000031</c:v>
                </c:pt>
                <c:pt idx="5">
                  <c:v>23.61100000000005</c:v>
                </c:pt>
              </c:numCache>
            </c:numRef>
          </c:val>
          <c:extLst>
            <c:ext xmlns:c16="http://schemas.microsoft.com/office/drawing/2014/chart" uri="{C3380CC4-5D6E-409C-BE32-E72D297353CC}">
              <c16:uniqueId val="{00000003-0C89-47C9-898B-71013DF66CD6}"/>
            </c:ext>
          </c:extLst>
        </c:ser>
        <c:dLbls>
          <c:showLegendKey val="0"/>
          <c:showVal val="1"/>
          <c:showCatName val="0"/>
          <c:showSerName val="0"/>
          <c:showPercent val="0"/>
          <c:showBubbleSize val="0"/>
        </c:dLbls>
        <c:gapWidth val="79"/>
        <c:overlap val="100"/>
        <c:axId val="258275200"/>
        <c:axId val="258276736"/>
      </c:barChart>
      <c:catAx>
        <c:axId val="258275200"/>
        <c:scaling>
          <c:orientation val="minMax"/>
        </c:scaling>
        <c:delete val="0"/>
        <c:axPos val="b"/>
        <c:majorGridlines>
          <c:spPr>
            <a:ln w="9513"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ru-RU"/>
          </a:p>
        </c:txPr>
        <c:crossAx val="258276736"/>
        <c:crosses val="autoZero"/>
        <c:auto val="1"/>
        <c:lblAlgn val="ctr"/>
        <c:lblOffset val="100"/>
        <c:noMultiLvlLbl val="0"/>
      </c:catAx>
      <c:valAx>
        <c:axId val="258276736"/>
        <c:scaling>
          <c:orientation val="minMax"/>
        </c:scaling>
        <c:delete val="1"/>
        <c:axPos val="l"/>
        <c:numFmt formatCode="General" sourceLinked="1"/>
        <c:majorTickMark val="out"/>
        <c:minorTickMark val="none"/>
        <c:tickLblPos val="none"/>
        <c:crossAx val="258275200"/>
        <c:crosses val="autoZero"/>
        <c:crossBetween val="between"/>
      </c:valAx>
      <c:spPr>
        <a:noFill/>
        <a:ln w="25367">
          <a:noFill/>
        </a:ln>
      </c:spPr>
    </c:plotArea>
    <c:legend>
      <c:legendPos val="t"/>
      <c:overlay val="0"/>
      <c:spPr>
        <a:noFill/>
        <a:ln w="2536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lt1"/>
    </a:solidFill>
    <a:ln w="951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a:t>
            </a:r>
            <a:r>
              <a:rPr lang="ru-RU" baseline="0"/>
              <a:t> эмитентов</a:t>
            </a:r>
            <a:endParaRPr lang="ru-RU"/>
          </a:p>
        </c:rich>
      </c:tx>
      <c:overlay val="0"/>
    </c:title>
    <c:autoTitleDeleted val="0"/>
    <c:plotArea>
      <c:layout/>
      <c:areaChart>
        <c:grouping val="standard"/>
        <c:varyColors val="0"/>
        <c:ser>
          <c:idx val="0"/>
          <c:order val="0"/>
          <c:cat>
            <c:strRef>
              <c:f>Лист4!$A$3:$A$108</c:f>
              <c:strCache>
                <c:ptCount val="106"/>
                <c:pt idx="0">
                  <c:v>30.09.2015</c:v>
                </c:pt>
                <c:pt idx="1">
                  <c:v>31.08.2015</c:v>
                </c:pt>
                <c:pt idx="2">
                  <c:v>31.07.2015</c:v>
                </c:pt>
                <c:pt idx="3">
                  <c:v>30.06.2015</c:v>
                </c:pt>
                <c:pt idx="4">
                  <c:v>29.05.2015</c:v>
                </c:pt>
                <c:pt idx="5">
                  <c:v>30.04.2015</c:v>
                </c:pt>
                <c:pt idx="6">
                  <c:v>31.03.2015</c:v>
                </c:pt>
                <c:pt idx="7">
                  <c:v>27.02.2015</c:v>
                </c:pt>
                <c:pt idx="8">
                  <c:v>30.01.2015</c:v>
                </c:pt>
                <c:pt idx="9">
                  <c:v>31.12.2014</c:v>
                </c:pt>
                <c:pt idx="10">
                  <c:v>28.11.2014</c:v>
                </c:pt>
                <c:pt idx="11">
                  <c:v>31.10.2014</c:v>
                </c:pt>
                <c:pt idx="12">
                  <c:v>30.09.2014</c:v>
                </c:pt>
                <c:pt idx="13">
                  <c:v>29.08.2014</c:v>
                </c:pt>
                <c:pt idx="14">
                  <c:v>31.07.2014</c:v>
                </c:pt>
                <c:pt idx="15">
                  <c:v>30.06.2014</c:v>
                </c:pt>
                <c:pt idx="16">
                  <c:v>30.05.2014</c:v>
                </c:pt>
                <c:pt idx="17">
                  <c:v>30.04.2014</c:v>
                </c:pt>
                <c:pt idx="18">
                  <c:v>31.03.2014</c:v>
                </c:pt>
                <c:pt idx="19">
                  <c:v>28.02.2014</c:v>
                </c:pt>
                <c:pt idx="20">
                  <c:v>31.01.2014</c:v>
                </c:pt>
                <c:pt idx="21">
                  <c:v>31.12.2013</c:v>
                </c:pt>
                <c:pt idx="22">
                  <c:v>29.11.2013</c:v>
                </c:pt>
                <c:pt idx="23">
                  <c:v>31.10.2013</c:v>
                </c:pt>
                <c:pt idx="24">
                  <c:v>30.09.2013</c:v>
                </c:pt>
                <c:pt idx="25">
                  <c:v>30.08.2013</c:v>
                </c:pt>
                <c:pt idx="26">
                  <c:v>31.07.2013</c:v>
                </c:pt>
                <c:pt idx="27">
                  <c:v>28.06.2013</c:v>
                </c:pt>
                <c:pt idx="28">
                  <c:v>31.05.2013</c:v>
                </c:pt>
                <c:pt idx="29">
                  <c:v>30.04.2013</c:v>
                </c:pt>
                <c:pt idx="30">
                  <c:v>29.03.2013</c:v>
                </c:pt>
                <c:pt idx="31">
                  <c:v>28.02.2013</c:v>
                </c:pt>
                <c:pt idx="32">
                  <c:v>31.01.2013</c:v>
                </c:pt>
                <c:pt idx="33">
                  <c:v>31.12.2012</c:v>
                </c:pt>
                <c:pt idx="34">
                  <c:v>30.11.2012</c:v>
                </c:pt>
                <c:pt idx="35">
                  <c:v>31.10.2012</c:v>
                </c:pt>
                <c:pt idx="36">
                  <c:v>28.09.2012</c:v>
                </c:pt>
                <c:pt idx="37">
                  <c:v>31.08.2012</c:v>
                </c:pt>
                <c:pt idx="38">
                  <c:v>31.07.2012</c:v>
                </c:pt>
                <c:pt idx="39">
                  <c:v>29.06.2012</c:v>
                </c:pt>
                <c:pt idx="40">
                  <c:v>31.05.2012</c:v>
                </c:pt>
                <c:pt idx="41">
                  <c:v>30.04.2012</c:v>
                </c:pt>
                <c:pt idx="42">
                  <c:v>30.03.2012</c:v>
                </c:pt>
                <c:pt idx="43">
                  <c:v>29.02.2012</c:v>
                </c:pt>
                <c:pt idx="44">
                  <c:v>31.01.2012</c:v>
                </c:pt>
                <c:pt idx="45">
                  <c:v>30.12.2011</c:v>
                </c:pt>
                <c:pt idx="46">
                  <c:v>30.11.2011</c:v>
                </c:pt>
                <c:pt idx="47">
                  <c:v>31.10.2011</c:v>
                </c:pt>
                <c:pt idx="48">
                  <c:v>30.09.2011</c:v>
                </c:pt>
                <c:pt idx="49">
                  <c:v>31.08.2011</c:v>
                </c:pt>
                <c:pt idx="50">
                  <c:v>29.07.2011</c:v>
                </c:pt>
                <c:pt idx="51">
                  <c:v>30.06.2011</c:v>
                </c:pt>
                <c:pt idx="52">
                  <c:v>31.05.2011</c:v>
                </c:pt>
                <c:pt idx="53">
                  <c:v>29.04.2011</c:v>
                </c:pt>
                <c:pt idx="54">
                  <c:v>31.03.2011</c:v>
                </c:pt>
                <c:pt idx="55">
                  <c:v>28.02.2011</c:v>
                </c:pt>
                <c:pt idx="56">
                  <c:v>31.01.2011</c:v>
                </c:pt>
                <c:pt idx="57">
                  <c:v>31.12.2010</c:v>
                </c:pt>
                <c:pt idx="58">
                  <c:v>30.11.2010</c:v>
                </c:pt>
                <c:pt idx="59">
                  <c:v>29.10.2010</c:v>
                </c:pt>
                <c:pt idx="60">
                  <c:v>30.09.2010</c:v>
                </c:pt>
                <c:pt idx="61">
                  <c:v>31.08.2010</c:v>
                </c:pt>
                <c:pt idx="62">
                  <c:v>30.07.2010</c:v>
                </c:pt>
                <c:pt idx="63">
                  <c:v>30.06.2010</c:v>
                </c:pt>
                <c:pt idx="64">
                  <c:v>31.05.2010</c:v>
                </c:pt>
                <c:pt idx="65">
                  <c:v>30.04.2010</c:v>
                </c:pt>
                <c:pt idx="66">
                  <c:v>31.03.2010</c:v>
                </c:pt>
                <c:pt idx="67">
                  <c:v>26.02.2010</c:v>
                </c:pt>
                <c:pt idx="68">
                  <c:v>29.01.2010</c:v>
                </c:pt>
                <c:pt idx="69">
                  <c:v>31.12.2009</c:v>
                </c:pt>
                <c:pt idx="70">
                  <c:v>30.11.2009</c:v>
                </c:pt>
                <c:pt idx="71">
                  <c:v>30.10.2009</c:v>
                </c:pt>
                <c:pt idx="72">
                  <c:v>30.09.2009</c:v>
                </c:pt>
                <c:pt idx="73">
                  <c:v>31.08.2009</c:v>
                </c:pt>
                <c:pt idx="74">
                  <c:v>31.07.2009</c:v>
                </c:pt>
                <c:pt idx="75">
                  <c:v>30.06.2009</c:v>
                </c:pt>
                <c:pt idx="76">
                  <c:v>29.05.2009</c:v>
                </c:pt>
                <c:pt idx="77">
                  <c:v>30.04.2009</c:v>
                </c:pt>
                <c:pt idx="78">
                  <c:v>31.03.2009</c:v>
                </c:pt>
                <c:pt idx="79">
                  <c:v>27.02.2009</c:v>
                </c:pt>
                <c:pt idx="80">
                  <c:v>30.01.2009</c:v>
                </c:pt>
                <c:pt idx="81">
                  <c:v>31.12.2008</c:v>
                </c:pt>
                <c:pt idx="82">
                  <c:v>28.11.2008</c:v>
                </c:pt>
                <c:pt idx="83">
                  <c:v>31.10.2008</c:v>
                </c:pt>
                <c:pt idx="84">
                  <c:v>30.09.2008</c:v>
                </c:pt>
                <c:pt idx="85">
                  <c:v>29.08.2008</c:v>
                </c:pt>
                <c:pt idx="86">
                  <c:v>31.07.2008</c:v>
                </c:pt>
                <c:pt idx="87">
                  <c:v>30.06.2008</c:v>
                </c:pt>
                <c:pt idx="88">
                  <c:v>30.05.2008</c:v>
                </c:pt>
                <c:pt idx="89">
                  <c:v>30.04.2008</c:v>
                </c:pt>
                <c:pt idx="90">
                  <c:v>31.03.2008</c:v>
                </c:pt>
                <c:pt idx="91">
                  <c:v>29.02.2008</c:v>
                </c:pt>
                <c:pt idx="92">
                  <c:v>31.01.2008</c:v>
                </c:pt>
                <c:pt idx="93">
                  <c:v>31.12.2007</c:v>
                </c:pt>
                <c:pt idx="94">
                  <c:v>30.11.2007</c:v>
                </c:pt>
                <c:pt idx="95">
                  <c:v>31.10.2007</c:v>
                </c:pt>
                <c:pt idx="96">
                  <c:v>28.09.2007</c:v>
                </c:pt>
                <c:pt idx="97">
                  <c:v>31.08.2007</c:v>
                </c:pt>
                <c:pt idx="98">
                  <c:v>31.07.2007</c:v>
                </c:pt>
                <c:pt idx="99">
                  <c:v>29.06.2007</c:v>
                </c:pt>
                <c:pt idx="100">
                  <c:v>31.05.2007</c:v>
                </c:pt>
                <c:pt idx="101">
                  <c:v>30.04.2007</c:v>
                </c:pt>
                <c:pt idx="102">
                  <c:v>30.03.2007</c:v>
                </c:pt>
                <c:pt idx="103">
                  <c:v>28.02.2007</c:v>
                </c:pt>
                <c:pt idx="104">
                  <c:v>31.01.2007</c:v>
                </c:pt>
                <c:pt idx="105">
                  <c:v>29.12.2006</c:v>
                </c:pt>
              </c:strCache>
            </c:strRef>
          </c:cat>
          <c:val>
            <c:numRef>
              <c:f>Лист4!$B$3:$B$108</c:f>
              <c:numCache>
                <c:formatCode>General</c:formatCode>
                <c:ptCount val="106"/>
                <c:pt idx="0">
                  <c:v>44</c:v>
                </c:pt>
                <c:pt idx="1">
                  <c:v>44</c:v>
                </c:pt>
                <c:pt idx="2">
                  <c:v>44</c:v>
                </c:pt>
                <c:pt idx="3">
                  <c:v>44</c:v>
                </c:pt>
                <c:pt idx="4">
                  <c:v>44</c:v>
                </c:pt>
                <c:pt idx="5">
                  <c:v>44</c:v>
                </c:pt>
                <c:pt idx="6">
                  <c:v>44</c:v>
                </c:pt>
                <c:pt idx="7">
                  <c:v>44</c:v>
                </c:pt>
                <c:pt idx="8">
                  <c:v>44</c:v>
                </c:pt>
                <c:pt idx="9">
                  <c:v>44</c:v>
                </c:pt>
                <c:pt idx="10">
                  <c:v>41</c:v>
                </c:pt>
                <c:pt idx="11">
                  <c:v>41</c:v>
                </c:pt>
                <c:pt idx="12">
                  <c:v>40</c:v>
                </c:pt>
                <c:pt idx="13">
                  <c:v>40</c:v>
                </c:pt>
                <c:pt idx="14">
                  <c:v>40</c:v>
                </c:pt>
                <c:pt idx="15">
                  <c:v>40</c:v>
                </c:pt>
                <c:pt idx="16">
                  <c:v>40</c:v>
                </c:pt>
                <c:pt idx="17">
                  <c:v>40</c:v>
                </c:pt>
                <c:pt idx="18">
                  <c:v>41</c:v>
                </c:pt>
                <c:pt idx="19">
                  <c:v>41</c:v>
                </c:pt>
                <c:pt idx="20">
                  <c:v>41</c:v>
                </c:pt>
                <c:pt idx="21">
                  <c:v>41</c:v>
                </c:pt>
                <c:pt idx="22">
                  <c:v>43</c:v>
                </c:pt>
                <c:pt idx="23">
                  <c:v>41</c:v>
                </c:pt>
                <c:pt idx="24">
                  <c:v>40</c:v>
                </c:pt>
                <c:pt idx="25">
                  <c:v>40</c:v>
                </c:pt>
                <c:pt idx="26">
                  <c:v>40</c:v>
                </c:pt>
                <c:pt idx="27">
                  <c:v>40</c:v>
                </c:pt>
                <c:pt idx="28">
                  <c:v>40</c:v>
                </c:pt>
                <c:pt idx="29">
                  <c:v>40</c:v>
                </c:pt>
                <c:pt idx="30">
                  <c:v>40</c:v>
                </c:pt>
                <c:pt idx="31">
                  <c:v>40</c:v>
                </c:pt>
                <c:pt idx="32">
                  <c:v>40</c:v>
                </c:pt>
                <c:pt idx="33">
                  <c:v>40</c:v>
                </c:pt>
                <c:pt idx="34">
                  <c:v>35</c:v>
                </c:pt>
                <c:pt idx="35">
                  <c:v>35</c:v>
                </c:pt>
                <c:pt idx="36">
                  <c:v>35</c:v>
                </c:pt>
                <c:pt idx="37">
                  <c:v>33</c:v>
                </c:pt>
                <c:pt idx="38">
                  <c:v>33</c:v>
                </c:pt>
                <c:pt idx="39">
                  <c:v>33</c:v>
                </c:pt>
                <c:pt idx="40">
                  <c:v>34</c:v>
                </c:pt>
                <c:pt idx="41">
                  <c:v>34</c:v>
                </c:pt>
                <c:pt idx="42">
                  <c:v>34</c:v>
                </c:pt>
                <c:pt idx="43">
                  <c:v>34</c:v>
                </c:pt>
                <c:pt idx="44">
                  <c:v>34</c:v>
                </c:pt>
                <c:pt idx="45">
                  <c:v>34</c:v>
                </c:pt>
                <c:pt idx="46">
                  <c:v>33</c:v>
                </c:pt>
                <c:pt idx="47">
                  <c:v>33</c:v>
                </c:pt>
                <c:pt idx="48">
                  <c:v>33</c:v>
                </c:pt>
                <c:pt idx="49">
                  <c:v>33</c:v>
                </c:pt>
                <c:pt idx="50">
                  <c:v>33</c:v>
                </c:pt>
                <c:pt idx="51">
                  <c:v>33</c:v>
                </c:pt>
                <c:pt idx="52">
                  <c:v>34</c:v>
                </c:pt>
                <c:pt idx="53">
                  <c:v>34</c:v>
                </c:pt>
                <c:pt idx="54">
                  <c:v>34</c:v>
                </c:pt>
                <c:pt idx="55">
                  <c:v>34</c:v>
                </c:pt>
                <c:pt idx="56">
                  <c:v>34</c:v>
                </c:pt>
                <c:pt idx="57">
                  <c:v>34</c:v>
                </c:pt>
                <c:pt idx="58">
                  <c:v>35</c:v>
                </c:pt>
                <c:pt idx="59">
                  <c:v>38</c:v>
                </c:pt>
                <c:pt idx="60">
                  <c:v>39</c:v>
                </c:pt>
                <c:pt idx="61">
                  <c:v>38</c:v>
                </c:pt>
                <c:pt idx="62">
                  <c:v>39</c:v>
                </c:pt>
                <c:pt idx="63">
                  <c:v>39</c:v>
                </c:pt>
                <c:pt idx="64">
                  <c:v>40</c:v>
                </c:pt>
                <c:pt idx="65">
                  <c:v>41</c:v>
                </c:pt>
                <c:pt idx="66">
                  <c:v>41</c:v>
                </c:pt>
                <c:pt idx="67">
                  <c:v>40</c:v>
                </c:pt>
                <c:pt idx="68">
                  <c:v>40</c:v>
                </c:pt>
                <c:pt idx="69">
                  <c:v>40</c:v>
                </c:pt>
                <c:pt idx="70">
                  <c:v>42</c:v>
                </c:pt>
                <c:pt idx="71">
                  <c:v>41</c:v>
                </c:pt>
                <c:pt idx="72">
                  <c:v>41</c:v>
                </c:pt>
                <c:pt idx="73">
                  <c:v>44</c:v>
                </c:pt>
                <c:pt idx="74">
                  <c:v>46</c:v>
                </c:pt>
                <c:pt idx="75">
                  <c:v>47</c:v>
                </c:pt>
                <c:pt idx="76">
                  <c:v>49</c:v>
                </c:pt>
                <c:pt idx="77">
                  <c:v>50</c:v>
                </c:pt>
                <c:pt idx="78">
                  <c:v>50</c:v>
                </c:pt>
                <c:pt idx="79">
                  <c:v>50</c:v>
                </c:pt>
                <c:pt idx="80">
                  <c:v>50</c:v>
                </c:pt>
                <c:pt idx="81">
                  <c:v>50</c:v>
                </c:pt>
                <c:pt idx="82">
                  <c:v>49</c:v>
                </c:pt>
                <c:pt idx="83">
                  <c:v>51</c:v>
                </c:pt>
                <c:pt idx="84">
                  <c:v>55</c:v>
                </c:pt>
                <c:pt idx="85">
                  <c:v>56</c:v>
                </c:pt>
                <c:pt idx="86">
                  <c:v>57</c:v>
                </c:pt>
                <c:pt idx="87">
                  <c:v>55</c:v>
                </c:pt>
                <c:pt idx="88">
                  <c:v>56</c:v>
                </c:pt>
                <c:pt idx="89">
                  <c:v>57</c:v>
                </c:pt>
                <c:pt idx="90">
                  <c:v>57</c:v>
                </c:pt>
                <c:pt idx="91">
                  <c:v>57</c:v>
                </c:pt>
                <c:pt idx="92">
                  <c:v>57</c:v>
                </c:pt>
                <c:pt idx="93">
                  <c:v>57</c:v>
                </c:pt>
                <c:pt idx="94">
                  <c:v>52</c:v>
                </c:pt>
                <c:pt idx="95">
                  <c:v>51</c:v>
                </c:pt>
                <c:pt idx="96">
                  <c:v>52</c:v>
                </c:pt>
                <c:pt idx="97">
                  <c:v>52</c:v>
                </c:pt>
                <c:pt idx="98">
                  <c:v>52</c:v>
                </c:pt>
                <c:pt idx="99">
                  <c:v>52</c:v>
                </c:pt>
                <c:pt idx="100">
                  <c:v>52</c:v>
                </c:pt>
                <c:pt idx="101">
                  <c:v>54</c:v>
                </c:pt>
                <c:pt idx="102">
                  <c:v>53</c:v>
                </c:pt>
                <c:pt idx="103">
                  <c:v>53</c:v>
                </c:pt>
                <c:pt idx="104">
                  <c:v>53</c:v>
                </c:pt>
                <c:pt idx="105">
                  <c:v>53</c:v>
                </c:pt>
              </c:numCache>
            </c:numRef>
          </c:val>
          <c:extLst>
            <c:ext xmlns:c16="http://schemas.microsoft.com/office/drawing/2014/chart" uri="{C3380CC4-5D6E-409C-BE32-E72D297353CC}">
              <c16:uniqueId val="{00000000-CA58-4765-8E54-FB4D430CF20A}"/>
            </c:ext>
          </c:extLst>
        </c:ser>
        <c:dLbls>
          <c:showLegendKey val="0"/>
          <c:showVal val="0"/>
          <c:showCatName val="0"/>
          <c:showSerName val="0"/>
          <c:showPercent val="0"/>
          <c:showBubbleSize val="0"/>
        </c:dLbls>
        <c:axId val="267122560"/>
        <c:axId val="267124096"/>
      </c:areaChart>
      <c:catAx>
        <c:axId val="267122560"/>
        <c:scaling>
          <c:orientation val="maxMin"/>
        </c:scaling>
        <c:delete val="0"/>
        <c:axPos val="b"/>
        <c:numFmt formatCode="General" sourceLinked="1"/>
        <c:majorTickMark val="out"/>
        <c:minorTickMark val="none"/>
        <c:tickLblPos val="nextTo"/>
        <c:crossAx val="267124096"/>
        <c:crosses val="autoZero"/>
        <c:auto val="1"/>
        <c:lblAlgn val="ctr"/>
        <c:lblOffset val="100"/>
        <c:noMultiLvlLbl val="0"/>
      </c:catAx>
      <c:valAx>
        <c:axId val="267124096"/>
        <c:scaling>
          <c:orientation val="minMax"/>
        </c:scaling>
        <c:delete val="0"/>
        <c:axPos val="r"/>
        <c:majorGridlines/>
        <c:numFmt formatCode="General" sourceLinked="1"/>
        <c:majorTickMark val="out"/>
        <c:minorTickMark val="none"/>
        <c:tickLblPos val="nextTo"/>
        <c:crossAx val="267122560"/>
        <c:crosses val="autoZero"/>
        <c:crossBetween val="midCat"/>
      </c:valAx>
    </c:plotArea>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Объем рынка облигаций муниципальных образований</a:t>
            </a:r>
          </a:p>
        </c:rich>
      </c:tx>
      <c:overlay val="0"/>
    </c:title>
    <c:autoTitleDeleted val="0"/>
    <c:plotArea>
      <c:layout/>
      <c:areaChart>
        <c:grouping val="stacked"/>
        <c:varyColors val="0"/>
        <c:ser>
          <c:idx val="0"/>
          <c:order val="0"/>
          <c:cat>
            <c:strRef>
              <c:f>Лист3!$A$3:$A$108</c:f>
              <c:strCache>
                <c:ptCount val="106"/>
                <c:pt idx="0">
                  <c:v>30.09.2015</c:v>
                </c:pt>
                <c:pt idx="1">
                  <c:v>31.08.2015</c:v>
                </c:pt>
                <c:pt idx="2">
                  <c:v>31.07.2015</c:v>
                </c:pt>
                <c:pt idx="3">
                  <c:v>30.06.2015</c:v>
                </c:pt>
                <c:pt idx="4">
                  <c:v>29.05.2015</c:v>
                </c:pt>
                <c:pt idx="5">
                  <c:v>30.04.2015</c:v>
                </c:pt>
                <c:pt idx="6">
                  <c:v>31.03.2015</c:v>
                </c:pt>
                <c:pt idx="7">
                  <c:v>27.02.2015</c:v>
                </c:pt>
                <c:pt idx="8">
                  <c:v>30.01.2015</c:v>
                </c:pt>
                <c:pt idx="9">
                  <c:v>31.12.2014</c:v>
                </c:pt>
                <c:pt idx="10">
                  <c:v>28.11.2014</c:v>
                </c:pt>
                <c:pt idx="11">
                  <c:v>31.10.2014</c:v>
                </c:pt>
                <c:pt idx="12">
                  <c:v>30.09.2014</c:v>
                </c:pt>
                <c:pt idx="13">
                  <c:v>29.08.2014</c:v>
                </c:pt>
                <c:pt idx="14">
                  <c:v>31.07.2014</c:v>
                </c:pt>
                <c:pt idx="15">
                  <c:v>30.06.2014</c:v>
                </c:pt>
                <c:pt idx="16">
                  <c:v>30.05.2014</c:v>
                </c:pt>
                <c:pt idx="17">
                  <c:v>30.04.2014</c:v>
                </c:pt>
                <c:pt idx="18">
                  <c:v>31.03.2014</c:v>
                </c:pt>
                <c:pt idx="19">
                  <c:v>28.02.2014</c:v>
                </c:pt>
                <c:pt idx="20">
                  <c:v>31.01.2014</c:v>
                </c:pt>
                <c:pt idx="21">
                  <c:v>31.12.2013</c:v>
                </c:pt>
                <c:pt idx="22">
                  <c:v>29.11.2013</c:v>
                </c:pt>
                <c:pt idx="23">
                  <c:v>31.10.2013</c:v>
                </c:pt>
                <c:pt idx="24">
                  <c:v>30.09.2013</c:v>
                </c:pt>
                <c:pt idx="25">
                  <c:v>30.08.2013</c:v>
                </c:pt>
                <c:pt idx="26">
                  <c:v>31.07.2013</c:v>
                </c:pt>
                <c:pt idx="27">
                  <c:v>28.06.2013</c:v>
                </c:pt>
                <c:pt idx="28">
                  <c:v>31.05.2013</c:v>
                </c:pt>
                <c:pt idx="29">
                  <c:v>30.04.2013</c:v>
                </c:pt>
                <c:pt idx="30">
                  <c:v>29.03.2013</c:v>
                </c:pt>
                <c:pt idx="31">
                  <c:v>28.02.2013</c:v>
                </c:pt>
                <c:pt idx="32">
                  <c:v>31.01.2013</c:v>
                </c:pt>
                <c:pt idx="33">
                  <c:v>31.12.2012</c:v>
                </c:pt>
                <c:pt idx="34">
                  <c:v>30.11.2012</c:v>
                </c:pt>
                <c:pt idx="35">
                  <c:v>31.10.2012</c:v>
                </c:pt>
                <c:pt idx="36">
                  <c:v>28.09.2012</c:v>
                </c:pt>
                <c:pt idx="37">
                  <c:v>31.08.2012</c:v>
                </c:pt>
                <c:pt idx="38">
                  <c:v>31.07.2012</c:v>
                </c:pt>
                <c:pt idx="39">
                  <c:v>29.06.2012</c:v>
                </c:pt>
                <c:pt idx="40">
                  <c:v>31.05.2012</c:v>
                </c:pt>
                <c:pt idx="41">
                  <c:v>30.04.2012</c:v>
                </c:pt>
                <c:pt idx="42">
                  <c:v>30.03.2012</c:v>
                </c:pt>
                <c:pt idx="43">
                  <c:v>29.02.2012</c:v>
                </c:pt>
                <c:pt idx="44">
                  <c:v>31.01.2012</c:v>
                </c:pt>
                <c:pt idx="45">
                  <c:v>30.12.2011</c:v>
                </c:pt>
                <c:pt idx="46">
                  <c:v>30.11.2011</c:v>
                </c:pt>
                <c:pt idx="47">
                  <c:v>31.10.2011</c:v>
                </c:pt>
                <c:pt idx="48">
                  <c:v>30.09.2011</c:v>
                </c:pt>
                <c:pt idx="49">
                  <c:v>31.08.2011</c:v>
                </c:pt>
                <c:pt idx="50">
                  <c:v>29.07.2011</c:v>
                </c:pt>
                <c:pt idx="51">
                  <c:v>30.06.2011</c:v>
                </c:pt>
                <c:pt idx="52">
                  <c:v>31.05.2011</c:v>
                </c:pt>
                <c:pt idx="53">
                  <c:v>29.04.2011</c:v>
                </c:pt>
                <c:pt idx="54">
                  <c:v>31.03.2011</c:v>
                </c:pt>
                <c:pt idx="55">
                  <c:v>28.02.2011</c:v>
                </c:pt>
                <c:pt idx="56">
                  <c:v>31.01.2011</c:v>
                </c:pt>
                <c:pt idx="57">
                  <c:v>31.12.2010</c:v>
                </c:pt>
                <c:pt idx="58">
                  <c:v>30.11.2010</c:v>
                </c:pt>
                <c:pt idx="59">
                  <c:v>29.10.2010</c:v>
                </c:pt>
                <c:pt idx="60">
                  <c:v>30.09.2010</c:v>
                </c:pt>
                <c:pt idx="61">
                  <c:v>31.08.2010</c:v>
                </c:pt>
                <c:pt idx="62">
                  <c:v>30.07.2010</c:v>
                </c:pt>
                <c:pt idx="63">
                  <c:v>30.06.2010</c:v>
                </c:pt>
                <c:pt idx="64">
                  <c:v>31.05.2010</c:v>
                </c:pt>
                <c:pt idx="65">
                  <c:v>30.04.2010</c:v>
                </c:pt>
                <c:pt idx="66">
                  <c:v>31.03.2010</c:v>
                </c:pt>
                <c:pt idx="67">
                  <c:v>26.02.2010</c:v>
                </c:pt>
                <c:pt idx="68">
                  <c:v>29.01.2010</c:v>
                </c:pt>
                <c:pt idx="69">
                  <c:v>31.12.2009</c:v>
                </c:pt>
                <c:pt idx="70">
                  <c:v>30.11.2009</c:v>
                </c:pt>
                <c:pt idx="71">
                  <c:v>30.10.2009</c:v>
                </c:pt>
                <c:pt idx="72">
                  <c:v>30.09.2009</c:v>
                </c:pt>
                <c:pt idx="73">
                  <c:v>31.08.2009</c:v>
                </c:pt>
                <c:pt idx="74">
                  <c:v>31.07.2009</c:v>
                </c:pt>
                <c:pt idx="75">
                  <c:v>30.06.2009</c:v>
                </c:pt>
                <c:pt idx="76">
                  <c:v>29.05.2009</c:v>
                </c:pt>
                <c:pt idx="77">
                  <c:v>30.04.2009</c:v>
                </c:pt>
                <c:pt idx="78">
                  <c:v>31.03.2009</c:v>
                </c:pt>
                <c:pt idx="79">
                  <c:v>27.02.2009</c:v>
                </c:pt>
                <c:pt idx="80">
                  <c:v>30.01.2009</c:v>
                </c:pt>
                <c:pt idx="81">
                  <c:v>31.12.2008</c:v>
                </c:pt>
                <c:pt idx="82">
                  <c:v>28.11.2008</c:v>
                </c:pt>
                <c:pt idx="83">
                  <c:v>31.10.2008</c:v>
                </c:pt>
                <c:pt idx="84">
                  <c:v>30.09.2008</c:v>
                </c:pt>
                <c:pt idx="85">
                  <c:v>29.08.2008</c:v>
                </c:pt>
                <c:pt idx="86">
                  <c:v>31.07.2008</c:v>
                </c:pt>
                <c:pt idx="87">
                  <c:v>30.06.2008</c:v>
                </c:pt>
                <c:pt idx="88">
                  <c:v>30.05.2008</c:v>
                </c:pt>
                <c:pt idx="89">
                  <c:v>30.04.2008</c:v>
                </c:pt>
                <c:pt idx="90">
                  <c:v>31.03.2008</c:v>
                </c:pt>
                <c:pt idx="91">
                  <c:v>29.02.2008</c:v>
                </c:pt>
                <c:pt idx="92">
                  <c:v>31.01.2008</c:v>
                </c:pt>
                <c:pt idx="93">
                  <c:v>31.12.2007</c:v>
                </c:pt>
                <c:pt idx="94">
                  <c:v>30.11.2007</c:v>
                </c:pt>
                <c:pt idx="95">
                  <c:v>31.10.2007</c:v>
                </c:pt>
                <c:pt idx="96">
                  <c:v>28.09.2007</c:v>
                </c:pt>
                <c:pt idx="97">
                  <c:v>31.08.2007</c:v>
                </c:pt>
                <c:pt idx="98">
                  <c:v>31.07.2007</c:v>
                </c:pt>
                <c:pt idx="99">
                  <c:v>29.06.2007</c:v>
                </c:pt>
                <c:pt idx="100">
                  <c:v>31.05.2007</c:v>
                </c:pt>
                <c:pt idx="101">
                  <c:v>30.04.2007</c:v>
                </c:pt>
                <c:pt idx="102">
                  <c:v>30.03.2007</c:v>
                </c:pt>
                <c:pt idx="103">
                  <c:v>28.02.2007</c:v>
                </c:pt>
                <c:pt idx="104">
                  <c:v>31.01.2007</c:v>
                </c:pt>
                <c:pt idx="105">
                  <c:v>29.12.2006</c:v>
                </c:pt>
              </c:strCache>
            </c:strRef>
          </c:cat>
          <c:val>
            <c:numRef>
              <c:f>Лист3!$B$3:$B$108</c:f>
              <c:numCache>
                <c:formatCode>General</c:formatCode>
                <c:ptCount val="106"/>
                <c:pt idx="0">
                  <c:v>12.731009999999999</c:v>
                </c:pt>
                <c:pt idx="1">
                  <c:v>12.43102</c:v>
                </c:pt>
                <c:pt idx="2">
                  <c:v>12.43102</c:v>
                </c:pt>
                <c:pt idx="3">
                  <c:v>12.43102</c:v>
                </c:pt>
                <c:pt idx="4">
                  <c:v>12.43102</c:v>
                </c:pt>
                <c:pt idx="5">
                  <c:v>12.43102</c:v>
                </c:pt>
                <c:pt idx="6">
                  <c:v>12.43102</c:v>
                </c:pt>
                <c:pt idx="7">
                  <c:v>12.43102</c:v>
                </c:pt>
                <c:pt idx="8">
                  <c:v>12.43102</c:v>
                </c:pt>
                <c:pt idx="9">
                  <c:v>12.43102</c:v>
                </c:pt>
                <c:pt idx="10">
                  <c:v>14.031000000000001</c:v>
                </c:pt>
                <c:pt idx="11">
                  <c:v>14.031000000000001</c:v>
                </c:pt>
                <c:pt idx="12">
                  <c:v>13.031000000000001</c:v>
                </c:pt>
                <c:pt idx="13">
                  <c:v>13.031000000000001</c:v>
                </c:pt>
                <c:pt idx="14">
                  <c:v>13.031000000000001</c:v>
                </c:pt>
                <c:pt idx="15">
                  <c:v>13.031000000000001</c:v>
                </c:pt>
                <c:pt idx="16">
                  <c:v>13.83</c:v>
                </c:pt>
                <c:pt idx="17">
                  <c:v>13.83</c:v>
                </c:pt>
                <c:pt idx="18">
                  <c:v>13.83</c:v>
                </c:pt>
                <c:pt idx="19">
                  <c:v>13.83</c:v>
                </c:pt>
                <c:pt idx="20">
                  <c:v>13.83</c:v>
                </c:pt>
                <c:pt idx="21">
                  <c:v>13.83</c:v>
                </c:pt>
                <c:pt idx="22">
                  <c:v>15.718999999999999</c:v>
                </c:pt>
                <c:pt idx="23">
                  <c:v>14.581</c:v>
                </c:pt>
                <c:pt idx="24">
                  <c:v>14.581</c:v>
                </c:pt>
                <c:pt idx="25">
                  <c:v>16.649999999999999</c:v>
                </c:pt>
                <c:pt idx="26">
                  <c:v>14.581</c:v>
                </c:pt>
                <c:pt idx="27">
                  <c:v>10.681000000000001</c:v>
                </c:pt>
                <c:pt idx="28">
                  <c:v>10.681000000000001</c:v>
                </c:pt>
                <c:pt idx="29">
                  <c:v>10.681000000000001</c:v>
                </c:pt>
                <c:pt idx="30">
                  <c:v>10.681000000000001</c:v>
                </c:pt>
                <c:pt idx="31">
                  <c:v>10.681000000000001</c:v>
                </c:pt>
                <c:pt idx="32">
                  <c:v>10.681000000000001</c:v>
                </c:pt>
                <c:pt idx="33">
                  <c:v>10.681000000000001</c:v>
                </c:pt>
                <c:pt idx="34">
                  <c:v>11.75</c:v>
                </c:pt>
                <c:pt idx="35">
                  <c:v>12.850000000000021</c:v>
                </c:pt>
                <c:pt idx="36">
                  <c:v>12.850000000000021</c:v>
                </c:pt>
                <c:pt idx="37">
                  <c:v>10.850000000000021</c:v>
                </c:pt>
                <c:pt idx="38">
                  <c:v>9.8500000000000068</c:v>
                </c:pt>
                <c:pt idx="39">
                  <c:v>9.8500000000000068</c:v>
                </c:pt>
                <c:pt idx="40">
                  <c:v>9.8500000000000068</c:v>
                </c:pt>
                <c:pt idx="41">
                  <c:v>9.8500000000000068</c:v>
                </c:pt>
                <c:pt idx="42">
                  <c:v>9.8500000000000068</c:v>
                </c:pt>
                <c:pt idx="43">
                  <c:v>9.8500000000000068</c:v>
                </c:pt>
                <c:pt idx="44">
                  <c:v>9.8500000000000068</c:v>
                </c:pt>
                <c:pt idx="45">
                  <c:v>9.8500000000000068</c:v>
                </c:pt>
                <c:pt idx="46">
                  <c:v>10.65</c:v>
                </c:pt>
                <c:pt idx="47">
                  <c:v>9.5500000000000007</c:v>
                </c:pt>
                <c:pt idx="48">
                  <c:v>9.5500000000000007</c:v>
                </c:pt>
                <c:pt idx="49">
                  <c:v>9.5500000000000007</c:v>
                </c:pt>
                <c:pt idx="50">
                  <c:v>9.5500000000000007</c:v>
                </c:pt>
                <c:pt idx="51">
                  <c:v>10.450000000000006</c:v>
                </c:pt>
                <c:pt idx="52">
                  <c:v>10.450000000000006</c:v>
                </c:pt>
                <c:pt idx="53">
                  <c:v>10.450000000000006</c:v>
                </c:pt>
                <c:pt idx="54">
                  <c:v>10.450000000000006</c:v>
                </c:pt>
                <c:pt idx="55">
                  <c:v>10.450000000000006</c:v>
                </c:pt>
                <c:pt idx="56">
                  <c:v>10.450000000000006</c:v>
                </c:pt>
                <c:pt idx="57">
                  <c:v>10.450000000000006</c:v>
                </c:pt>
                <c:pt idx="58">
                  <c:v>7.2</c:v>
                </c:pt>
                <c:pt idx="59">
                  <c:v>7.2</c:v>
                </c:pt>
                <c:pt idx="60">
                  <c:v>7.35</c:v>
                </c:pt>
                <c:pt idx="61">
                  <c:v>7.35</c:v>
                </c:pt>
                <c:pt idx="62">
                  <c:v>7.6499999999999995</c:v>
                </c:pt>
                <c:pt idx="63">
                  <c:v>6.55</c:v>
                </c:pt>
                <c:pt idx="64">
                  <c:v>7.25</c:v>
                </c:pt>
                <c:pt idx="65">
                  <c:v>8.11</c:v>
                </c:pt>
                <c:pt idx="66">
                  <c:v>8.11</c:v>
                </c:pt>
                <c:pt idx="67">
                  <c:v>9.11</c:v>
                </c:pt>
                <c:pt idx="68">
                  <c:v>9.11</c:v>
                </c:pt>
                <c:pt idx="69">
                  <c:v>9.11</c:v>
                </c:pt>
                <c:pt idx="70">
                  <c:v>9.11</c:v>
                </c:pt>
                <c:pt idx="71">
                  <c:v>8.01</c:v>
                </c:pt>
                <c:pt idx="72">
                  <c:v>8.31</c:v>
                </c:pt>
                <c:pt idx="73">
                  <c:v>9.06</c:v>
                </c:pt>
                <c:pt idx="74">
                  <c:v>11.11</c:v>
                </c:pt>
                <c:pt idx="75">
                  <c:v>12.360000000000021</c:v>
                </c:pt>
                <c:pt idx="76">
                  <c:v>12.51</c:v>
                </c:pt>
                <c:pt idx="77">
                  <c:v>12.51</c:v>
                </c:pt>
                <c:pt idx="78">
                  <c:v>12.51</c:v>
                </c:pt>
                <c:pt idx="79">
                  <c:v>12.51</c:v>
                </c:pt>
                <c:pt idx="80">
                  <c:v>12.51</c:v>
                </c:pt>
                <c:pt idx="81">
                  <c:v>12.51</c:v>
                </c:pt>
                <c:pt idx="82">
                  <c:v>12.7</c:v>
                </c:pt>
                <c:pt idx="83">
                  <c:v>13.15</c:v>
                </c:pt>
                <c:pt idx="84">
                  <c:v>14.450000000000006</c:v>
                </c:pt>
                <c:pt idx="85">
                  <c:v>13.9</c:v>
                </c:pt>
                <c:pt idx="86">
                  <c:v>13.9</c:v>
                </c:pt>
                <c:pt idx="87">
                  <c:v>13.450000000000006</c:v>
                </c:pt>
                <c:pt idx="88">
                  <c:v>14.11</c:v>
                </c:pt>
                <c:pt idx="89">
                  <c:v>14.11</c:v>
                </c:pt>
                <c:pt idx="90">
                  <c:v>14.11</c:v>
                </c:pt>
                <c:pt idx="91">
                  <c:v>14.11</c:v>
                </c:pt>
                <c:pt idx="92">
                  <c:v>14.11</c:v>
                </c:pt>
                <c:pt idx="93">
                  <c:v>14.11</c:v>
                </c:pt>
                <c:pt idx="94">
                  <c:v>11.41</c:v>
                </c:pt>
                <c:pt idx="95">
                  <c:v>11.71</c:v>
                </c:pt>
                <c:pt idx="96">
                  <c:v>11.81</c:v>
                </c:pt>
                <c:pt idx="97">
                  <c:v>11.81</c:v>
                </c:pt>
                <c:pt idx="98">
                  <c:v>11.56</c:v>
                </c:pt>
                <c:pt idx="99">
                  <c:v>11.31</c:v>
                </c:pt>
                <c:pt idx="100">
                  <c:v>11.01</c:v>
                </c:pt>
                <c:pt idx="101">
                  <c:v>10.71</c:v>
                </c:pt>
                <c:pt idx="102">
                  <c:v>11.71</c:v>
                </c:pt>
                <c:pt idx="103">
                  <c:v>11.71</c:v>
                </c:pt>
                <c:pt idx="104">
                  <c:v>11.71</c:v>
                </c:pt>
                <c:pt idx="105">
                  <c:v>11.71</c:v>
                </c:pt>
              </c:numCache>
            </c:numRef>
          </c:val>
          <c:extLst>
            <c:ext xmlns:c16="http://schemas.microsoft.com/office/drawing/2014/chart" uri="{C3380CC4-5D6E-409C-BE32-E72D297353CC}">
              <c16:uniqueId val="{00000000-2F3D-4C7A-9EEB-6183F56889B6}"/>
            </c:ext>
          </c:extLst>
        </c:ser>
        <c:dLbls>
          <c:showLegendKey val="0"/>
          <c:showVal val="0"/>
          <c:showCatName val="0"/>
          <c:showSerName val="0"/>
          <c:showPercent val="0"/>
          <c:showBubbleSize val="0"/>
        </c:dLbls>
        <c:axId val="258296448"/>
        <c:axId val="258331008"/>
      </c:areaChart>
      <c:catAx>
        <c:axId val="258296448"/>
        <c:scaling>
          <c:orientation val="maxMin"/>
        </c:scaling>
        <c:delete val="0"/>
        <c:axPos val="b"/>
        <c:numFmt formatCode="General" sourceLinked="1"/>
        <c:majorTickMark val="out"/>
        <c:minorTickMark val="none"/>
        <c:tickLblPos val="nextTo"/>
        <c:crossAx val="258331008"/>
        <c:crosses val="autoZero"/>
        <c:auto val="1"/>
        <c:lblAlgn val="ctr"/>
        <c:lblOffset val="100"/>
        <c:noMultiLvlLbl val="0"/>
      </c:catAx>
      <c:valAx>
        <c:axId val="258331008"/>
        <c:scaling>
          <c:orientation val="minMax"/>
        </c:scaling>
        <c:delete val="0"/>
        <c:axPos val="r"/>
        <c:majorGridlines/>
        <c:numFmt formatCode="General" sourceLinked="1"/>
        <c:majorTickMark val="out"/>
        <c:minorTickMark val="none"/>
        <c:tickLblPos val="nextTo"/>
        <c:crossAx val="258296448"/>
        <c:crosses val="autoZero"/>
        <c:crossBetween val="midCat"/>
      </c:valAx>
    </c:plotArea>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Объемы новых размещений муниципальных облигаций по месяцам  ( в млрд. рублей)</a:t>
            </a:r>
          </a:p>
        </c:rich>
      </c:tx>
      <c:overlay val="0"/>
    </c:title>
    <c:autoTitleDeleted val="0"/>
    <c:plotArea>
      <c:layout/>
      <c:barChart>
        <c:barDir val="col"/>
        <c:grouping val="clustered"/>
        <c:varyColors val="0"/>
        <c:ser>
          <c:idx val="0"/>
          <c:order val="0"/>
          <c:invertIfNegative val="0"/>
          <c:cat>
            <c:strRef>
              <c:f>Лист7!$B$4:$B$110</c:f>
              <c:strCache>
                <c:ptCount val="107"/>
                <c:pt idx="0">
                  <c:v>30.09.2015</c:v>
                </c:pt>
                <c:pt idx="1">
                  <c:v>31.08.2015</c:v>
                </c:pt>
                <c:pt idx="2">
                  <c:v>31.07.2015</c:v>
                </c:pt>
                <c:pt idx="3">
                  <c:v>30.06.2015</c:v>
                </c:pt>
                <c:pt idx="4">
                  <c:v>29.05.2015</c:v>
                </c:pt>
                <c:pt idx="5">
                  <c:v>30.04.2015</c:v>
                </c:pt>
                <c:pt idx="6">
                  <c:v>31.03.2015</c:v>
                </c:pt>
                <c:pt idx="7">
                  <c:v>27.02.2015</c:v>
                </c:pt>
                <c:pt idx="8">
                  <c:v>30.01.2015</c:v>
                </c:pt>
                <c:pt idx="9">
                  <c:v>31.12.2014</c:v>
                </c:pt>
                <c:pt idx="10">
                  <c:v>28.11.2014</c:v>
                </c:pt>
                <c:pt idx="11">
                  <c:v>31.10.2014</c:v>
                </c:pt>
                <c:pt idx="12">
                  <c:v>30.09.2014</c:v>
                </c:pt>
                <c:pt idx="13">
                  <c:v>29.08.2014</c:v>
                </c:pt>
                <c:pt idx="14">
                  <c:v>31.07.2014</c:v>
                </c:pt>
                <c:pt idx="15">
                  <c:v>30.06.2014</c:v>
                </c:pt>
                <c:pt idx="16">
                  <c:v>30.05.2014</c:v>
                </c:pt>
                <c:pt idx="17">
                  <c:v>30.04.2014</c:v>
                </c:pt>
                <c:pt idx="18">
                  <c:v>31.03.2014</c:v>
                </c:pt>
                <c:pt idx="19">
                  <c:v>28.02.2014</c:v>
                </c:pt>
                <c:pt idx="20">
                  <c:v>31.01.2014</c:v>
                </c:pt>
                <c:pt idx="21">
                  <c:v>31.12.2013</c:v>
                </c:pt>
                <c:pt idx="22">
                  <c:v>29.11.2013</c:v>
                </c:pt>
                <c:pt idx="23">
                  <c:v>31.10.2013</c:v>
                </c:pt>
                <c:pt idx="24">
                  <c:v>30.09.2013</c:v>
                </c:pt>
                <c:pt idx="25">
                  <c:v>30.08.2013</c:v>
                </c:pt>
                <c:pt idx="26">
                  <c:v>31.07.2013</c:v>
                </c:pt>
                <c:pt idx="27">
                  <c:v>28.06.2013</c:v>
                </c:pt>
                <c:pt idx="28">
                  <c:v>31.05.2013</c:v>
                </c:pt>
                <c:pt idx="29">
                  <c:v>30.04.2013</c:v>
                </c:pt>
                <c:pt idx="30">
                  <c:v>29.03.2013</c:v>
                </c:pt>
                <c:pt idx="31">
                  <c:v>28.02.2013</c:v>
                </c:pt>
                <c:pt idx="32">
                  <c:v>31.01.2013</c:v>
                </c:pt>
                <c:pt idx="33">
                  <c:v>31.12.2012</c:v>
                </c:pt>
                <c:pt idx="34">
                  <c:v>30.11.2012</c:v>
                </c:pt>
                <c:pt idx="35">
                  <c:v>31.10.2012</c:v>
                </c:pt>
                <c:pt idx="36">
                  <c:v>28.09.2012</c:v>
                </c:pt>
                <c:pt idx="37">
                  <c:v>31.08.2012</c:v>
                </c:pt>
                <c:pt idx="38">
                  <c:v>31.07.2012</c:v>
                </c:pt>
                <c:pt idx="39">
                  <c:v>29.06.2012</c:v>
                </c:pt>
                <c:pt idx="40">
                  <c:v>31.05.2012</c:v>
                </c:pt>
                <c:pt idx="41">
                  <c:v>30.04.2012</c:v>
                </c:pt>
                <c:pt idx="42">
                  <c:v>30.03.2012</c:v>
                </c:pt>
                <c:pt idx="43">
                  <c:v>29.02.2012</c:v>
                </c:pt>
                <c:pt idx="44">
                  <c:v>31.01.2012</c:v>
                </c:pt>
                <c:pt idx="45">
                  <c:v>30.12.2011</c:v>
                </c:pt>
                <c:pt idx="46">
                  <c:v>30.11.2011</c:v>
                </c:pt>
                <c:pt idx="47">
                  <c:v>31.10.2011</c:v>
                </c:pt>
                <c:pt idx="48">
                  <c:v>30.09.2011</c:v>
                </c:pt>
                <c:pt idx="49">
                  <c:v>31.08.2011</c:v>
                </c:pt>
                <c:pt idx="50">
                  <c:v>29.07.2011</c:v>
                </c:pt>
                <c:pt idx="51">
                  <c:v>30.06.2011</c:v>
                </c:pt>
                <c:pt idx="52">
                  <c:v>31.05.2011</c:v>
                </c:pt>
                <c:pt idx="53">
                  <c:v>29.04.2011</c:v>
                </c:pt>
                <c:pt idx="54">
                  <c:v>31.03.2011</c:v>
                </c:pt>
                <c:pt idx="55">
                  <c:v>28.02.2011</c:v>
                </c:pt>
                <c:pt idx="56">
                  <c:v>31.01.2011</c:v>
                </c:pt>
                <c:pt idx="57">
                  <c:v>31.12.2010</c:v>
                </c:pt>
                <c:pt idx="58">
                  <c:v>30.11.2010</c:v>
                </c:pt>
                <c:pt idx="59">
                  <c:v>29.10.2010</c:v>
                </c:pt>
                <c:pt idx="60">
                  <c:v>30.09.2010</c:v>
                </c:pt>
                <c:pt idx="61">
                  <c:v>31.08.2010</c:v>
                </c:pt>
                <c:pt idx="62">
                  <c:v>30.07.2010</c:v>
                </c:pt>
                <c:pt idx="63">
                  <c:v>30.06.2010</c:v>
                </c:pt>
                <c:pt idx="64">
                  <c:v>31.05.2010</c:v>
                </c:pt>
                <c:pt idx="65">
                  <c:v>30.04.2010</c:v>
                </c:pt>
                <c:pt idx="66">
                  <c:v>31.03.2010</c:v>
                </c:pt>
                <c:pt idx="67">
                  <c:v>26.02.2010</c:v>
                </c:pt>
                <c:pt idx="68">
                  <c:v>29.01.2010</c:v>
                </c:pt>
                <c:pt idx="69">
                  <c:v>31.12.2009</c:v>
                </c:pt>
                <c:pt idx="70">
                  <c:v>30.11.2009</c:v>
                </c:pt>
                <c:pt idx="71">
                  <c:v>30.10.2009</c:v>
                </c:pt>
                <c:pt idx="72">
                  <c:v>30.09.2009</c:v>
                </c:pt>
                <c:pt idx="73">
                  <c:v>31.08.2009</c:v>
                </c:pt>
                <c:pt idx="74">
                  <c:v>31.07.2009</c:v>
                </c:pt>
                <c:pt idx="75">
                  <c:v>30.06.2009</c:v>
                </c:pt>
                <c:pt idx="76">
                  <c:v>29.05.2009</c:v>
                </c:pt>
                <c:pt idx="77">
                  <c:v>30.04.2009</c:v>
                </c:pt>
                <c:pt idx="78">
                  <c:v>31.03.2009</c:v>
                </c:pt>
                <c:pt idx="79">
                  <c:v>27.02.2009</c:v>
                </c:pt>
                <c:pt idx="80">
                  <c:v>30.01.2009</c:v>
                </c:pt>
                <c:pt idx="81">
                  <c:v>31.12.2008</c:v>
                </c:pt>
                <c:pt idx="82">
                  <c:v>28.11.2008</c:v>
                </c:pt>
                <c:pt idx="83">
                  <c:v>31.10.2008</c:v>
                </c:pt>
                <c:pt idx="84">
                  <c:v>30.09.2008</c:v>
                </c:pt>
                <c:pt idx="85">
                  <c:v>29.08.2008</c:v>
                </c:pt>
                <c:pt idx="86">
                  <c:v>31.07.2008</c:v>
                </c:pt>
                <c:pt idx="87">
                  <c:v>30.06.2008</c:v>
                </c:pt>
                <c:pt idx="88">
                  <c:v>30.05.2008</c:v>
                </c:pt>
                <c:pt idx="89">
                  <c:v>30.04.2008</c:v>
                </c:pt>
                <c:pt idx="90">
                  <c:v>31.03.2008</c:v>
                </c:pt>
                <c:pt idx="91">
                  <c:v>29.02.2008</c:v>
                </c:pt>
                <c:pt idx="92">
                  <c:v>31.01.2008</c:v>
                </c:pt>
                <c:pt idx="93">
                  <c:v>31.12.2007</c:v>
                </c:pt>
                <c:pt idx="94">
                  <c:v>30.11.2007</c:v>
                </c:pt>
                <c:pt idx="95">
                  <c:v>31.10.2007</c:v>
                </c:pt>
                <c:pt idx="96">
                  <c:v>28.09.2007</c:v>
                </c:pt>
                <c:pt idx="97">
                  <c:v>31.08.2007</c:v>
                </c:pt>
                <c:pt idx="98">
                  <c:v>31.07.2007</c:v>
                </c:pt>
                <c:pt idx="99">
                  <c:v>29.06.2007</c:v>
                </c:pt>
                <c:pt idx="100">
                  <c:v>31.05.2007</c:v>
                </c:pt>
                <c:pt idx="101">
                  <c:v>30.04.2007</c:v>
                </c:pt>
                <c:pt idx="102">
                  <c:v>30.03.2007</c:v>
                </c:pt>
                <c:pt idx="103">
                  <c:v>28.02.2007</c:v>
                </c:pt>
                <c:pt idx="104">
                  <c:v>31.01.2007</c:v>
                </c:pt>
                <c:pt idx="105">
                  <c:v>29.12.2006</c:v>
                </c:pt>
                <c:pt idx="106">
                  <c:v>30.11.2006</c:v>
                </c:pt>
              </c:strCache>
            </c:strRef>
          </c:cat>
          <c:val>
            <c:numRef>
              <c:f>Лист7!$C$4:$C$110</c:f>
              <c:numCache>
                <c:formatCode>General</c:formatCode>
                <c:ptCount val="107"/>
                <c:pt idx="0">
                  <c:v>19.3</c:v>
                </c:pt>
                <c:pt idx="1">
                  <c:v>12</c:v>
                </c:pt>
                <c:pt idx="2">
                  <c:v>15.25</c:v>
                </c:pt>
                <c:pt idx="3">
                  <c:v>11.5</c:v>
                </c:pt>
                <c:pt idx="4">
                  <c:v>5.8</c:v>
                </c:pt>
                <c:pt idx="5">
                  <c:v>1.5</c:v>
                </c:pt>
                <c:pt idx="6">
                  <c:v>0</c:v>
                </c:pt>
                <c:pt idx="7">
                  <c:v>0</c:v>
                </c:pt>
                <c:pt idx="8">
                  <c:v>0</c:v>
                </c:pt>
                <c:pt idx="9">
                  <c:v>1.7749999999999957</c:v>
                </c:pt>
                <c:pt idx="10">
                  <c:v>0</c:v>
                </c:pt>
                <c:pt idx="11">
                  <c:v>47.213000000000001</c:v>
                </c:pt>
                <c:pt idx="12">
                  <c:v>0</c:v>
                </c:pt>
                <c:pt idx="13">
                  <c:v>0</c:v>
                </c:pt>
                <c:pt idx="14">
                  <c:v>19.5</c:v>
                </c:pt>
                <c:pt idx="15">
                  <c:v>31.1</c:v>
                </c:pt>
                <c:pt idx="16">
                  <c:v>12</c:v>
                </c:pt>
                <c:pt idx="17">
                  <c:v>0</c:v>
                </c:pt>
                <c:pt idx="18">
                  <c:v>0</c:v>
                </c:pt>
                <c:pt idx="19">
                  <c:v>0</c:v>
                </c:pt>
                <c:pt idx="20">
                  <c:v>0</c:v>
                </c:pt>
                <c:pt idx="21">
                  <c:v>3.5</c:v>
                </c:pt>
                <c:pt idx="22">
                  <c:v>14</c:v>
                </c:pt>
                <c:pt idx="23">
                  <c:v>40.690000000000012</c:v>
                </c:pt>
                <c:pt idx="24">
                  <c:v>16</c:v>
                </c:pt>
                <c:pt idx="25">
                  <c:v>21.8</c:v>
                </c:pt>
                <c:pt idx="26">
                  <c:v>18.34</c:v>
                </c:pt>
                <c:pt idx="27">
                  <c:v>21.88</c:v>
                </c:pt>
                <c:pt idx="28">
                  <c:v>5</c:v>
                </c:pt>
                <c:pt idx="29">
                  <c:v>12.75</c:v>
                </c:pt>
                <c:pt idx="30">
                  <c:v>0</c:v>
                </c:pt>
                <c:pt idx="31">
                  <c:v>0</c:v>
                </c:pt>
                <c:pt idx="32">
                  <c:v>0</c:v>
                </c:pt>
                <c:pt idx="33">
                  <c:v>36.155000000000001</c:v>
                </c:pt>
                <c:pt idx="34">
                  <c:v>14.819000000000004</c:v>
                </c:pt>
                <c:pt idx="35">
                  <c:v>19.91</c:v>
                </c:pt>
                <c:pt idx="36">
                  <c:v>7.1084999999999985</c:v>
                </c:pt>
                <c:pt idx="37">
                  <c:v>22.19</c:v>
                </c:pt>
                <c:pt idx="38">
                  <c:v>2.8899999999999997</c:v>
                </c:pt>
                <c:pt idx="39">
                  <c:v>7.6529999999999845</c:v>
                </c:pt>
                <c:pt idx="40">
                  <c:v>7.98</c:v>
                </c:pt>
                <c:pt idx="41">
                  <c:v>0</c:v>
                </c:pt>
                <c:pt idx="42">
                  <c:v>0</c:v>
                </c:pt>
                <c:pt idx="43">
                  <c:v>0.70000000000000062</c:v>
                </c:pt>
                <c:pt idx="44">
                  <c:v>0</c:v>
                </c:pt>
                <c:pt idx="45">
                  <c:v>18.7958</c:v>
                </c:pt>
                <c:pt idx="46">
                  <c:v>11.229999999999999</c:v>
                </c:pt>
                <c:pt idx="47">
                  <c:v>0</c:v>
                </c:pt>
                <c:pt idx="48">
                  <c:v>0.4</c:v>
                </c:pt>
                <c:pt idx="49">
                  <c:v>0</c:v>
                </c:pt>
                <c:pt idx="50">
                  <c:v>0</c:v>
                </c:pt>
                <c:pt idx="51">
                  <c:v>13.2</c:v>
                </c:pt>
                <c:pt idx="52">
                  <c:v>8</c:v>
                </c:pt>
                <c:pt idx="53">
                  <c:v>1.8220000000000001</c:v>
                </c:pt>
                <c:pt idx="54">
                  <c:v>0</c:v>
                </c:pt>
                <c:pt idx="55">
                  <c:v>0</c:v>
                </c:pt>
                <c:pt idx="56">
                  <c:v>0.5</c:v>
                </c:pt>
                <c:pt idx="57">
                  <c:v>12.029</c:v>
                </c:pt>
                <c:pt idx="58">
                  <c:v>5.0343999999999998</c:v>
                </c:pt>
                <c:pt idx="59">
                  <c:v>15.734400000000001</c:v>
                </c:pt>
                <c:pt idx="60">
                  <c:v>24.045399999999912</c:v>
                </c:pt>
                <c:pt idx="61">
                  <c:v>1.2</c:v>
                </c:pt>
                <c:pt idx="62">
                  <c:v>1.1000000000000001</c:v>
                </c:pt>
                <c:pt idx="63">
                  <c:v>4.8</c:v>
                </c:pt>
                <c:pt idx="64">
                  <c:v>2</c:v>
                </c:pt>
                <c:pt idx="65">
                  <c:v>9.8083000000000009</c:v>
                </c:pt>
                <c:pt idx="66">
                  <c:v>34.026200000000003</c:v>
                </c:pt>
                <c:pt idx="67">
                  <c:v>0</c:v>
                </c:pt>
                <c:pt idx="68">
                  <c:v>0</c:v>
                </c:pt>
                <c:pt idx="69">
                  <c:v>15.566600000000006</c:v>
                </c:pt>
                <c:pt idx="70">
                  <c:v>10.7</c:v>
                </c:pt>
                <c:pt idx="71">
                  <c:v>0</c:v>
                </c:pt>
                <c:pt idx="72">
                  <c:v>21.4558</c:v>
                </c:pt>
                <c:pt idx="73">
                  <c:v>4.9249999999999945</c:v>
                </c:pt>
                <c:pt idx="74">
                  <c:v>7.7439</c:v>
                </c:pt>
                <c:pt idx="75">
                  <c:v>21.205699999999901</c:v>
                </c:pt>
                <c:pt idx="76">
                  <c:v>8.3230000000000004</c:v>
                </c:pt>
                <c:pt idx="77">
                  <c:v>22.994999999999987</c:v>
                </c:pt>
                <c:pt idx="78">
                  <c:v>5.3360000000000003</c:v>
                </c:pt>
                <c:pt idx="79">
                  <c:v>0.93880000000000063</c:v>
                </c:pt>
                <c:pt idx="80">
                  <c:v>1.4169999999999949</c:v>
                </c:pt>
                <c:pt idx="81">
                  <c:v>18.3</c:v>
                </c:pt>
                <c:pt idx="82">
                  <c:v>2.5</c:v>
                </c:pt>
                <c:pt idx="83">
                  <c:v>0</c:v>
                </c:pt>
                <c:pt idx="84">
                  <c:v>1</c:v>
                </c:pt>
                <c:pt idx="85">
                  <c:v>9</c:v>
                </c:pt>
                <c:pt idx="86">
                  <c:v>5.6</c:v>
                </c:pt>
                <c:pt idx="87">
                  <c:v>28.64</c:v>
                </c:pt>
                <c:pt idx="88">
                  <c:v>7.13</c:v>
                </c:pt>
                <c:pt idx="89">
                  <c:v>10.65</c:v>
                </c:pt>
                <c:pt idx="90">
                  <c:v>1.8900000000000001</c:v>
                </c:pt>
                <c:pt idx="91">
                  <c:v>2.71</c:v>
                </c:pt>
                <c:pt idx="92">
                  <c:v>0</c:v>
                </c:pt>
                <c:pt idx="93">
                  <c:v>11.5</c:v>
                </c:pt>
                <c:pt idx="94">
                  <c:v>4.8899999999999997</c:v>
                </c:pt>
                <c:pt idx="95">
                  <c:v>0</c:v>
                </c:pt>
                <c:pt idx="96">
                  <c:v>0</c:v>
                </c:pt>
                <c:pt idx="97">
                  <c:v>0.60000000000000064</c:v>
                </c:pt>
                <c:pt idx="98">
                  <c:v>4.75</c:v>
                </c:pt>
                <c:pt idx="99">
                  <c:v>5.3</c:v>
                </c:pt>
                <c:pt idx="100">
                  <c:v>1.5</c:v>
                </c:pt>
                <c:pt idx="101">
                  <c:v>22</c:v>
                </c:pt>
                <c:pt idx="102">
                  <c:v>0</c:v>
                </c:pt>
                <c:pt idx="103">
                  <c:v>0</c:v>
                </c:pt>
                <c:pt idx="104">
                  <c:v>1</c:v>
                </c:pt>
                <c:pt idx="105">
                  <c:v>2.96</c:v>
                </c:pt>
                <c:pt idx="106">
                  <c:v>4.4000000000000004</c:v>
                </c:pt>
              </c:numCache>
            </c:numRef>
          </c:val>
          <c:extLst>
            <c:ext xmlns:c16="http://schemas.microsoft.com/office/drawing/2014/chart" uri="{C3380CC4-5D6E-409C-BE32-E72D297353CC}">
              <c16:uniqueId val="{00000000-7127-4A54-8C9D-D63763E928ED}"/>
            </c:ext>
          </c:extLst>
        </c:ser>
        <c:dLbls>
          <c:showLegendKey val="0"/>
          <c:showVal val="0"/>
          <c:showCatName val="0"/>
          <c:showSerName val="0"/>
          <c:showPercent val="0"/>
          <c:showBubbleSize val="0"/>
        </c:dLbls>
        <c:gapWidth val="150"/>
        <c:axId val="258342272"/>
        <c:axId val="276399232"/>
      </c:barChart>
      <c:catAx>
        <c:axId val="258342272"/>
        <c:scaling>
          <c:orientation val="maxMin"/>
        </c:scaling>
        <c:delete val="0"/>
        <c:axPos val="b"/>
        <c:numFmt formatCode="General" sourceLinked="0"/>
        <c:majorTickMark val="out"/>
        <c:minorTickMark val="none"/>
        <c:tickLblPos val="nextTo"/>
        <c:crossAx val="276399232"/>
        <c:crosses val="autoZero"/>
        <c:auto val="1"/>
        <c:lblAlgn val="ctr"/>
        <c:lblOffset val="100"/>
        <c:noMultiLvlLbl val="0"/>
      </c:catAx>
      <c:valAx>
        <c:axId val="276399232"/>
        <c:scaling>
          <c:orientation val="minMax"/>
        </c:scaling>
        <c:delete val="0"/>
        <c:axPos val="r"/>
        <c:majorGridlines/>
        <c:numFmt formatCode="General" sourceLinked="1"/>
        <c:majorTickMark val="out"/>
        <c:minorTickMark val="none"/>
        <c:tickLblPos val="nextTo"/>
        <c:crossAx val="25834227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a:t>
            </a:r>
            <a:r>
              <a:rPr lang="ru-RU" baseline="0"/>
              <a:t> инвесторов на вторичном рынке муниципальных облигаций</a:t>
            </a:r>
            <a:r>
              <a:rPr lang="ru-RU"/>
              <a:t> </a:t>
            </a:r>
          </a:p>
        </c:rich>
      </c:tx>
      <c:overlay val="0"/>
    </c:title>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Лист3!$A$4:$A$9</c:f>
              <c:strCache>
                <c:ptCount val="6"/>
                <c:pt idx="0">
                  <c:v>Дилеры</c:v>
                </c:pt>
                <c:pt idx="1">
                  <c:v>Дочерние компании нерезидентов</c:v>
                </c:pt>
                <c:pt idx="2">
                  <c:v>ДУ</c:v>
                </c:pt>
                <c:pt idx="3">
                  <c:v>Нерезиденты</c:v>
                </c:pt>
                <c:pt idx="4">
                  <c:v>Физические лица</c:v>
                </c:pt>
                <c:pt idx="5">
                  <c:v>Юридические лица</c:v>
                </c:pt>
              </c:strCache>
            </c:strRef>
          </c:cat>
          <c:val>
            <c:numRef>
              <c:f>Лист3!$M$4:$M$9</c:f>
              <c:numCache>
                <c:formatCode>0%</c:formatCode>
                <c:ptCount val="6"/>
                <c:pt idx="0">
                  <c:v>0.44585022054280532</c:v>
                </c:pt>
                <c:pt idx="1">
                  <c:v>6.0587938677606834E-4</c:v>
                </c:pt>
                <c:pt idx="2">
                  <c:v>0.15225318363772625</c:v>
                </c:pt>
                <c:pt idx="3">
                  <c:v>0.11540302216378176</c:v>
                </c:pt>
                <c:pt idx="4">
                  <c:v>4.742993555836298E-2</c:v>
                </c:pt>
                <c:pt idx="5">
                  <c:v>0.2384577587105487</c:v>
                </c:pt>
              </c:numCache>
            </c:numRef>
          </c:val>
          <c:extLst>
            <c:ext xmlns:c16="http://schemas.microsoft.com/office/drawing/2014/chart" uri="{C3380CC4-5D6E-409C-BE32-E72D297353CC}">
              <c16:uniqueId val="{00000000-2901-454A-A18F-29D7E087B59D}"/>
            </c:ext>
          </c:extLst>
        </c:ser>
        <c:dLbls>
          <c:showLegendKey val="0"/>
          <c:showVal val="0"/>
          <c:showCatName val="0"/>
          <c:showSerName val="0"/>
          <c:showPercent val="0"/>
          <c:showBubbleSize val="0"/>
          <c:showLeaderLines val="1"/>
        </c:dLbls>
        <c:firstSliceAng val="0"/>
      </c:pieChart>
    </c:plotArea>
    <c:legend>
      <c:legendPos val="b"/>
      <c:overlay val="0"/>
      <c:txPr>
        <a:bodyPr/>
        <a:lstStyle/>
        <a:p>
          <a:pPr rtl="0">
            <a:defRPr/>
          </a:pPr>
          <a:endParaRPr lang="ru-RU"/>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a:t>
            </a:r>
            <a:r>
              <a:rPr lang="ru-RU" baseline="0"/>
              <a:t> государственного долга субъектов федерации РФ на 1 сентября 2015 года</a:t>
            </a:r>
            <a:endParaRPr lang="ru-RU"/>
          </a:p>
        </c:rich>
      </c:tx>
      <c:layout>
        <c:manualLayout>
          <c:xMode val="edge"/>
          <c:yMode val="edge"/>
          <c:x val="0.11947216172446525"/>
          <c:y val="1.7220215894065881E-2"/>
        </c:manualLayout>
      </c:layout>
      <c:overlay val="0"/>
    </c:title>
    <c:autoTitleDeleted val="0"/>
    <c:plotArea>
      <c:layout/>
      <c:pieChart>
        <c:varyColors val="1"/>
        <c:ser>
          <c:idx val="0"/>
          <c:order val="0"/>
          <c:dLbls>
            <c:spPr>
              <a:noFill/>
              <a:ln>
                <a:noFill/>
              </a:ln>
              <a:effectLst/>
            </c:spPr>
            <c:txPr>
              <a:bodyPr/>
              <a:lstStyle/>
              <a:p>
                <a:pPr>
                  <a:defRPr sz="1400"/>
                </a:pPr>
                <a:endParaRPr lang="ru-RU"/>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Лист2!$C$2:$G$2</c:f>
              <c:strCache>
                <c:ptCount val="5"/>
                <c:pt idx="0">
                  <c:v>Государственные ценные бумаги субъектов Российской Федерации</c:v>
                </c:pt>
                <c:pt idx="1">
                  <c:v>Коммерческие кредиты</c:v>
                </c:pt>
                <c:pt idx="2">
                  <c:v>Государственные гарантии </c:v>
                </c:pt>
                <c:pt idx="3">
                  <c:v>Бюджетные кредиты,</c:v>
                </c:pt>
                <c:pt idx="4">
                  <c:v>Иные долговые обязательства субъектов Российской Федерации</c:v>
                </c:pt>
              </c:strCache>
            </c:strRef>
          </c:cat>
          <c:val>
            <c:numRef>
              <c:f>Лист2!$C$3:$G$3</c:f>
              <c:numCache>
                <c:formatCode>#,##0.00</c:formatCode>
                <c:ptCount val="5"/>
                <c:pt idx="0">
                  <c:v>429802628</c:v>
                </c:pt>
                <c:pt idx="1">
                  <c:v>806286479.98000002</c:v>
                </c:pt>
                <c:pt idx="2">
                  <c:v>108158691.40000002</c:v>
                </c:pt>
                <c:pt idx="3">
                  <c:v>771717474.32999897</c:v>
                </c:pt>
                <c:pt idx="4">
                  <c:v>495940.26</c:v>
                </c:pt>
              </c:numCache>
            </c:numRef>
          </c:val>
          <c:extLst>
            <c:ext xmlns:c16="http://schemas.microsoft.com/office/drawing/2014/chart" uri="{C3380CC4-5D6E-409C-BE32-E72D297353CC}">
              <c16:uniqueId val="{00000000-CCF7-4C86-8FE5-25F3D9C17754}"/>
            </c:ext>
          </c:extLst>
        </c:ser>
        <c:dLbls>
          <c:showLegendKey val="0"/>
          <c:showVal val="0"/>
          <c:showCatName val="0"/>
          <c:showSerName val="0"/>
          <c:showPercent val="0"/>
          <c:showBubbleSize val="0"/>
          <c:showLeaderLines val="1"/>
        </c:dLbls>
        <c:firstSliceAng val="0"/>
      </c:pieChart>
      <c:spPr>
        <a:noFill/>
        <a:ln w="25402">
          <a:noFill/>
        </a:ln>
      </c:spPr>
    </c:plotArea>
    <c:legend>
      <c:legendPos val="r"/>
      <c:overlay val="0"/>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инвесторов в муниципальные облигации США на 1 квартала 2015 года</a:t>
            </a:r>
          </a:p>
        </c:rich>
      </c:tx>
      <c:overlay val="0"/>
    </c:title>
    <c:autoTitleDeleted val="0"/>
    <c:plotArea>
      <c:layout/>
      <c:pieChart>
        <c:varyColors val="1"/>
        <c:ser>
          <c:idx val="0"/>
          <c:order val="0"/>
          <c:explosion val="25"/>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Лист4!$C$3:$G$3</c:f>
              <c:strCache>
                <c:ptCount val="5"/>
                <c:pt idx="0">
                  <c:v>Individuals*</c:v>
                </c:pt>
                <c:pt idx="1">
                  <c:v>Mutual Funds1</c:v>
                </c:pt>
                <c:pt idx="2">
                  <c:v>Banking Institutions2</c:v>
                </c:pt>
                <c:pt idx="3">
                  <c:v>Insurance Companies3</c:v>
                </c:pt>
                <c:pt idx="4">
                  <c:v>Other4</c:v>
                </c:pt>
              </c:strCache>
            </c:strRef>
          </c:cat>
          <c:val>
            <c:numRef>
              <c:f>Лист4!$C$31:$G$31</c:f>
              <c:numCache>
                <c:formatCode>#,##0.0</c:formatCode>
                <c:ptCount val="5"/>
                <c:pt idx="0">
                  <c:v>1554.4270000000001</c:v>
                </c:pt>
                <c:pt idx="1">
                  <c:v>1046.636</c:v>
                </c:pt>
                <c:pt idx="2">
                  <c:v>492.45400000000001</c:v>
                </c:pt>
                <c:pt idx="3">
                  <c:v>468.37400000000002</c:v>
                </c:pt>
                <c:pt idx="4">
                  <c:v>132.15700000000001</c:v>
                </c:pt>
              </c:numCache>
            </c:numRef>
          </c:val>
          <c:extLst>
            <c:ext xmlns:c16="http://schemas.microsoft.com/office/drawing/2014/chart" uri="{C3380CC4-5D6E-409C-BE32-E72D297353CC}">
              <c16:uniqueId val="{00000000-D1B1-4FFF-B646-07B773F604C1}"/>
            </c:ext>
          </c:extLst>
        </c:ser>
        <c:dLbls>
          <c:showLegendKey val="0"/>
          <c:showVal val="0"/>
          <c:showCatName val="0"/>
          <c:showSerName val="0"/>
          <c:showPercent val="0"/>
          <c:showBubbleSize val="0"/>
          <c:showLeaderLines val="0"/>
        </c:dLbls>
        <c:firstSliceAng val="0"/>
      </c:pieChart>
    </c:plotArea>
    <c:legend>
      <c:legendPos val="b"/>
      <c:overlay val="0"/>
      <c:txPr>
        <a:bodyPr/>
        <a:lstStyle/>
        <a:p>
          <a:pPr rtl="0">
            <a:defRPr/>
          </a:pPr>
          <a:endParaRPr lang="ru-RU"/>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государственного долга субъектов федерации</a:t>
            </a:r>
          </a:p>
        </c:rich>
      </c:tx>
      <c:overlay val="0"/>
    </c:title>
    <c:autoTitleDeleted val="0"/>
    <c:plotArea>
      <c:layout/>
      <c:barChart>
        <c:barDir val="col"/>
        <c:grouping val="stacked"/>
        <c:varyColors val="0"/>
        <c:ser>
          <c:idx val="0"/>
          <c:order val="0"/>
          <c:tx>
            <c:strRef>
              <c:f>Лист5!$B$5</c:f>
              <c:strCache>
                <c:ptCount val="1"/>
                <c:pt idx="0">
                  <c:v>Облигации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Лист5!$C$4:$F$4</c:f>
              <c:numCache>
                <c:formatCode>General</c:formatCode>
                <c:ptCount val="4"/>
                <c:pt idx="0">
                  <c:v>2011</c:v>
                </c:pt>
                <c:pt idx="1">
                  <c:v>2012</c:v>
                </c:pt>
                <c:pt idx="2">
                  <c:v>2013</c:v>
                </c:pt>
                <c:pt idx="3">
                  <c:v>2014</c:v>
                </c:pt>
              </c:numCache>
            </c:numRef>
          </c:cat>
          <c:val>
            <c:numRef>
              <c:f>Лист5!$C$5:$F$5</c:f>
              <c:numCache>
                <c:formatCode>General</c:formatCode>
                <c:ptCount val="4"/>
                <c:pt idx="0">
                  <c:v>386.6</c:v>
                </c:pt>
                <c:pt idx="1">
                  <c:v>406.8</c:v>
                </c:pt>
                <c:pt idx="2">
                  <c:v>484.4</c:v>
                </c:pt>
                <c:pt idx="3">
                  <c:v>451</c:v>
                </c:pt>
              </c:numCache>
            </c:numRef>
          </c:val>
          <c:extLst>
            <c:ext xmlns:c16="http://schemas.microsoft.com/office/drawing/2014/chart" uri="{C3380CC4-5D6E-409C-BE32-E72D297353CC}">
              <c16:uniqueId val="{00000000-AC40-433B-91E5-A147C986697D}"/>
            </c:ext>
          </c:extLst>
        </c:ser>
        <c:ser>
          <c:idx val="1"/>
          <c:order val="1"/>
          <c:tx>
            <c:strRef>
              <c:f>Лист5!$B$6</c:f>
              <c:strCache>
                <c:ptCount val="1"/>
                <c:pt idx="0">
                  <c:v>Банковские кредиты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Лист5!$C$4:$F$4</c:f>
              <c:numCache>
                <c:formatCode>General</c:formatCode>
                <c:ptCount val="4"/>
                <c:pt idx="0">
                  <c:v>2011</c:v>
                </c:pt>
                <c:pt idx="1">
                  <c:v>2012</c:v>
                </c:pt>
                <c:pt idx="2">
                  <c:v>2013</c:v>
                </c:pt>
                <c:pt idx="3">
                  <c:v>2014</c:v>
                </c:pt>
              </c:numCache>
            </c:numRef>
          </c:cat>
          <c:val>
            <c:numRef>
              <c:f>Лист5!$C$6:$F$6</c:f>
              <c:numCache>
                <c:formatCode>General</c:formatCode>
                <c:ptCount val="4"/>
                <c:pt idx="0">
                  <c:v>413.1</c:v>
                </c:pt>
                <c:pt idx="1">
                  <c:v>488.7</c:v>
                </c:pt>
                <c:pt idx="2">
                  <c:v>531.79999999999995</c:v>
                </c:pt>
                <c:pt idx="3">
                  <c:v>740.1</c:v>
                </c:pt>
              </c:numCache>
            </c:numRef>
          </c:val>
          <c:extLst>
            <c:ext xmlns:c16="http://schemas.microsoft.com/office/drawing/2014/chart" uri="{C3380CC4-5D6E-409C-BE32-E72D297353CC}">
              <c16:uniqueId val="{00000001-AC40-433B-91E5-A147C986697D}"/>
            </c:ext>
          </c:extLst>
        </c:ser>
        <c:ser>
          <c:idx val="2"/>
          <c:order val="2"/>
          <c:tx>
            <c:strRef>
              <c:f>Лист5!$B$7</c:f>
              <c:strCache>
                <c:ptCount val="1"/>
                <c:pt idx="0">
                  <c:v>Бюджетные кредиты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Лист5!$C$4:$F$4</c:f>
              <c:numCache>
                <c:formatCode>General</c:formatCode>
                <c:ptCount val="4"/>
                <c:pt idx="0">
                  <c:v>2011</c:v>
                </c:pt>
                <c:pt idx="1">
                  <c:v>2012</c:v>
                </c:pt>
                <c:pt idx="2">
                  <c:v>2013</c:v>
                </c:pt>
                <c:pt idx="3">
                  <c:v>2014</c:v>
                </c:pt>
              </c:numCache>
            </c:numRef>
          </c:cat>
          <c:val>
            <c:numRef>
              <c:f>Лист5!$C$7:$F$7</c:f>
              <c:numCache>
                <c:formatCode>General</c:formatCode>
                <c:ptCount val="4"/>
                <c:pt idx="0">
                  <c:v>379.6</c:v>
                </c:pt>
                <c:pt idx="1">
                  <c:v>542</c:v>
                </c:pt>
                <c:pt idx="2">
                  <c:v>824.7</c:v>
                </c:pt>
                <c:pt idx="3">
                  <c:v>1071.5</c:v>
                </c:pt>
              </c:numCache>
            </c:numRef>
          </c:val>
          <c:extLst>
            <c:ext xmlns:c16="http://schemas.microsoft.com/office/drawing/2014/chart" uri="{C3380CC4-5D6E-409C-BE32-E72D297353CC}">
              <c16:uniqueId val="{00000002-AC40-433B-91E5-A147C986697D}"/>
            </c:ext>
          </c:extLst>
        </c:ser>
        <c:ser>
          <c:idx val="3"/>
          <c:order val="3"/>
          <c:tx>
            <c:strRef>
              <c:f>Лист5!$B$8</c:f>
              <c:strCache>
                <c:ptCount val="1"/>
                <c:pt idx="0">
                  <c:v>Гарантии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Лист5!$C$4:$F$4</c:f>
              <c:numCache>
                <c:formatCode>General</c:formatCode>
                <c:ptCount val="4"/>
                <c:pt idx="0">
                  <c:v>2011</c:v>
                </c:pt>
                <c:pt idx="1">
                  <c:v>2012</c:v>
                </c:pt>
                <c:pt idx="2">
                  <c:v>2013</c:v>
                </c:pt>
                <c:pt idx="3">
                  <c:v>2014</c:v>
                </c:pt>
              </c:numCache>
            </c:numRef>
          </c:cat>
          <c:val>
            <c:numRef>
              <c:f>Лист5!$C$8:$F$8</c:f>
              <c:numCache>
                <c:formatCode>General</c:formatCode>
                <c:ptCount val="4"/>
                <c:pt idx="0">
                  <c:v>226</c:v>
                </c:pt>
                <c:pt idx="1">
                  <c:v>159.30000000000001</c:v>
                </c:pt>
                <c:pt idx="2">
                  <c:v>185.5</c:v>
                </c:pt>
                <c:pt idx="3">
                  <c:v>139.6</c:v>
                </c:pt>
              </c:numCache>
            </c:numRef>
          </c:val>
          <c:extLst>
            <c:ext xmlns:c16="http://schemas.microsoft.com/office/drawing/2014/chart" uri="{C3380CC4-5D6E-409C-BE32-E72D297353CC}">
              <c16:uniqueId val="{00000003-AC40-433B-91E5-A147C986697D}"/>
            </c:ext>
          </c:extLst>
        </c:ser>
        <c:dLbls>
          <c:showLegendKey val="0"/>
          <c:showVal val="0"/>
          <c:showCatName val="0"/>
          <c:showSerName val="0"/>
          <c:showPercent val="0"/>
          <c:showBubbleSize val="0"/>
        </c:dLbls>
        <c:gapWidth val="150"/>
        <c:overlap val="100"/>
        <c:axId val="177745280"/>
        <c:axId val="177751168"/>
      </c:barChart>
      <c:catAx>
        <c:axId val="177745280"/>
        <c:scaling>
          <c:orientation val="minMax"/>
        </c:scaling>
        <c:delete val="0"/>
        <c:axPos val="b"/>
        <c:numFmt formatCode="General" sourceLinked="1"/>
        <c:majorTickMark val="out"/>
        <c:minorTickMark val="none"/>
        <c:tickLblPos val="nextTo"/>
        <c:crossAx val="177751168"/>
        <c:crosses val="autoZero"/>
        <c:auto val="1"/>
        <c:lblAlgn val="ctr"/>
        <c:lblOffset val="100"/>
        <c:noMultiLvlLbl val="0"/>
      </c:catAx>
      <c:valAx>
        <c:axId val="177751168"/>
        <c:scaling>
          <c:orientation val="minMax"/>
        </c:scaling>
        <c:delete val="0"/>
        <c:axPos val="l"/>
        <c:majorGridlines/>
        <c:numFmt formatCode="General" sourceLinked="1"/>
        <c:majorTickMark val="out"/>
        <c:minorTickMark val="none"/>
        <c:tickLblPos val="nextTo"/>
        <c:crossAx val="17774528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государственного долга Новосибирской области  (в млн.</a:t>
            </a:r>
            <a:r>
              <a:rPr lang="ru-RU" baseline="0"/>
              <a:t> рублей)</a:t>
            </a:r>
            <a:endParaRPr lang="ru-RU"/>
          </a:p>
        </c:rich>
      </c:tx>
      <c:layout>
        <c:manualLayout>
          <c:xMode val="edge"/>
          <c:yMode val="edge"/>
          <c:x val="6.8168286781741874E-2"/>
          <c:y val="2.3469483233024863E-2"/>
        </c:manualLayout>
      </c:layout>
      <c:overlay val="0"/>
      <c:spPr>
        <a:noFill/>
        <a:ln w="25386">
          <a:noFill/>
        </a:ln>
      </c:spPr>
    </c:title>
    <c:autoTitleDeleted val="0"/>
    <c:plotArea>
      <c:layout/>
      <c:barChart>
        <c:barDir val="col"/>
        <c:grouping val="clustered"/>
        <c:varyColors val="0"/>
        <c:ser>
          <c:idx val="0"/>
          <c:order val="0"/>
          <c:tx>
            <c:strRef>
              <c:f>Лист4!$B$2</c:f>
              <c:strCache>
                <c:ptCount val="1"/>
                <c:pt idx="0">
                  <c:v>Кредиты </c:v>
                </c:pt>
              </c:strCache>
            </c:strRef>
          </c:tx>
          <c:spPr>
            <a:solidFill>
              <a:srgbClr val="4F81BD"/>
            </a:solidFill>
            <a:ln w="25386">
              <a:noFill/>
            </a:ln>
          </c:spPr>
          <c:invertIfNegative val="0"/>
          <c:dLbls>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Лист4!$A$3:$A$8</c:f>
              <c:numCache>
                <c:formatCode>General</c:formatCode>
                <c:ptCount val="6"/>
                <c:pt idx="0">
                  <c:v>2011</c:v>
                </c:pt>
                <c:pt idx="1">
                  <c:v>2012</c:v>
                </c:pt>
                <c:pt idx="2">
                  <c:v>2013</c:v>
                </c:pt>
                <c:pt idx="3">
                  <c:v>2014</c:v>
                </c:pt>
                <c:pt idx="4">
                  <c:v>2015</c:v>
                </c:pt>
                <c:pt idx="5" formatCode="dd/mm/yyyy">
                  <c:v>42125</c:v>
                </c:pt>
              </c:numCache>
            </c:numRef>
          </c:cat>
          <c:val>
            <c:numRef>
              <c:f>Лист4!$B$3:$B$8</c:f>
              <c:numCache>
                <c:formatCode>General</c:formatCode>
                <c:ptCount val="6"/>
                <c:pt idx="0">
                  <c:v>1790</c:v>
                </c:pt>
                <c:pt idx="1">
                  <c:v>350</c:v>
                </c:pt>
                <c:pt idx="2">
                  <c:v>5700</c:v>
                </c:pt>
                <c:pt idx="3">
                  <c:v>12430</c:v>
                </c:pt>
                <c:pt idx="4">
                  <c:v>14640</c:v>
                </c:pt>
                <c:pt idx="5">
                  <c:v>8260</c:v>
                </c:pt>
              </c:numCache>
            </c:numRef>
          </c:val>
          <c:extLst>
            <c:ext xmlns:c16="http://schemas.microsoft.com/office/drawing/2014/chart" uri="{C3380CC4-5D6E-409C-BE32-E72D297353CC}">
              <c16:uniqueId val="{00000000-1972-487A-BAFC-86B5970C646D}"/>
            </c:ext>
          </c:extLst>
        </c:ser>
        <c:ser>
          <c:idx val="1"/>
          <c:order val="1"/>
          <c:tx>
            <c:strRef>
              <c:f>Лист4!$C$2</c:f>
              <c:strCache>
                <c:ptCount val="1"/>
                <c:pt idx="0">
                  <c:v>Бюджетные кредиты </c:v>
                </c:pt>
              </c:strCache>
            </c:strRef>
          </c:tx>
          <c:spPr>
            <a:solidFill>
              <a:srgbClr val="9BBB59"/>
            </a:solidFill>
            <a:ln w="25386">
              <a:noFill/>
            </a:ln>
          </c:spPr>
          <c:invertIfNegative val="0"/>
          <c:dLbls>
            <c:dLbl>
              <c:idx val="0"/>
              <c:layout>
                <c:manualLayout>
                  <c:x val="-2.0387359836901132E-3"/>
                  <c:y val="-4.4755251326872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2-487A-BAFC-86B5970C646D}"/>
                </c:ext>
              </c:extLst>
            </c:dLbl>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Лист4!$A$3:$A$8</c:f>
              <c:numCache>
                <c:formatCode>General</c:formatCode>
                <c:ptCount val="6"/>
                <c:pt idx="0">
                  <c:v>2011</c:v>
                </c:pt>
                <c:pt idx="1">
                  <c:v>2012</c:v>
                </c:pt>
                <c:pt idx="2">
                  <c:v>2013</c:v>
                </c:pt>
                <c:pt idx="3">
                  <c:v>2014</c:v>
                </c:pt>
                <c:pt idx="4">
                  <c:v>2015</c:v>
                </c:pt>
                <c:pt idx="5" formatCode="dd/mm/yyyy">
                  <c:v>42125</c:v>
                </c:pt>
              </c:numCache>
            </c:numRef>
          </c:cat>
          <c:val>
            <c:numRef>
              <c:f>Лист4!$C$3:$C$8</c:f>
              <c:numCache>
                <c:formatCode>General</c:formatCode>
                <c:ptCount val="6"/>
                <c:pt idx="0">
                  <c:v>2721.3</c:v>
                </c:pt>
                <c:pt idx="1">
                  <c:v>5921.3</c:v>
                </c:pt>
                <c:pt idx="2">
                  <c:v>5623.9</c:v>
                </c:pt>
                <c:pt idx="3">
                  <c:v>6953.9</c:v>
                </c:pt>
                <c:pt idx="4">
                  <c:v>9188.1</c:v>
                </c:pt>
                <c:pt idx="5">
                  <c:v>16835.099999999951</c:v>
                </c:pt>
              </c:numCache>
            </c:numRef>
          </c:val>
          <c:extLst>
            <c:ext xmlns:c16="http://schemas.microsoft.com/office/drawing/2014/chart" uri="{C3380CC4-5D6E-409C-BE32-E72D297353CC}">
              <c16:uniqueId val="{00000002-1972-487A-BAFC-86B5970C646D}"/>
            </c:ext>
          </c:extLst>
        </c:ser>
        <c:ser>
          <c:idx val="2"/>
          <c:order val="2"/>
          <c:tx>
            <c:strRef>
              <c:f>Лист4!$D$2</c:f>
              <c:strCache>
                <c:ptCount val="1"/>
                <c:pt idx="0">
                  <c:v>Государственные гарантии</c:v>
                </c:pt>
              </c:strCache>
            </c:strRef>
          </c:tx>
          <c:spPr>
            <a:solidFill>
              <a:srgbClr val="4BACC6"/>
            </a:solidFill>
            <a:ln w="25386">
              <a:noFill/>
            </a:ln>
          </c:spPr>
          <c:invertIfNegative val="0"/>
          <c:dLbls>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Лист4!$A$3:$A$8</c:f>
              <c:numCache>
                <c:formatCode>General</c:formatCode>
                <c:ptCount val="6"/>
                <c:pt idx="0">
                  <c:v>2011</c:v>
                </c:pt>
                <c:pt idx="1">
                  <c:v>2012</c:v>
                </c:pt>
                <c:pt idx="2">
                  <c:v>2013</c:v>
                </c:pt>
                <c:pt idx="3">
                  <c:v>2014</c:v>
                </c:pt>
                <c:pt idx="4">
                  <c:v>2015</c:v>
                </c:pt>
                <c:pt idx="5" formatCode="dd/mm/yyyy">
                  <c:v>42125</c:v>
                </c:pt>
              </c:numCache>
            </c:numRef>
          </c:cat>
          <c:val>
            <c:numRef>
              <c:f>Лист4!$D$3:$D$8</c:f>
              <c:numCache>
                <c:formatCode>General</c:formatCode>
                <c:ptCount val="6"/>
                <c:pt idx="1">
                  <c:v>530</c:v>
                </c:pt>
                <c:pt idx="2">
                  <c:v>630</c:v>
                </c:pt>
                <c:pt idx="3">
                  <c:v>100</c:v>
                </c:pt>
              </c:numCache>
            </c:numRef>
          </c:val>
          <c:extLst>
            <c:ext xmlns:c16="http://schemas.microsoft.com/office/drawing/2014/chart" uri="{C3380CC4-5D6E-409C-BE32-E72D297353CC}">
              <c16:uniqueId val="{00000003-1972-487A-BAFC-86B5970C646D}"/>
            </c:ext>
          </c:extLst>
        </c:ser>
        <c:ser>
          <c:idx val="3"/>
          <c:order val="3"/>
          <c:tx>
            <c:strRef>
              <c:f>Лист4!$E$2</c:f>
              <c:strCache>
                <c:ptCount val="1"/>
                <c:pt idx="0">
                  <c:v>Государственные облигации</c:v>
                </c:pt>
              </c:strCache>
            </c:strRef>
          </c:tx>
          <c:spPr>
            <a:solidFill>
              <a:schemeClr val="accent1">
                <a:lumMod val="60000"/>
              </a:schemeClr>
            </a:solidFill>
            <a:ln>
              <a:noFill/>
            </a:ln>
            <a:effectLst/>
          </c:spPr>
          <c:invertIfNegative val="0"/>
          <c:dLbls>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Лист4!$A$3:$A$8</c:f>
              <c:numCache>
                <c:formatCode>General</c:formatCode>
                <c:ptCount val="6"/>
                <c:pt idx="0">
                  <c:v>2011</c:v>
                </c:pt>
                <c:pt idx="1">
                  <c:v>2012</c:v>
                </c:pt>
                <c:pt idx="2">
                  <c:v>2013</c:v>
                </c:pt>
                <c:pt idx="3">
                  <c:v>2014</c:v>
                </c:pt>
                <c:pt idx="4">
                  <c:v>2015</c:v>
                </c:pt>
                <c:pt idx="5" formatCode="dd/mm/yyyy">
                  <c:v>42125</c:v>
                </c:pt>
              </c:numCache>
            </c:numRef>
          </c:cat>
          <c:val>
            <c:numRef>
              <c:f>Лист4!$E$3:$E$8</c:f>
              <c:numCache>
                <c:formatCode>General</c:formatCode>
                <c:ptCount val="6"/>
                <c:pt idx="3">
                  <c:v>5000</c:v>
                </c:pt>
                <c:pt idx="4">
                  <c:v>12000</c:v>
                </c:pt>
                <c:pt idx="5">
                  <c:v>12000</c:v>
                </c:pt>
              </c:numCache>
            </c:numRef>
          </c:val>
          <c:extLst>
            <c:ext xmlns:c16="http://schemas.microsoft.com/office/drawing/2014/chart" uri="{C3380CC4-5D6E-409C-BE32-E72D297353CC}">
              <c16:uniqueId val="{00000004-1972-487A-BAFC-86B5970C646D}"/>
            </c:ext>
          </c:extLst>
        </c:ser>
        <c:ser>
          <c:idx val="4"/>
          <c:order val="4"/>
          <c:tx>
            <c:strRef>
              <c:f>Лист4!$F$2</c:f>
              <c:strCache>
                <c:ptCount val="1"/>
                <c:pt idx="0">
                  <c:v>Государственный долг</c:v>
                </c:pt>
              </c:strCache>
            </c:strRef>
          </c:tx>
          <c:spPr>
            <a:solidFill>
              <a:schemeClr val="accent3">
                <a:lumMod val="60000"/>
              </a:schemeClr>
            </a:solidFill>
            <a:ln>
              <a:noFill/>
            </a:ln>
            <a:effectLst/>
          </c:spPr>
          <c:invertIfNegative val="0"/>
          <c:dLbls>
            <c:spPr>
              <a:noFill/>
              <a:ln w="2538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Лист4!$A$3:$A$8</c:f>
              <c:numCache>
                <c:formatCode>General</c:formatCode>
                <c:ptCount val="6"/>
                <c:pt idx="0">
                  <c:v>2011</c:v>
                </c:pt>
                <c:pt idx="1">
                  <c:v>2012</c:v>
                </c:pt>
                <c:pt idx="2">
                  <c:v>2013</c:v>
                </c:pt>
                <c:pt idx="3">
                  <c:v>2014</c:v>
                </c:pt>
                <c:pt idx="4">
                  <c:v>2015</c:v>
                </c:pt>
                <c:pt idx="5" formatCode="dd/mm/yyyy">
                  <c:v>42125</c:v>
                </c:pt>
              </c:numCache>
            </c:numRef>
          </c:cat>
          <c:val>
            <c:numRef>
              <c:f>Лист4!$F$3:$F$8</c:f>
              <c:numCache>
                <c:formatCode>General</c:formatCode>
                <c:ptCount val="6"/>
                <c:pt idx="0">
                  <c:v>4511.3</c:v>
                </c:pt>
                <c:pt idx="1">
                  <c:v>6801.3</c:v>
                </c:pt>
                <c:pt idx="2">
                  <c:v>11953.9</c:v>
                </c:pt>
                <c:pt idx="3">
                  <c:v>24483.9</c:v>
                </c:pt>
                <c:pt idx="4">
                  <c:v>35828.1</c:v>
                </c:pt>
                <c:pt idx="5">
                  <c:v>37095.1</c:v>
                </c:pt>
              </c:numCache>
            </c:numRef>
          </c:val>
          <c:extLst>
            <c:ext xmlns:c16="http://schemas.microsoft.com/office/drawing/2014/chart" uri="{C3380CC4-5D6E-409C-BE32-E72D297353CC}">
              <c16:uniqueId val="{00000005-1972-487A-BAFC-86B5970C646D}"/>
            </c:ext>
          </c:extLst>
        </c:ser>
        <c:dLbls>
          <c:showLegendKey val="0"/>
          <c:showVal val="1"/>
          <c:showCatName val="0"/>
          <c:showSerName val="0"/>
          <c:showPercent val="0"/>
          <c:showBubbleSize val="0"/>
        </c:dLbls>
        <c:gapWidth val="219"/>
        <c:overlap val="-27"/>
        <c:axId val="186895360"/>
        <c:axId val="188830464"/>
      </c:barChart>
      <c:catAx>
        <c:axId val="186895360"/>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830464"/>
        <c:crosses val="autoZero"/>
        <c:auto val="1"/>
        <c:lblAlgn val="ctr"/>
        <c:lblOffset val="100"/>
        <c:noMultiLvlLbl val="0"/>
      </c:catAx>
      <c:valAx>
        <c:axId val="188830464"/>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95360"/>
        <c:crosses val="autoZero"/>
        <c:crossBetween val="between"/>
      </c:valAx>
      <c:spPr>
        <a:noFill/>
        <a:ln w="25386">
          <a:noFill/>
        </a:ln>
      </c:spPr>
    </c:plotArea>
    <c:legend>
      <c:legendPos val="b"/>
      <c:overlay val="0"/>
      <c:spPr>
        <a:noFill/>
        <a:ln w="2538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ru-RU"/>
        </a:p>
      </c:txPr>
    </c:title>
    <c:autoTitleDeleted val="0"/>
    <c:plotArea>
      <c:layout/>
      <c:barChart>
        <c:barDir val="col"/>
        <c:grouping val="clustered"/>
        <c:varyColors val="0"/>
        <c:ser>
          <c:idx val="0"/>
          <c:order val="0"/>
          <c:tx>
            <c:strRef>
              <c:f>Лист14!$B$2</c:f>
              <c:strCache>
                <c:ptCount val="1"/>
                <c:pt idx="0">
                  <c:v>Госдолг в млрд.руб.</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Лист14!$A$3:$A$12</c:f>
              <c:strCache>
                <c:ptCount val="10"/>
                <c:pt idx="0">
                  <c:v>г. Москва</c:v>
                </c:pt>
                <c:pt idx="1">
                  <c:v>Краснодарский край</c:v>
                </c:pt>
                <c:pt idx="2">
                  <c:v>Московская область</c:v>
                </c:pt>
                <c:pt idx="3">
                  <c:v>Республика Татарстан</c:v>
                </c:pt>
                <c:pt idx="4">
                  <c:v>Красноярский край</c:v>
                </c:pt>
                <c:pt idx="5">
                  <c:v>Нижегородская область</c:v>
                </c:pt>
                <c:pt idx="6">
                  <c:v>Новосибирская область</c:v>
                </c:pt>
                <c:pt idx="7">
                  <c:v>Санкт-Петербург</c:v>
                </c:pt>
                <c:pt idx="8">
                  <c:v>Ленинградская область</c:v>
                </c:pt>
                <c:pt idx="9">
                  <c:v>Тюменская область</c:v>
                </c:pt>
              </c:strCache>
            </c:strRef>
          </c:cat>
          <c:val>
            <c:numRef>
              <c:f>Лист14!$B$3:$B$12</c:f>
              <c:numCache>
                <c:formatCode>#,##0.00</c:formatCode>
                <c:ptCount val="10"/>
                <c:pt idx="0">
                  <c:v>189.84078076999998</c:v>
                </c:pt>
                <c:pt idx="1">
                  <c:v>136.34211948000046</c:v>
                </c:pt>
                <c:pt idx="2">
                  <c:v>103.20943895000001</c:v>
                </c:pt>
                <c:pt idx="3">
                  <c:v>93.88511828</c:v>
                </c:pt>
                <c:pt idx="4">
                  <c:v>74.996219370000219</c:v>
                </c:pt>
                <c:pt idx="5">
                  <c:v>65.113299200000171</c:v>
                </c:pt>
                <c:pt idx="6">
                  <c:v>40.468093600000003</c:v>
                </c:pt>
                <c:pt idx="7">
                  <c:v>14.6252934</c:v>
                </c:pt>
                <c:pt idx="8">
                  <c:v>10.87796765</c:v>
                </c:pt>
                <c:pt idx="9">
                  <c:v>0.32740710000000073</c:v>
                </c:pt>
              </c:numCache>
            </c:numRef>
          </c:val>
          <c:extLst>
            <c:ext xmlns:c16="http://schemas.microsoft.com/office/drawing/2014/chart" uri="{C3380CC4-5D6E-409C-BE32-E72D297353CC}">
              <c16:uniqueId val="{00000000-B0C3-42D0-A4A8-4261F6A19618}"/>
            </c:ext>
          </c:extLst>
        </c:ser>
        <c:dLbls>
          <c:showLegendKey val="0"/>
          <c:showVal val="1"/>
          <c:showCatName val="0"/>
          <c:showSerName val="0"/>
          <c:showPercent val="0"/>
          <c:showBubbleSize val="0"/>
        </c:dLbls>
        <c:gapWidth val="150"/>
        <c:overlap val="-25"/>
        <c:axId val="153334528"/>
        <c:axId val="153336064"/>
      </c:barChart>
      <c:catAx>
        <c:axId val="15333452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3336064"/>
        <c:crosses val="autoZero"/>
        <c:auto val="1"/>
        <c:lblAlgn val="ctr"/>
        <c:lblOffset val="100"/>
        <c:noMultiLvlLbl val="0"/>
      </c:catAx>
      <c:valAx>
        <c:axId val="153336064"/>
        <c:scaling>
          <c:orientation val="minMax"/>
        </c:scaling>
        <c:delete val="1"/>
        <c:axPos val="l"/>
        <c:numFmt formatCode="#,##0.00" sourceLinked="1"/>
        <c:majorTickMark val="out"/>
        <c:minorTickMark val="none"/>
        <c:tickLblPos val="none"/>
        <c:crossAx val="153334528"/>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a:pPr>
            <a:r>
              <a:rPr lang="ru-RU"/>
              <a:t>Уровень долговой нагрузки и критический</a:t>
            </a:r>
            <a:r>
              <a:rPr lang="ru-RU" baseline="0"/>
              <a:t> </a:t>
            </a:r>
            <a:r>
              <a:rPr lang="ru-RU"/>
              <a:t>уровень долговой нагрузки</a:t>
            </a:r>
          </a:p>
        </c:rich>
      </c:tx>
      <c:overlay val="0"/>
    </c:title>
    <c:autoTitleDeleted val="0"/>
    <c:plotArea>
      <c:layout/>
      <c:barChart>
        <c:barDir val="col"/>
        <c:grouping val="clustered"/>
        <c:varyColors val="0"/>
        <c:ser>
          <c:idx val="0"/>
          <c:order val="0"/>
          <c:tx>
            <c:strRef>
              <c:f>Лист14!$B$16</c:f>
              <c:strCache>
                <c:ptCount val="1"/>
                <c:pt idx="0">
                  <c:v>Уровень долговой нагрузки в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Лист14!$A$17:$A$26</c:f>
              <c:strCache>
                <c:ptCount val="10"/>
                <c:pt idx="0">
                  <c:v>г. Москва</c:v>
                </c:pt>
                <c:pt idx="1">
                  <c:v>Краснодарский край</c:v>
                </c:pt>
                <c:pt idx="2">
                  <c:v>Московская область</c:v>
                </c:pt>
                <c:pt idx="3">
                  <c:v>Республика Татарстан</c:v>
                </c:pt>
                <c:pt idx="4">
                  <c:v>Красноярский край</c:v>
                </c:pt>
                <c:pt idx="5">
                  <c:v>Нижегородская область</c:v>
                </c:pt>
                <c:pt idx="6">
                  <c:v>Новосибирская область</c:v>
                </c:pt>
                <c:pt idx="7">
                  <c:v>Санкт-Петербург</c:v>
                </c:pt>
                <c:pt idx="8">
                  <c:v>Ленинградская область</c:v>
                </c:pt>
                <c:pt idx="9">
                  <c:v>Тюменская область</c:v>
                </c:pt>
              </c:strCache>
            </c:strRef>
          </c:cat>
          <c:val>
            <c:numRef>
              <c:f>Лист14!$B$17:$B$26</c:f>
              <c:numCache>
                <c:formatCode>General</c:formatCode>
                <c:ptCount val="10"/>
                <c:pt idx="0">
                  <c:v>0.12720000000000001</c:v>
                </c:pt>
                <c:pt idx="1">
                  <c:v>0.7518000000000018</c:v>
                </c:pt>
                <c:pt idx="2">
                  <c:v>0.2671</c:v>
                </c:pt>
                <c:pt idx="3">
                  <c:v>0.6288000000000018</c:v>
                </c:pt>
                <c:pt idx="4">
                  <c:v>0.45070000000000005</c:v>
                </c:pt>
                <c:pt idx="5">
                  <c:v>0.59360000000000002</c:v>
                </c:pt>
                <c:pt idx="6">
                  <c:v>0.40410000000000001</c:v>
                </c:pt>
                <c:pt idx="7">
                  <c:v>3.49E-2</c:v>
                </c:pt>
                <c:pt idx="8">
                  <c:v>0.13919999999999999</c:v>
                </c:pt>
                <c:pt idx="9">
                  <c:v>2.8999999999999998E-3</c:v>
                </c:pt>
              </c:numCache>
            </c:numRef>
          </c:val>
          <c:extLst>
            <c:ext xmlns:c16="http://schemas.microsoft.com/office/drawing/2014/chart" uri="{C3380CC4-5D6E-409C-BE32-E72D297353CC}">
              <c16:uniqueId val="{00000000-5061-4883-B6B7-7454199689A6}"/>
            </c:ext>
          </c:extLst>
        </c:ser>
        <c:ser>
          <c:idx val="1"/>
          <c:order val="1"/>
          <c:tx>
            <c:strRef>
              <c:f>Лист14!$C$16</c:f>
              <c:strCache>
                <c:ptCount val="1"/>
                <c:pt idx="0">
                  <c:v>Критический уровень нагрузки в %</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Лист14!$A$17:$A$26</c:f>
              <c:strCache>
                <c:ptCount val="10"/>
                <c:pt idx="0">
                  <c:v>г. Москва</c:v>
                </c:pt>
                <c:pt idx="1">
                  <c:v>Краснодарский край</c:v>
                </c:pt>
                <c:pt idx="2">
                  <c:v>Московская область</c:v>
                </c:pt>
                <c:pt idx="3">
                  <c:v>Республика Татарстан</c:v>
                </c:pt>
                <c:pt idx="4">
                  <c:v>Красноярский край</c:v>
                </c:pt>
                <c:pt idx="5">
                  <c:v>Нижегородская область</c:v>
                </c:pt>
                <c:pt idx="6">
                  <c:v>Новосибирская область</c:v>
                </c:pt>
                <c:pt idx="7">
                  <c:v>Санкт-Петербург</c:v>
                </c:pt>
                <c:pt idx="8">
                  <c:v>Ленинградская область</c:v>
                </c:pt>
                <c:pt idx="9">
                  <c:v>Тюменская область</c:v>
                </c:pt>
              </c:strCache>
            </c:strRef>
          </c:cat>
          <c:val>
            <c:numRef>
              <c:f>Лист14!$C$17:$C$26</c:f>
              <c:numCache>
                <c:formatCode>0%</c:formatCode>
                <c:ptCount val="10"/>
                <c:pt idx="0">
                  <c:v>0.5</c:v>
                </c:pt>
                <c:pt idx="1">
                  <c:v>0.5</c:v>
                </c:pt>
                <c:pt idx="2">
                  <c:v>0.5</c:v>
                </c:pt>
                <c:pt idx="3">
                  <c:v>0.5</c:v>
                </c:pt>
                <c:pt idx="4">
                  <c:v>0.5</c:v>
                </c:pt>
                <c:pt idx="5">
                  <c:v>0.5</c:v>
                </c:pt>
                <c:pt idx="6">
                  <c:v>0.5</c:v>
                </c:pt>
                <c:pt idx="7">
                  <c:v>0.5</c:v>
                </c:pt>
                <c:pt idx="8">
                  <c:v>0.5</c:v>
                </c:pt>
                <c:pt idx="9">
                  <c:v>0.5</c:v>
                </c:pt>
              </c:numCache>
            </c:numRef>
          </c:val>
          <c:extLst>
            <c:ext xmlns:c16="http://schemas.microsoft.com/office/drawing/2014/chart" uri="{C3380CC4-5D6E-409C-BE32-E72D297353CC}">
              <c16:uniqueId val="{00000001-5061-4883-B6B7-7454199689A6}"/>
            </c:ext>
          </c:extLst>
        </c:ser>
        <c:dLbls>
          <c:showLegendKey val="0"/>
          <c:showVal val="1"/>
          <c:showCatName val="0"/>
          <c:showSerName val="0"/>
          <c:showPercent val="0"/>
          <c:showBubbleSize val="0"/>
        </c:dLbls>
        <c:gapWidth val="65"/>
        <c:axId val="188030336"/>
        <c:axId val="188044416"/>
      </c:barChart>
      <c:catAx>
        <c:axId val="18803033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88044416"/>
        <c:crosses val="autoZero"/>
        <c:auto val="1"/>
        <c:lblAlgn val="ctr"/>
        <c:lblOffset val="100"/>
        <c:noMultiLvlLbl val="0"/>
      </c:catAx>
      <c:valAx>
        <c:axId val="188044416"/>
        <c:scaling>
          <c:orientation val="minMax"/>
        </c:scaling>
        <c:delete val="1"/>
        <c:axPos val="l"/>
        <c:majorGridlines/>
        <c:numFmt formatCode="General" sourceLinked="1"/>
        <c:majorTickMark val="out"/>
        <c:minorTickMark val="none"/>
        <c:tickLblPos val="none"/>
        <c:crossAx val="188030336"/>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 и госдолг Тюменской области ( в млн.рублей)</a:t>
            </a:r>
          </a:p>
        </c:rich>
      </c:tx>
      <c:overlay val="0"/>
      <c:spPr>
        <a:noFill/>
        <a:ln w="25402">
          <a:noFill/>
        </a:ln>
      </c:spPr>
    </c:title>
    <c:autoTitleDeleted val="0"/>
    <c:plotArea>
      <c:layout/>
      <c:barChart>
        <c:barDir val="col"/>
        <c:grouping val="clustered"/>
        <c:varyColors val="0"/>
        <c:ser>
          <c:idx val="0"/>
          <c:order val="0"/>
          <c:tx>
            <c:strRef>
              <c:f>Лист6!$B$2</c:f>
              <c:strCache>
                <c:ptCount val="1"/>
                <c:pt idx="0">
                  <c:v>Госдолг</c:v>
                </c:pt>
              </c:strCache>
            </c:strRef>
          </c:tx>
          <c:spPr>
            <a:solidFill>
              <a:srgbClr val="4F81BD"/>
            </a:solidFill>
            <a:ln w="25402">
              <a:noFill/>
            </a:ln>
          </c:spPr>
          <c:invertIfNegative val="0"/>
          <c:dLbls>
            <c:dLbl>
              <c:idx val="2"/>
              <c:layout>
                <c:manualLayout>
                  <c:x val="0"/>
                  <c:y val="-3.0188830562846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8-4488-A0D7-09850F3C4777}"/>
                </c:ext>
              </c:extLst>
            </c:dLbl>
            <c:dLbl>
              <c:idx val="3"/>
              <c:layout>
                <c:manualLayout>
                  <c:x val="-2.7777777777779024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88-4488-A0D7-09850F3C4777}"/>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Лист6!$A$3:$A$6</c:f>
              <c:numCache>
                <c:formatCode>General</c:formatCode>
                <c:ptCount val="4"/>
                <c:pt idx="0">
                  <c:v>2014</c:v>
                </c:pt>
                <c:pt idx="1">
                  <c:v>2015</c:v>
                </c:pt>
                <c:pt idx="2">
                  <c:v>2016</c:v>
                </c:pt>
                <c:pt idx="3">
                  <c:v>2017</c:v>
                </c:pt>
              </c:numCache>
            </c:numRef>
          </c:cat>
          <c:val>
            <c:numRef>
              <c:f>Лист6!$B$3:$B$6</c:f>
              <c:numCache>
                <c:formatCode>General</c:formatCode>
                <c:ptCount val="4"/>
                <c:pt idx="0">
                  <c:v>2319</c:v>
                </c:pt>
                <c:pt idx="1">
                  <c:v>8000</c:v>
                </c:pt>
                <c:pt idx="2">
                  <c:v>15260</c:v>
                </c:pt>
                <c:pt idx="3">
                  <c:v>23700</c:v>
                </c:pt>
              </c:numCache>
            </c:numRef>
          </c:val>
          <c:extLst>
            <c:ext xmlns:c16="http://schemas.microsoft.com/office/drawing/2014/chart" uri="{C3380CC4-5D6E-409C-BE32-E72D297353CC}">
              <c16:uniqueId val="{00000002-A788-4488-A0D7-09850F3C4777}"/>
            </c:ext>
          </c:extLst>
        </c:ser>
        <c:ser>
          <c:idx val="1"/>
          <c:order val="1"/>
          <c:tx>
            <c:strRef>
              <c:f>Лист6!$C$2</c:f>
              <c:strCache>
                <c:ptCount val="1"/>
                <c:pt idx="0">
                  <c:v>Доходы </c:v>
                </c:pt>
              </c:strCache>
            </c:strRef>
          </c:tx>
          <c:spPr>
            <a:solidFill>
              <a:srgbClr val="9BBB59"/>
            </a:solidFill>
            <a:ln w="25402">
              <a:noFill/>
            </a:ln>
          </c:spPr>
          <c:invertIfNegative val="0"/>
          <c:dLbls>
            <c:dLbl>
              <c:idx val="0"/>
              <c:layout>
                <c:manualLayout>
                  <c:x val="5.5555555555555558E-3"/>
                  <c:y val="-1.395815106445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88-4488-A0D7-09850F3C4777}"/>
                </c:ext>
              </c:extLst>
            </c:dLbl>
            <c:dLbl>
              <c:idx val="1"/>
              <c:layout>
                <c:manualLayout>
                  <c:x val="-2.777777777777803E-3"/>
                  <c:y val="-3.71062992125984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88-4488-A0D7-09850F3C4777}"/>
                </c:ext>
              </c:extLst>
            </c:dLbl>
            <c:dLbl>
              <c:idx val="2"/>
              <c:layout>
                <c:manualLayout>
                  <c:x val="0"/>
                  <c:y val="-9.32852143482065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88-4488-A0D7-09850F3C4777}"/>
                </c:ext>
              </c:extLst>
            </c:dLbl>
            <c:dLbl>
              <c:idx val="3"/>
              <c:layout>
                <c:manualLayout>
                  <c:x val="-2.777777777777803E-3"/>
                  <c:y val="-6.926217556136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88-4488-A0D7-09850F3C4777}"/>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Лист6!$A$3:$A$6</c:f>
              <c:numCache>
                <c:formatCode>General</c:formatCode>
                <c:ptCount val="4"/>
                <c:pt idx="0">
                  <c:v>2014</c:v>
                </c:pt>
                <c:pt idx="1">
                  <c:v>2015</c:v>
                </c:pt>
                <c:pt idx="2">
                  <c:v>2016</c:v>
                </c:pt>
                <c:pt idx="3">
                  <c:v>2017</c:v>
                </c:pt>
              </c:numCache>
            </c:numRef>
          </c:cat>
          <c:val>
            <c:numRef>
              <c:f>Лист6!$C$3:$C$6</c:f>
              <c:numCache>
                <c:formatCode>General</c:formatCode>
                <c:ptCount val="4"/>
                <c:pt idx="0">
                  <c:v>117660</c:v>
                </c:pt>
                <c:pt idx="1">
                  <c:v>106453</c:v>
                </c:pt>
                <c:pt idx="2">
                  <c:v>117636</c:v>
                </c:pt>
                <c:pt idx="3">
                  <c:v>120811</c:v>
                </c:pt>
              </c:numCache>
            </c:numRef>
          </c:val>
          <c:extLst>
            <c:ext xmlns:c16="http://schemas.microsoft.com/office/drawing/2014/chart" uri="{C3380CC4-5D6E-409C-BE32-E72D297353CC}">
              <c16:uniqueId val="{00000007-A788-4488-A0D7-09850F3C4777}"/>
            </c:ext>
          </c:extLst>
        </c:ser>
        <c:dLbls>
          <c:showLegendKey val="0"/>
          <c:showVal val="1"/>
          <c:showCatName val="0"/>
          <c:showSerName val="0"/>
          <c:showPercent val="0"/>
          <c:showBubbleSize val="0"/>
        </c:dLbls>
        <c:gapWidth val="219"/>
        <c:overlap val="-27"/>
        <c:axId val="192444672"/>
        <c:axId val="192585728"/>
      </c:barChart>
      <c:catAx>
        <c:axId val="192444672"/>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85728"/>
        <c:crosses val="autoZero"/>
        <c:auto val="1"/>
        <c:lblAlgn val="ctr"/>
        <c:lblOffset val="100"/>
        <c:noMultiLvlLbl val="0"/>
      </c:catAx>
      <c:valAx>
        <c:axId val="192585728"/>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44672"/>
        <c:crosses val="autoZero"/>
        <c:crossBetween val="between"/>
      </c:valAx>
      <c:spPr>
        <a:noFill/>
        <a:ln w="25402">
          <a:noFill/>
        </a:ln>
      </c:spPr>
    </c:plotArea>
    <c:legend>
      <c:legendPos val="b"/>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Абсолютный и относительный размер госдолга Московской области</a:t>
            </a:r>
          </a:p>
        </c:rich>
      </c:tx>
      <c:layout>
        <c:manualLayout>
          <c:xMode val="edge"/>
          <c:yMode val="edge"/>
          <c:x val="0.13942346568381078"/>
          <c:y val="9.2592760437319468E-2"/>
        </c:manualLayout>
      </c:layout>
      <c:overlay val="0"/>
      <c:spPr>
        <a:noFill/>
        <a:ln w="25402">
          <a:noFill/>
        </a:ln>
      </c:spPr>
    </c:title>
    <c:autoTitleDeleted val="0"/>
    <c:plotArea>
      <c:layout/>
      <c:barChart>
        <c:barDir val="col"/>
        <c:grouping val="clustered"/>
        <c:varyColors val="0"/>
        <c:ser>
          <c:idx val="0"/>
          <c:order val="0"/>
          <c:tx>
            <c:strRef>
              <c:f>Лист9!$B$2</c:f>
              <c:strCache>
                <c:ptCount val="1"/>
                <c:pt idx="0">
                  <c:v>Размер долга в млрд. рублей</c:v>
                </c:pt>
              </c:strCache>
            </c:strRef>
          </c:tx>
          <c:spPr>
            <a:solidFill>
              <a:srgbClr val="4F81BD"/>
            </a:solidFill>
            <a:ln w="25402">
              <a:noFill/>
            </a:ln>
          </c:spPr>
          <c:invertIfNegative val="0"/>
          <c:dLbls>
            <c:dLbl>
              <c:idx val="0"/>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AF-415D-BDFC-9C630F2D26F6}"/>
                </c:ext>
              </c:extLst>
            </c:dLbl>
            <c:dLbl>
              <c:idx val="1"/>
              <c:layout>
                <c:manualLayout>
                  <c:x val="-5.0925337632080754E-17"/>
                  <c:y val="-3.71062992125984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F-415D-BDFC-9C630F2D26F6}"/>
                </c:ext>
              </c:extLst>
            </c:dLbl>
            <c:dLbl>
              <c:idx val="2"/>
              <c:layout>
                <c:manualLayout>
                  <c:x val="8.3333333333334026E-3"/>
                  <c:y val="-1.39581510644503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AF-415D-BDFC-9C630F2D26F6}"/>
                </c:ext>
              </c:extLst>
            </c:dLbl>
            <c:dLbl>
              <c:idx val="3"/>
              <c:layout>
                <c:manualLayout>
                  <c:x val="-8.3333333333333367E-3"/>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AF-415D-BDFC-9C630F2D26F6}"/>
                </c:ext>
              </c:extLst>
            </c:dLbl>
            <c:dLbl>
              <c:idx val="4"/>
              <c:layout>
                <c:manualLayout>
                  <c:x val="-1.1111111111111125E-2"/>
                  <c:y val="4.56036745406820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AF-415D-BDFC-9C630F2D26F6}"/>
                </c:ext>
              </c:extLst>
            </c:dLbl>
            <c:dLbl>
              <c:idx val="5"/>
              <c:layout>
                <c:manualLayout>
                  <c:x val="0"/>
                  <c:y val="1.84492563429571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AF-415D-BDFC-9C630F2D26F6}"/>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Лист9!$A$3:$A$8</c:f>
              <c:numCache>
                <c:formatCode>General</c:formatCode>
                <c:ptCount val="6"/>
                <c:pt idx="0">
                  <c:v>2011</c:v>
                </c:pt>
                <c:pt idx="1">
                  <c:v>2012</c:v>
                </c:pt>
                <c:pt idx="2">
                  <c:v>2013</c:v>
                </c:pt>
                <c:pt idx="3">
                  <c:v>2014</c:v>
                </c:pt>
                <c:pt idx="4">
                  <c:v>2015</c:v>
                </c:pt>
                <c:pt idx="5" formatCode="dd/mm/yyyy">
                  <c:v>42156</c:v>
                </c:pt>
              </c:numCache>
            </c:numRef>
          </c:cat>
          <c:val>
            <c:numRef>
              <c:f>Лист9!$B$3:$B$8</c:f>
              <c:numCache>
                <c:formatCode>General</c:formatCode>
                <c:ptCount val="6"/>
                <c:pt idx="0">
                  <c:v>146.80000000000001</c:v>
                </c:pt>
                <c:pt idx="1">
                  <c:v>106.1</c:v>
                </c:pt>
                <c:pt idx="2">
                  <c:v>97.9</c:v>
                </c:pt>
                <c:pt idx="3">
                  <c:v>84.2</c:v>
                </c:pt>
                <c:pt idx="4">
                  <c:v>103.2</c:v>
                </c:pt>
                <c:pt idx="5">
                  <c:v>103.1</c:v>
                </c:pt>
              </c:numCache>
            </c:numRef>
          </c:val>
          <c:extLst>
            <c:ext xmlns:c16="http://schemas.microsoft.com/office/drawing/2014/chart" uri="{C3380CC4-5D6E-409C-BE32-E72D297353CC}">
              <c16:uniqueId val="{00000006-A3AF-415D-BDFC-9C630F2D26F6}"/>
            </c:ext>
          </c:extLst>
        </c:ser>
        <c:ser>
          <c:idx val="1"/>
          <c:order val="1"/>
          <c:tx>
            <c:strRef>
              <c:f>Лист9!$C$2</c:f>
              <c:strCache>
                <c:ptCount val="1"/>
                <c:pt idx="0">
                  <c:v>Долг в % к доходам</c:v>
                </c:pt>
              </c:strCache>
            </c:strRef>
          </c:tx>
          <c:spPr>
            <a:solidFill>
              <a:srgbClr val="9BBB59"/>
            </a:solidFill>
            <a:ln w="25402">
              <a:noFill/>
            </a:ln>
          </c:spPr>
          <c:invertIfNegative val="0"/>
          <c:dLbls>
            <c:dLbl>
              <c:idx val="0"/>
              <c:layout>
                <c:manualLayout>
                  <c:x val="0"/>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AF-415D-BDFC-9C630F2D26F6}"/>
                </c:ext>
              </c:extLst>
            </c:dLbl>
            <c:dLbl>
              <c:idx val="1"/>
              <c:layout>
                <c:manualLayout>
                  <c:x val="1.1111111111111125E-2"/>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AF-415D-BDFC-9C630F2D26F6}"/>
                </c:ext>
              </c:extLst>
            </c:dLbl>
            <c:dLbl>
              <c:idx val="2"/>
              <c:layout>
                <c:manualLayout>
                  <c:x val="2.777777777777803E-3"/>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AF-415D-BDFC-9C630F2D26F6}"/>
                </c:ext>
              </c:extLst>
            </c:dLbl>
            <c:dLbl>
              <c:idx val="3"/>
              <c:layout>
                <c:manualLayout>
                  <c:x val="1.3888888888888848E-2"/>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AF-415D-BDFC-9C630F2D26F6}"/>
                </c:ext>
              </c:extLst>
            </c:dLbl>
            <c:dLbl>
              <c:idx val="4"/>
              <c:layout>
                <c:manualLayout>
                  <c:x val="8.3333333333333367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AF-415D-BDFC-9C630F2D26F6}"/>
                </c:ext>
              </c:extLst>
            </c:dLbl>
            <c:dLbl>
              <c:idx val="5"/>
              <c:layout>
                <c:manualLayout>
                  <c:x val="5.5555555555555558E-3"/>
                  <c:y val="-1.85877806940800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AF-415D-BDFC-9C630F2D26F6}"/>
                </c:ext>
              </c:extLst>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Лист9!$A$3:$A$8</c:f>
              <c:numCache>
                <c:formatCode>General</c:formatCode>
                <c:ptCount val="6"/>
                <c:pt idx="0">
                  <c:v>2011</c:v>
                </c:pt>
                <c:pt idx="1">
                  <c:v>2012</c:v>
                </c:pt>
                <c:pt idx="2">
                  <c:v>2013</c:v>
                </c:pt>
                <c:pt idx="3">
                  <c:v>2014</c:v>
                </c:pt>
                <c:pt idx="4">
                  <c:v>2015</c:v>
                </c:pt>
                <c:pt idx="5" formatCode="dd/mm/yyyy">
                  <c:v>42156</c:v>
                </c:pt>
              </c:numCache>
            </c:numRef>
          </c:cat>
          <c:val>
            <c:numRef>
              <c:f>Лист9!$C$3:$C$8</c:f>
              <c:numCache>
                <c:formatCode>General</c:formatCode>
                <c:ptCount val="6"/>
                <c:pt idx="0">
                  <c:v>71.7</c:v>
                </c:pt>
                <c:pt idx="1">
                  <c:v>45.2</c:v>
                </c:pt>
                <c:pt idx="2">
                  <c:v>35.700000000000003</c:v>
                </c:pt>
                <c:pt idx="3">
                  <c:v>31.2</c:v>
                </c:pt>
                <c:pt idx="4">
                  <c:v>33.4</c:v>
                </c:pt>
                <c:pt idx="5">
                  <c:v>31.3</c:v>
                </c:pt>
              </c:numCache>
            </c:numRef>
          </c:val>
          <c:extLst>
            <c:ext xmlns:c16="http://schemas.microsoft.com/office/drawing/2014/chart" uri="{C3380CC4-5D6E-409C-BE32-E72D297353CC}">
              <c16:uniqueId val="{0000000D-A3AF-415D-BDFC-9C630F2D26F6}"/>
            </c:ext>
          </c:extLst>
        </c:ser>
        <c:dLbls>
          <c:showLegendKey val="0"/>
          <c:showVal val="1"/>
          <c:showCatName val="0"/>
          <c:showSerName val="0"/>
          <c:showPercent val="0"/>
          <c:showBubbleSize val="0"/>
        </c:dLbls>
        <c:gapWidth val="219"/>
        <c:overlap val="-27"/>
        <c:axId val="192627840"/>
        <c:axId val="192629376"/>
      </c:barChart>
      <c:catAx>
        <c:axId val="192627840"/>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629376"/>
        <c:crosses val="autoZero"/>
        <c:auto val="1"/>
        <c:lblAlgn val="ctr"/>
        <c:lblOffset val="100"/>
        <c:noMultiLvlLbl val="0"/>
      </c:catAx>
      <c:valAx>
        <c:axId val="192629376"/>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627840"/>
        <c:crosses val="autoZero"/>
        <c:crossBetween val="between"/>
      </c:valAx>
      <c:spPr>
        <a:noFill/>
        <a:ln w="25402">
          <a:noFill/>
        </a:ln>
      </c:spPr>
    </c:plotArea>
    <c:legend>
      <c:legendPos val="b"/>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a:pPr>
            <a:r>
              <a:rPr lang="ru-RU"/>
              <a:t>Структура государственного долга Московской области</a:t>
            </a:r>
          </a:p>
        </c:rich>
      </c:tx>
      <c:overlay val="0"/>
    </c:title>
    <c:autoTitleDeleted val="0"/>
    <c:plotArea>
      <c:layout/>
      <c:barChart>
        <c:barDir val="col"/>
        <c:grouping val="clustered"/>
        <c:varyColors val="0"/>
        <c:ser>
          <c:idx val="0"/>
          <c:order val="0"/>
          <c:tx>
            <c:strRef>
              <c:f>Лист13!$B$3</c:f>
              <c:strCache>
                <c:ptCount val="1"/>
                <c:pt idx="0">
                  <c:v>Банковские кредиты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Лист13!$A$4:$A$9</c:f>
              <c:numCache>
                <c:formatCode>General</c:formatCode>
                <c:ptCount val="6"/>
                <c:pt idx="0">
                  <c:v>2011</c:v>
                </c:pt>
                <c:pt idx="1">
                  <c:v>2012</c:v>
                </c:pt>
                <c:pt idx="2">
                  <c:v>2013</c:v>
                </c:pt>
                <c:pt idx="3">
                  <c:v>2014</c:v>
                </c:pt>
                <c:pt idx="4">
                  <c:v>2015</c:v>
                </c:pt>
                <c:pt idx="5" formatCode="dd/mm/yyyy">
                  <c:v>42125</c:v>
                </c:pt>
              </c:numCache>
            </c:numRef>
          </c:cat>
          <c:val>
            <c:numRef>
              <c:f>Лист13!$B$4:$B$9</c:f>
              <c:numCache>
                <c:formatCode>General</c:formatCode>
                <c:ptCount val="6"/>
                <c:pt idx="0">
                  <c:v>30.9</c:v>
                </c:pt>
                <c:pt idx="1">
                  <c:v>22</c:v>
                </c:pt>
                <c:pt idx="2">
                  <c:v>42</c:v>
                </c:pt>
                <c:pt idx="3">
                  <c:v>37.800000000000004</c:v>
                </c:pt>
                <c:pt idx="4">
                  <c:v>64.099999999999994</c:v>
                </c:pt>
                <c:pt idx="5">
                  <c:v>64.099999999999994</c:v>
                </c:pt>
              </c:numCache>
            </c:numRef>
          </c:val>
          <c:extLst>
            <c:ext xmlns:c16="http://schemas.microsoft.com/office/drawing/2014/chart" uri="{C3380CC4-5D6E-409C-BE32-E72D297353CC}">
              <c16:uniqueId val="{00000000-C279-4546-8741-92E9B9F5D150}"/>
            </c:ext>
          </c:extLst>
        </c:ser>
        <c:ser>
          <c:idx val="1"/>
          <c:order val="1"/>
          <c:tx>
            <c:strRef>
              <c:f>Лист13!$C$3</c:f>
              <c:strCache>
                <c:ptCount val="1"/>
                <c:pt idx="0">
                  <c:v>Бюджетные кредиты </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Лист13!$A$4:$A$9</c:f>
              <c:numCache>
                <c:formatCode>General</c:formatCode>
                <c:ptCount val="6"/>
                <c:pt idx="0">
                  <c:v>2011</c:v>
                </c:pt>
                <c:pt idx="1">
                  <c:v>2012</c:v>
                </c:pt>
                <c:pt idx="2">
                  <c:v>2013</c:v>
                </c:pt>
                <c:pt idx="3">
                  <c:v>2014</c:v>
                </c:pt>
                <c:pt idx="4">
                  <c:v>2015</c:v>
                </c:pt>
                <c:pt idx="5" formatCode="dd/mm/yyyy">
                  <c:v>42125</c:v>
                </c:pt>
              </c:numCache>
            </c:numRef>
          </c:cat>
          <c:val>
            <c:numRef>
              <c:f>Лист13!$C$4:$C$9</c:f>
              <c:numCache>
                <c:formatCode>General</c:formatCode>
                <c:ptCount val="6"/>
                <c:pt idx="0">
                  <c:v>50.2</c:v>
                </c:pt>
                <c:pt idx="1">
                  <c:v>42</c:v>
                </c:pt>
                <c:pt idx="2">
                  <c:v>34.800000000000004</c:v>
                </c:pt>
                <c:pt idx="3">
                  <c:v>30.1</c:v>
                </c:pt>
                <c:pt idx="4">
                  <c:v>38.700000000000003</c:v>
                </c:pt>
                <c:pt idx="5">
                  <c:v>38.700000000000003</c:v>
                </c:pt>
              </c:numCache>
            </c:numRef>
          </c:val>
          <c:extLst>
            <c:ext xmlns:c16="http://schemas.microsoft.com/office/drawing/2014/chart" uri="{C3380CC4-5D6E-409C-BE32-E72D297353CC}">
              <c16:uniqueId val="{00000001-C279-4546-8741-92E9B9F5D150}"/>
            </c:ext>
          </c:extLst>
        </c:ser>
        <c:ser>
          <c:idx val="2"/>
          <c:order val="2"/>
          <c:tx>
            <c:strRef>
              <c:f>Лист13!$D$3</c:f>
              <c:strCache>
                <c:ptCount val="1"/>
                <c:pt idx="0">
                  <c:v>Государственные гарантии</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Лист13!$A$4:$A$9</c:f>
              <c:numCache>
                <c:formatCode>General</c:formatCode>
                <c:ptCount val="6"/>
                <c:pt idx="0">
                  <c:v>2011</c:v>
                </c:pt>
                <c:pt idx="1">
                  <c:v>2012</c:v>
                </c:pt>
                <c:pt idx="2">
                  <c:v>2013</c:v>
                </c:pt>
                <c:pt idx="3">
                  <c:v>2014</c:v>
                </c:pt>
                <c:pt idx="4">
                  <c:v>2015</c:v>
                </c:pt>
                <c:pt idx="5" formatCode="dd/mm/yyyy">
                  <c:v>42125</c:v>
                </c:pt>
              </c:numCache>
            </c:numRef>
          </c:cat>
          <c:val>
            <c:numRef>
              <c:f>Лист13!$D$4:$D$9</c:f>
              <c:numCache>
                <c:formatCode>General</c:formatCode>
                <c:ptCount val="6"/>
                <c:pt idx="0">
                  <c:v>1.1000000000000001</c:v>
                </c:pt>
                <c:pt idx="1">
                  <c:v>0.60000000000000064</c:v>
                </c:pt>
                <c:pt idx="2">
                  <c:v>0.4</c:v>
                </c:pt>
                <c:pt idx="3">
                  <c:v>0.30000000000000032</c:v>
                </c:pt>
                <c:pt idx="4">
                  <c:v>0.4</c:v>
                </c:pt>
                <c:pt idx="5">
                  <c:v>0.30000000000000032</c:v>
                </c:pt>
              </c:numCache>
            </c:numRef>
          </c:val>
          <c:extLst>
            <c:ext xmlns:c16="http://schemas.microsoft.com/office/drawing/2014/chart" uri="{C3380CC4-5D6E-409C-BE32-E72D297353CC}">
              <c16:uniqueId val="{00000002-C279-4546-8741-92E9B9F5D150}"/>
            </c:ext>
          </c:extLst>
        </c:ser>
        <c:ser>
          <c:idx val="3"/>
          <c:order val="3"/>
          <c:tx>
            <c:strRef>
              <c:f>Лист13!$E$3</c:f>
              <c:strCache>
                <c:ptCount val="1"/>
                <c:pt idx="0">
                  <c:v>Государственные облигации</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Лист13!$A$4:$A$9</c:f>
              <c:numCache>
                <c:formatCode>General</c:formatCode>
                <c:ptCount val="6"/>
                <c:pt idx="0">
                  <c:v>2011</c:v>
                </c:pt>
                <c:pt idx="1">
                  <c:v>2012</c:v>
                </c:pt>
                <c:pt idx="2">
                  <c:v>2013</c:v>
                </c:pt>
                <c:pt idx="3">
                  <c:v>2014</c:v>
                </c:pt>
                <c:pt idx="4">
                  <c:v>2015</c:v>
                </c:pt>
                <c:pt idx="5" formatCode="dd/mm/yyyy">
                  <c:v>42125</c:v>
                </c:pt>
              </c:numCache>
            </c:numRef>
          </c:cat>
          <c:val>
            <c:numRef>
              <c:f>Лист13!$E$4:$E$9</c:f>
              <c:numCache>
                <c:formatCode>General</c:formatCode>
                <c:ptCount val="6"/>
                <c:pt idx="0">
                  <c:v>64.599999999999994</c:v>
                </c:pt>
                <c:pt idx="1">
                  <c:v>41.5</c:v>
                </c:pt>
                <c:pt idx="2">
                  <c:v>20.7</c:v>
                </c:pt>
                <c:pt idx="3">
                  <c:v>16</c:v>
                </c:pt>
                <c:pt idx="4">
                  <c:v>0</c:v>
                </c:pt>
                <c:pt idx="5">
                  <c:v>0</c:v>
                </c:pt>
              </c:numCache>
            </c:numRef>
          </c:val>
          <c:extLst>
            <c:ext xmlns:c16="http://schemas.microsoft.com/office/drawing/2014/chart" uri="{C3380CC4-5D6E-409C-BE32-E72D297353CC}">
              <c16:uniqueId val="{00000003-C279-4546-8741-92E9B9F5D150}"/>
            </c:ext>
          </c:extLst>
        </c:ser>
        <c:ser>
          <c:idx val="4"/>
          <c:order val="4"/>
          <c:tx>
            <c:strRef>
              <c:f>Лист13!$F$3</c:f>
              <c:strCache>
                <c:ptCount val="1"/>
                <c:pt idx="0">
                  <c:v>Государственный долг</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Лист13!$A$4:$A$9</c:f>
              <c:numCache>
                <c:formatCode>General</c:formatCode>
                <c:ptCount val="6"/>
                <c:pt idx="0">
                  <c:v>2011</c:v>
                </c:pt>
                <c:pt idx="1">
                  <c:v>2012</c:v>
                </c:pt>
                <c:pt idx="2">
                  <c:v>2013</c:v>
                </c:pt>
                <c:pt idx="3">
                  <c:v>2014</c:v>
                </c:pt>
                <c:pt idx="4">
                  <c:v>2015</c:v>
                </c:pt>
                <c:pt idx="5" formatCode="dd/mm/yyyy">
                  <c:v>42125</c:v>
                </c:pt>
              </c:numCache>
            </c:numRef>
          </c:cat>
          <c:val>
            <c:numRef>
              <c:f>Лист13!$F$4:$F$9</c:f>
              <c:numCache>
                <c:formatCode>General</c:formatCode>
                <c:ptCount val="6"/>
                <c:pt idx="0">
                  <c:v>146.79999999999998</c:v>
                </c:pt>
                <c:pt idx="1">
                  <c:v>106.1</c:v>
                </c:pt>
                <c:pt idx="2">
                  <c:v>97.9</c:v>
                </c:pt>
                <c:pt idx="3">
                  <c:v>84.2</c:v>
                </c:pt>
                <c:pt idx="4">
                  <c:v>103.2</c:v>
                </c:pt>
                <c:pt idx="5">
                  <c:v>103.1</c:v>
                </c:pt>
              </c:numCache>
            </c:numRef>
          </c:val>
          <c:extLst>
            <c:ext xmlns:c16="http://schemas.microsoft.com/office/drawing/2014/chart" uri="{C3380CC4-5D6E-409C-BE32-E72D297353CC}">
              <c16:uniqueId val="{00000004-C279-4546-8741-92E9B9F5D150}"/>
            </c:ext>
          </c:extLst>
        </c:ser>
        <c:dLbls>
          <c:showLegendKey val="0"/>
          <c:showVal val="1"/>
          <c:showCatName val="0"/>
          <c:showSerName val="0"/>
          <c:showPercent val="0"/>
          <c:showBubbleSize val="0"/>
        </c:dLbls>
        <c:gapWidth val="150"/>
        <c:overlap val="-25"/>
        <c:axId val="166751616"/>
        <c:axId val="166761600"/>
      </c:barChart>
      <c:catAx>
        <c:axId val="166751616"/>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66761600"/>
        <c:crosses val="autoZero"/>
        <c:auto val="1"/>
        <c:lblAlgn val="ctr"/>
        <c:lblOffset val="100"/>
        <c:noMultiLvlLbl val="0"/>
      </c:catAx>
      <c:valAx>
        <c:axId val="166761600"/>
        <c:scaling>
          <c:orientation val="minMax"/>
        </c:scaling>
        <c:delete val="1"/>
        <c:axPos val="l"/>
        <c:numFmt formatCode="General" sourceLinked="1"/>
        <c:majorTickMark val="out"/>
        <c:minorTickMark val="none"/>
        <c:tickLblPos val="none"/>
        <c:crossAx val="166751616"/>
        <c:crosses val="autoZero"/>
        <c:crossBetween val="between"/>
      </c:valAx>
    </c:plotArea>
    <c:legend>
      <c:legendPos val="t"/>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Pages>
  <Words>6619</Words>
  <Characters>37731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Теплова</dc:creator>
  <cp:lastModifiedBy>Андрей</cp:lastModifiedBy>
  <cp:revision>2</cp:revision>
  <dcterms:created xsi:type="dcterms:W3CDTF">2016-11-29T10:55:00Z</dcterms:created>
  <dcterms:modified xsi:type="dcterms:W3CDTF">2016-11-29T10:55:00Z</dcterms:modified>
</cp:coreProperties>
</file>