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85" w:rsidRPr="0036595F" w:rsidRDefault="008B677D" w:rsidP="00A034C4">
      <w:pPr>
        <w:keepNext/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43399577"/>
      <w:r w:rsidRPr="008B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16. Финансы, деньги и кредит.</w:t>
      </w:r>
    </w:p>
    <w:p w:rsidR="00B249AC" w:rsidRPr="00B249AC" w:rsidRDefault="00B249AC" w:rsidP="00D33231">
      <w:pPr>
        <w:keepNext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РЕАЛЬНОГО И ФИНАНСОВОГО СЕКТ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РОВ ЭКОНОМИКИ </w:t>
      </w:r>
      <w:r w:rsidRPr="00196882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ЕГО РОЛЬ В ТРАНСФОРМАЦИИ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ДЕЛИ ФИНАНСОВОГО УПРАВЛЕНИЯ</w:t>
      </w:r>
    </w:p>
    <w:p w:rsidR="00B249AC" w:rsidRPr="00B249AC" w:rsidRDefault="00B249AC" w:rsidP="00D33231">
      <w:pPr>
        <w:keepNext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>INTERACTION OF NON-FINANCIAL AND FINANCIAL SECTORS ECONOMY AND ITS ROLE IN THE TRANSFORMATION OF THE F</w:t>
      </w:r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NANCIAL SYSTEM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RUSSIA</w:t>
      </w:r>
    </w:p>
    <w:p w:rsidR="00B249AC" w:rsidRDefault="00B249AC" w:rsidP="00A034C4">
      <w:pPr>
        <w:keepNext/>
        <w:spacing w:after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Макарова В.А., Крылов А.А.</w:t>
      </w:r>
    </w:p>
    <w:p w:rsidR="00B249AC" w:rsidRDefault="00B249AC" w:rsidP="00A034C4">
      <w:pPr>
        <w:keepNext/>
        <w:spacing w:after="0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>Makarova</w:t>
      </w:r>
      <w:proofErr w:type="spellEnd"/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proofErr w:type="spellStart"/>
      <w:r w:rsidRPr="00B249AC">
        <w:rPr>
          <w:rFonts w:ascii="Times New Roman" w:hAnsi="Times New Roman" w:cs="Times New Roman"/>
          <w:b/>
          <w:sz w:val="28"/>
          <w:szCs w:val="28"/>
          <w:lang w:val="en-US"/>
        </w:rPr>
        <w:t>Krylov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A.A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33231" w:rsidRPr="00D33231" w:rsidRDefault="00D33231" w:rsidP="00A034C4">
      <w:pPr>
        <w:keepNext/>
        <w:spacing w:after="0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33231">
        <w:rPr>
          <w:rFonts w:ascii="Times New Roman" w:hAnsi="Times New Roman" w:cs="Times New Roman"/>
          <w:i/>
          <w:sz w:val="28"/>
          <w:szCs w:val="28"/>
        </w:rPr>
        <w:t>доцент департамента финансов Национального Исследовательского университета Высшая Школа Экономики, Санкт-Петербург</w:t>
      </w:r>
    </w:p>
    <w:p w:rsidR="00666BE4" w:rsidRDefault="00D33231" w:rsidP="00A034C4">
      <w:pPr>
        <w:keepNext/>
        <w:spacing w:after="0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33231">
        <w:rPr>
          <w:rFonts w:ascii="Times New Roman" w:hAnsi="Times New Roman" w:cs="Times New Roman"/>
          <w:i/>
          <w:sz w:val="28"/>
          <w:szCs w:val="28"/>
        </w:rPr>
        <w:t>заместитель начальника  отдела анализа и оценки  кредитных проектов АО «</w:t>
      </w:r>
      <w:proofErr w:type="spellStart"/>
      <w:r w:rsidRPr="00D33231">
        <w:rPr>
          <w:rFonts w:ascii="Times New Roman" w:hAnsi="Times New Roman" w:cs="Times New Roman"/>
          <w:i/>
          <w:sz w:val="28"/>
          <w:szCs w:val="28"/>
        </w:rPr>
        <w:t>Россельхозбанк</w:t>
      </w:r>
      <w:proofErr w:type="spellEnd"/>
      <w:r w:rsidRPr="00D33231">
        <w:rPr>
          <w:rFonts w:ascii="Times New Roman" w:hAnsi="Times New Roman" w:cs="Times New Roman"/>
          <w:i/>
          <w:sz w:val="28"/>
          <w:szCs w:val="28"/>
        </w:rPr>
        <w:t>», Санкт-Петербург</w:t>
      </w:r>
    </w:p>
    <w:p w:rsidR="00D33231" w:rsidRPr="00D33231" w:rsidRDefault="00FA2846" w:rsidP="00A034C4">
      <w:pPr>
        <w:keepNext/>
        <w:spacing w:after="0"/>
        <w:ind w:firstLine="709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9" w:history="1">
        <w:r w:rsidR="00D33231" w:rsidRPr="004977A4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vmakarova@hse.ru</w:t>
        </w:r>
      </w:hyperlink>
      <w:r w:rsidR="00D332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hyperlink r:id="rId10" w:history="1">
        <w:r w:rsidR="00D33231" w:rsidRPr="004977A4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dronovoy@yandex.ru</w:t>
        </w:r>
      </w:hyperlink>
      <w:r w:rsidR="00D332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0B209E" w:rsidRDefault="000B209E" w:rsidP="00196882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07F85" w:rsidRPr="00196882" w:rsidRDefault="00D07F85" w:rsidP="00196882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GoBack"/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финансового рынка и реального сектора экономики, именуемое в теории «финансовая модель» России постепенно</w:t>
      </w:r>
      <w:r w:rsid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претерпевает изменения, соответствующие общемировым тенденциям. И, если ранее бол</w:t>
      </w:r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шинство ученых характеризовали</w:t>
      </w:r>
      <w:r w:rsid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финансовую модель России как смешанную, тяготеющую </w:t>
      </w:r>
      <w:proofErr w:type="gramStart"/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германской, то экономические события 2014 года вынуждают финансовую систему</w:t>
      </w:r>
      <w:r w:rsid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исподволь переориентироваться на актуализацию сектора долевых ценных бумаг.</w:t>
      </w:r>
      <w:r w:rsid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F130B"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настоящей статье представлен подр</w:t>
      </w:r>
      <w:r w:rsidR="00770608" w:rsidRPr="0019688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обный анализ развития банковского сектора в корреляции с реальным сектором экономики, обуславливающий формирование представленных выводов</w:t>
      </w:r>
    </w:p>
    <w:bookmarkEnd w:id="0"/>
    <w:bookmarkEnd w:id="1"/>
    <w:p w:rsidR="005B2F1D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научной литературе довольно большое внимание уделяется 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ствию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рынка 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взаимному вли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их развития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теории, роль финансового рынка в</w:t>
      </w:r>
      <w:r w:rsidR="00111B69" w:rsidRPr="0011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институциональном устройстве экономик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стран, финансовые системы в целом разделяют на две модели: германскую и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англосаксонскую. </w:t>
      </w:r>
      <w:proofErr w:type="gramStart"/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большинства ученых, российская модель финансовой системы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охарактеризовать как смеша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тяготеющую к германской модели</w:t>
      </w:r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ней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характеристики как англосаксонской, так и германской моделей.</w:t>
      </w:r>
      <w:proofErr w:type="gramEnd"/>
      <w:r w:rsidR="0077060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 фоне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растущего интереса к </w:t>
      </w:r>
      <w:r w:rsidR="0010239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и развитию 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для </w:t>
      </w:r>
      <w:r w:rsidR="0010239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бизнеса 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10239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корпоративного управления, корпоративный риск-менеджмент, управление, ориентированное на стоимость для акционеров</w:t>
      </w:r>
      <w:r w:rsidR="00785F6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2F1D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финансовой системы неизбежна.</w:t>
      </w:r>
    </w:p>
    <w:p w:rsidR="00484DD8" w:rsidRPr="009F1FC7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Немалую роль в данном вопросе играют финансовые посредники, разв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рынка которых можно наблюдать в Российской Федерации. В целом, ф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посредник представляет собой организацию, функцией которого я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перераспределение финансовых ресурсов от одних субъектов в пользу других. Наиболее распространенным финансовым посредником является банк </w:t>
      </w:r>
      <w:r w:rsidR="009F1FC7" w:rsidRPr="009F1FC7">
        <w:rPr>
          <w:rFonts w:ascii="Times New Roman" w:eastAsia="Times New Roman" w:hAnsi="Times New Roman" w:cs="Times New Roman"/>
          <w:sz w:val="28"/>
          <w:szCs w:val="28"/>
          <w:lang w:eastAsia="ru-RU"/>
        </w:rPr>
        <w:t>[2, 11]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банковской деятельности, конечно, является получение прибыли и увеличение благосостояния его собственников, но достигается это преимущ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путем качественного перераспределения ресурсов между субъектами экономики, за что банк и получает главный источник своего дохода – чистый процентный доход </w:t>
      </w:r>
      <w:r w:rsidR="009F1FC7" w:rsidRPr="009F1FC7">
        <w:rPr>
          <w:rFonts w:ascii="Times New Roman" w:eastAsia="Times New Roman" w:hAnsi="Times New Roman" w:cs="Times New Roman"/>
          <w:sz w:val="28"/>
          <w:szCs w:val="28"/>
          <w:lang w:eastAsia="ru-RU"/>
        </w:rPr>
        <w:t>[4, 88].</w:t>
      </w:r>
    </w:p>
    <w:p w:rsidR="00720394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банковского сектора в экономике трудно переоценить. Зачастую только используя заемные финансовые ресурсы, компания может выйти на др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уровень своего развития или просто хотя бы покрыть свои кассовые разр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B618FB" w:rsidRPr="00B618FB">
        <w:rPr>
          <w:rFonts w:ascii="Times New Roman" w:eastAsia="Times New Roman" w:hAnsi="Times New Roman" w:cs="Times New Roman"/>
          <w:sz w:val="28"/>
          <w:szCs w:val="28"/>
          <w:lang w:eastAsia="ru-RU"/>
        </w:rPr>
        <w:t>[7, 17].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Казалось бы, связь между развитием банковского и реального сект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очевидной. Так как 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роль финансового рынка закл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чается в перераспределении финансовых потоков в наиболее перспективные отрасли и сферы </w:t>
      </w:r>
      <w:r w:rsidR="00B618FB" w:rsidRPr="00B6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[6, </w:t>
      </w:r>
      <w:r w:rsidR="003B0194" w:rsidRPr="003B019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618FB" w:rsidRPr="00B618F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ведущее звено финансового рынка,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рераспределяют финансовые ресурсы таким образом, что улучшается полож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компаний-клиентов (иначе у них не было бы смысла пользоваться данными услугами)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следствие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активном экономическом росте,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банковский се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активный рост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FB" w:rsidRPr="00B618FB">
        <w:rPr>
          <w:rFonts w:ascii="Times New Roman" w:eastAsia="Times New Roman" w:hAnsi="Times New Roman" w:cs="Times New Roman"/>
          <w:sz w:val="28"/>
          <w:szCs w:val="28"/>
          <w:lang w:eastAsia="ru-RU"/>
        </w:rPr>
        <w:t>[3, 20]</w:t>
      </w:r>
      <w:r w:rsidR="00B6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действительности этого не происходит.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динамику развития банковского сектора в корреляции с реальным сектором экономики за период 2012-2016 гг.</w:t>
      </w:r>
    </w:p>
    <w:p w:rsidR="00114B8C" w:rsidRPr="00196882" w:rsidRDefault="00114B8C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 банковского сектора до санкций в 2014 году.</w:t>
      </w:r>
    </w:p>
    <w:p w:rsidR="00720394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тысячи двенадцатый год ознаменовался 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существенным развитием российского</w:t>
      </w:r>
      <w:r w:rsid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банковского сектора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Банки постоянно демонстрировали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объемы кредитования и доходов. Только по итогам первых 9 месяцев 2012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ОАО «СБЕРБАНК РОССИИ» нарастил портфель кредитов юридическим лицам на 18,6%, а физическим на 48,9% по международным стандартам фина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отчетности. Причем данный рост сопровождался снижением на 13,6% 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зервов под обесценение. По Банку ВТБ также наблюдался рост (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сильный) объема кредитования розничного сектора, на фоне стабильного портфеля кредитования клиентов корпоративного сегмента. 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данные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основными индикаторами деятельности банковского сектора, и на основании их данных можно сделать вывод о 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динамике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72039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банковского сектора в 2012 году. </w:t>
      </w:r>
    </w:p>
    <w:p w:rsidR="00484DD8" w:rsidRPr="00196882" w:rsidRDefault="00484DD8" w:rsidP="007F0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2013 году руководство Банка России сообщило, что по итогам 2012 года совокупная прибыль банковского сектора превысила рекордные 1 трлн. рублей (в 2011 году совокупная прибыль составила 848 млрд. руб.). 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новременно на фоне данных новостей руководством страны было объявлено о замедлении темпов роста отечественной экономики. По данным Федеральной службы государственной статистики индекс промышленного производства в 2012 году составил 102,6 против 104,7 в 2011 году и 108,2 в 2010 (см. таблицу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0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Индексы производства по отдельным видам экономической деятельности Российской Федерации</w:t>
      </w:r>
      <w:r w:rsidR="003A6A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361"/>
        <w:gridCol w:w="1701"/>
        <w:gridCol w:w="1984"/>
        <w:gridCol w:w="1843"/>
      </w:tblGrid>
      <w:tr w:rsidR="00484DD8" w:rsidRPr="00196882" w:rsidTr="00785F6F">
        <w:tc>
          <w:tcPr>
            <w:tcW w:w="4361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196882">
              <w:rPr>
                <w:rFonts w:ascii="Times New Roman" w:eastAsia="Times New Roman" w:hAnsi="Times New Roman"/>
                <w:b/>
              </w:rPr>
              <w:t>2010</w:t>
            </w:r>
          </w:p>
        </w:tc>
        <w:tc>
          <w:tcPr>
            <w:tcW w:w="1984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196882">
              <w:rPr>
                <w:rFonts w:ascii="Times New Roman" w:eastAsia="Times New Roman" w:hAnsi="Times New Roman"/>
                <w:b/>
              </w:rPr>
              <w:t>2011</w:t>
            </w:r>
          </w:p>
        </w:tc>
        <w:tc>
          <w:tcPr>
            <w:tcW w:w="1843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196882">
              <w:rPr>
                <w:rFonts w:ascii="Times New Roman" w:eastAsia="Times New Roman" w:hAnsi="Times New Roman"/>
                <w:b/>
              </w:rPr>
              <w:t>2012</w:t>
            </w:r>
          </w:p>
        </w:tc>
      </w:tr>
      <w:tr w:rsidR="00484DD8" w:rsidRPr="00196882" w:rsidTr="00785F6F">
        <w:tc>
          <w:tcPr>
            <w:tcW w:w="4361" w:type="dxa"/>
          </w:tcPr>
          <w:p w:rsidR="00484DD8" w:rsidRPr="00196882" w:rsidRDefault="00484DD8" w:rsidP="00196882">
            <w:pPr>
              <w:spacing w:line="360" w:lineRule="auto"/>
              <w:ind w:firstLine="709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Промышленное производство</w:t>
            </w:r>
          </w:p>
        </w:tc>
        <w:tc>
          <w:tcPr>
            <w:tcW w:w="1701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108,2</w:t>
            </w:r>
          </w:p>
        </w:tc>
        <w:tc>
          <w:tcPr>
            <w:tcW w:w="1984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104,7</w:t>
            </w:r>
          </w:p>
        </w:tc>
        <w:tc>
          <w:tcPr>
            <w:tcW w:w="1843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102,6</w:t>
            </w:r>
          </w:p>
        </w:tc>
      </w:tr>
      <w:tr w:rsidR="00484DD8" w:rsidRPr="00196882" w:rsidTr="00785F6F">
        <w:tc>
          <w:tcPr>
            <w:tcW w:w="4361" w:type="dxa"/>
          </w:tcPr>
          <w:p w:rsidR="00484DD8" w:rsidRPr="00196882" w:rsidRDefault="00484DD8" w:rsidP="00196882">
            <w:pPr>
              <w:spacing w:line="360" w:lineRule="auto"/>
              <w:ind w:firstLine="709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103,6</w:t>
            </w:r>
          </w:p>
        </w:tc>
        <w:tc>
          <w:tcPr>
            <w:tcW w:w="1984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101,9</w:t>
            </w:r>
          </w:p>
        </w:tc>
        <w:tc>
          <w:tcPr>
            <w:tcW w:w="1843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101,1</w:t>
            </w:r>
          </w:p>
        </w:tc>
      </w:tr>
      <w:tr w:rsidR="00484DD8" w:rsidRPr="00196882" w:rsidTr="00785F6F">
        <w:tc>
          <w:tcPr>
            <w:tcW w:w="4361" w:type="dxa"/>
          </w:tcPr>
          <w:p w:rsidR="00484DD8" w:rsidRPr="00196882" w:rsidRDefault="00484DD8" w:rsidP="00196882">
            <w:pPr>
              <w:spacing w:line="360" w:lineRule="auto"/>
              <w:ind w:firstLine="709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111,8</w:t>
            </w:r>
          </w:p>
        </w:tc>
        <w:tc>
          <w:tcPr>
            <w:tcW w:w="1984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106,5</w:t>
            </w:r>
          </w:p>
        </w:tc>
        <w:tc>
          <w:tcPr>
            <w:tcW w:w="1843" w:type="dxa"/>
          </w:tcPr>
          <w:p w:rsidR="00484DD8" w:rsidRPr="00196882" w:rsidRDefault="00484DD8" w:rsidP="00196882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196882">
              <w:rPr>
                <w:rFonts w:ascii="Times New Roman" w:eastAsia="Times New Roman" w:hAnsi="Times New Roman"/>
              </w:rPr>
              <w:t>104,1</w:t>
            </w:r>
          </w:p>
        </w:tc>
      </w:tr>
    </w:tbl>
    <w:p w:rsidR="00484DD8" w:rsidRPr="003A6A15" w:rsidRDefault="003A6A15" w:rsidP="003A6A1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3A6A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Составлено авторами по данным Минэкономразвития 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предоставленным данным, начиная с 2010 года, когда эконом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только начала выходить из кризиса, темпы роста промышленного произво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постоянно снижаются. 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заявлениях Правительства были выделены основные причины данной тенденции, которая только усугубилась в 2012 году:</w:t>
      </w:r>
    </w:p>
    <w:p w:rsidR="00484DD8" w:rsidRPr="00196882" w:rsidRDefault="00484DD8" w:rsidP="0019688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спроса на энергоресурсы со стороны европейских стран;</w:t>
      </w:r>
    </w:p>
    <w:p w:rsidR="00484DD8" w:rsidRPr="00196882" w:rsidRDefault="00484DD8" w:rsidP="00196882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урожая из-за засухи в южных регионах страны.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тревожным для России является влияние первого фактора, так как экономика страны в первую очередь зависит от спроса на ее энергоресурсы, и ситуацию с этим пока изменить так и не смогли. Влияние европейского до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гового кризиса на данный спрос </w:t>
      </w:r>
      <w:r w:rsidR="003B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и больше, правительства европейских стран и раньше понимали всю зависимость от российского газа, но при наличии серьезных фискальных проблем были просто вынуждены сокр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закупки российских энергоресурсов. Следовательно, 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влияние данного фактора смогло существенно затормозить темпы роста российской экон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мики, но при всем при этом банковский сектор продолжает наращивать свои портфели и демонстрировать впечатляющие результаты. Основная причина данного дисбаланса кроется в особенности деятельности российских комп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ний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анализа того, как развивался реальный сектор экономики, начиная с конца 2010 года, были использованы данные из базы данных Фед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ральной службы государственной статистики. Наиболее полные данные можно получить по деятельности крупных и средних организаций, поэтому именно они и были использованы в анализе (см. таблицу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совокупного баланса по деятельности крупных и средних организаций России</w:t>
      </w:r>
      <w:r w:rsidR="003A6A1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8860" w:type="dxa"/>
        <w:jc w:val="center"/>
        <w:tblInd w:w="92" w:type="dxa"/>
        <w:tblLook w:val="04A0" w:firstRow="1" w:lastRow="0" w:firstColumn="1" w:lastColumn="0" w:noHBand="0" w:noVBand="1"/>
      </w:tblPr>
      <w:tblGrid>
        <w:gridCol w:w="3985"/>
        <w:gridCol w:w="1435"/>
        <w:gridCol w:w="1720"/>
        <w:gridCol w:w="1720"/>
      </w:tblGrid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31.12.2011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30.09.2012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12 708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3A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  <w:r w:rsidR="003A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покупатели и заказчики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4 797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и займы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12 308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10 417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поставщики и подрядчики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5 401</w:t>
            </w:r>
          </w:p>
        </w:tc>
      </w:tr>
    </w:tbl>
    <w:p w:rsidR="003A6A15" w:rsidRDefault="003A6A15" w:rsidP="003A6A15">
      <w:pPr>
        <w:pStyle w:val="a3"/>
        <w:jc w:val="both"/>
      </w:pPr>
      <w:r>
        <w:t>*</w:t>
      </w:r>
      <w:r w:rsidRPr="003A6A15">
        <w:t xml:space="preserve"> Составлено авторами по данным Минэкономразвития</w:t>
      </w:r>
    </w:p>
    <w:p w:rsidR="003A6A15" w:rsidRDefault="003A6A15" w:rsidP="003A6A15">
      <w:pPr>
        <w:pStyle w:val="a3"/>
        <w:jc w:val="both"/>
      </w:pPr>
      <w:r>
        <w:t>**</w:t>
      </w:r>
      <w:r w:rsidRPr="001E001F">
        <w:t>Данные по показателям дебиторской задолженности на 30.09.2012 были взяты как средние между соотве</w:t>
      </w:r>
      <w:r w:rsidRPr="001E001F">
        <w:t>т</w:t>
      </w:r>
      <w:r w:rsidRPr="001E001F">
        <w:t>ствующими показателями на начало предыдущего и следующего месяца. За данные месяцы наблюдался план</w:t>
      </w:r>
      <w:r w:rsidRPr="001E001F">
        <w:t>о</w:t>
      </w:r>
      <w:r w:rsidRPr="001E001F">
        <w:t>мерный рост дебиторской задолженности, что свидетельствует, по мнению авторов, о довольно близком пр</w:t>
      </w:r>
      <w:r w:rsidRPr="001E001F">
        <w:t>и</w:t>
      </w:r>
      <w:r w:rsidRPr="001E001F">
        <w:t>ближении приведенных значений.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совокупного отчета о прибылях и убытках по де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крупных и средних организаций России</w:t>
      </w:r>
      <w:r w:rsidR="00BC3D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48" w:type="dxa"/>
        <w:jc w:val="center"/>
        <w:tblInd w:w="594" w:type="dxa"/>
        <w:tblLook w:val="04A0" w:firstRow="1" w:lastRow="0" w:firstColumn="1" w:lastColumn="0" w:noHBand="0" w:noVBand="1"/>
      </w:tblPr>
      <w:tblGrid>
        <w:gridCol w:w="3458"/>
        <w:gridCol w:w="1559"/>
        <w:gridCol w:w="1621"/>
        <w:gridCol w:w="1498"/>
        <w:gridCol w:w="1612"/>
      </w:tblGrid>
      <w:tr w:rsidR="00484DD8" w:rsidRPr="00196882" w:rsidTr="00785F6F">
        <w:trPr>
          <w:trHeight w:val="255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9м. 2011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9мес. 2012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33 955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27 884</w:t>
            </w:r>
          </w:p>
        </w:tc>
      </w:tr>
      <w:tr w:rsidR="00484DD8" w:rsidRPr="00196882" w:rsidTr="00785F6F">
        <w:trPr>
          <w:trHeight w:val="510"/>
          <w:jc w:val="center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Коммерческие и управленческие ра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3 446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от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</w:tr>
      <w:tr w:rsidR="00484DD8" w:rsidRPr="00196882" w:rsidTr="00785F6F">
        <w:trPr>
          <w:trHeight w:val="255"/>
          <w:jc w:val="center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за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84DD8" w:rsidRPr="00196882" w:rsidRDefault="00484DD8" w:rsidP="007F07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  <w:r w:rsidR="00BC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</w:tr>
    </w:tbl>
    <w:p w:rsidR="00BC3DFC" w:rsidRDefault="00BC3DFC" w:rsidP="00BC3DFC">
      <w:pPr>
        <w:pStyle w:val="a3"/>
        <w:jc w:val="both"/>
      </w:pPr>
      <w:r>
        <w:t>*</w:t>
      </w:r>
      <w:r w:rsidRPr="003A6A15">
        <w:t xml:space="preserve"> </w:t>
      </w:r>
      <w:r>
        <w:t xml:space="preserve"> </w:t>
      </w:r>
      <w:r w:rsidRPr="003A6A15">
        <w:t>Составлено авторами по данным Минэкономразвития</w:t>
      </w:r>
    </w:p>
    <w:p w:rsidR="00484DD8" w:rsidRPr="00B5315A" w:rsidRDefault="00BC3DFC" w:rsidP="00B5315A">
      <w:pPr>
        <w:pStyle w:val="a3"/>
        <w:jc w:val="both"/>
      </w:pPr>
      <w:r>
        <w:t>**</w:t>
      </w:r>
      <w:r w:rsidRPr="00BC3DFC">
        <w:t xml:space="preserve"> </w:t>
      </w:r>
      <w:r w:rsidRPr="001E001F">
        <w:t>Данные за сентябрь были взяты на основе среднемесячной выручки по итогам первых 8 месяцев 2012 года, так как данные отсутствовали.</w:t>
      </w:r>
    </w:p>
    <w:p w:rsidR="00484DD8" w:rsidRPr="00196882" w:rsidRDefault="00720394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изменений,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произошедших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крупных и средних организаций в России, а также последствий растущего объема кред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тования со стороны банковского сектора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что:</w:t>
      </w:r>
    </w:p>
    <w:p w:rsidR="00484DD8" w:rsidRPr="00196882" w:rsidRDefault="00720394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крупной статьей актива совокупного баланса являются осно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средства (12,7 трлн. руб.)</w:t>
      </w:r>
      <w:proofErr w:type="gramStart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конец 2012 года, в реальном секторе экономике, несмотря на </w:t>
      </w:r>
      <w:r w:rsidR="00BC3C79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рост инвестиций и повсеместную модернизацию,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сложилась такая ситуация, что много основных прои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фондов</w:t>
      </w:r>
      <w:r w:rsidR="00BC3C79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еще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C79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устаревшими и ветхими. Отечественной экономике требуется </w:t>
      </w:r>
      <w:r w:rsidR="00BC3C79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обновление основных капиталоемких фондов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новых объектов, приобретение нового оборудования. Особенно остро ситуация стоит в энергетическом секторе. По приведенным данным</w:t>
      </w:r>
      <w:r w:rsidR="00BC3C79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</w:t>
      </w:r>
      <w:r w:rsidR="00BC3C79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3C79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гетической отрасли</w:t>
      </w:r>
      <w:r w:rsidR="003B0194" w:rsidRPr="003B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FB" w:rsidRPr="00B6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видеть, что рост основных средств является 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proofErr w:type="gramStart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быстрых. В 2011 году совокупная стоимость основных средств выросла на 10%, а по итогам 9 месяцев 2012 года на 12,9%. Однако тревожным моментом является низкие темпы роста незавершенного строительства, по ит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2011 года данная статья не изменилась, в 2012 начала показывать слабый рост. Все это может привести к тому, что темпы ввода новых основных средств могут замедлиться в будущем, и намеченная модернизация основных фондов не состоится. В 2011 году также можно отметить, что темпы роста кредитования рассмотренных организаций превышали темпы роста основных средств и сущ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превышали темпы роста запасов. Это является свидетельством того, </w:t>
      </w:r>
      <w:r w:rsidR="00E75CE5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что,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корпорации производили финансирование капитального стр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и закупку оборудования в большей степени за счет заемных средств. В 2012 году ситуация несколько поменялась, темп роста материальных активов был выше темпа роста заемных средств, однако если рассмотреть изменение за период 2010 - 9месяцев 2012, то ситуация также окажется не позитивной. Темп роста кредитования организаций был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выше.</w:t>
      </w:r>
    </w:p>
    <w:p w:rsidR="00484DD8" w:rsidRPr="00196882" w:rsidRDefault="00BC3C79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показателя совокупной дебиторской задолженности организ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тоже можно отметить </w:t>
      </w:r>
      <w:r w:rsidR="00A569EA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нехарактерные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тенденции. Темпы роста задолженн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покупателей и заказчиков существенно отстают от показателей темпов 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выручки. Так по итогам 2011 года темп роста выручки составил 23%, при этом задолженности покупателей выросла только на 15%. В 2012 году тенде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ускорения оборачиваемости продолжилась. Это свидетельствует о том, что после осуществления работ или отгрузки продукции, компании требует все б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быстрого осуществления расчетов. В тоже время доля задолженности пок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пателей и заказчиков в совокупном объеме дебиторской задолженности в 2011 и 2012 годах снижалась. </w:t>
      </w:r>
      <w:r w:rsidR="00A569EA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ситуация вызвана тем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компании не только хотят производить расчеты как можно быстрее друг с другом, но еще и требуют от контрагентов производить авансирование продукции или работ в большем объеме. Все это является благоприятным фактором для развития банковского сектора, который осуществляет большее кредитование кассовых разрывов, к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возникают из-за этой необходимости авансирования. Требования комп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 более быстром проведении расчетов и вышеуказанном авансировании не могут являться свидетельством </w:t>
      </w:r>
      <w:r w:rsidR="00A569EA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 ситуации. Компании </w:t>
      </w:r>
      <w:r w:rsidR="00A569EA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опасаются банкротства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69EA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снижения платежеспособности контрагентов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хотят минимизировать свои риски. </w:t>
      </w:r>
      <w:r w:rsidR="00A569EA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ситуации банки наращивают кредитные портфели,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одновременно перекладывают с компаний на себя риск этих неплатежей.</w:t>
      </w:r>
    </w:p>
    <w:p w:rsidR="00484DD8" w:rsidRPr="00196882" w:rsidRDefault="00A569EA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объем кредитов и займов, предоставленных крупным и средним организациям составил 11,4 трлн. руб. на 31.12.2011, что превышает аналогичный показатель годом ранее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17,1%. За 9 месяцев 2012 года сов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купная ссудная задолженность выросла на 8%, что является свидетельством т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что основным драйвером роста объема банковского кредитования розни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сектор, а также субъекты малого бизнеса.</w:t>
      </w:r>
      <w:proofErr w:type="gramEnd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это было в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 тем, что текущая долговая нагрузка кредитов на выручку по рассмотре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сегменту составляет 3,3. Данный показатель является средним, однако, с учетом того, что рентабельность российских компаний обычно находится на невысоких уровнях, дальнейшее увеличение портфеля по данному сегменту уже не так легко осуществимо. Тем более с учетом того, что темпы роста кр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дитования превышают темпы роста материальных активов. Это приводит к т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что обязательства кредитного характера все хуже и хуже обеспечены зал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гом, что таит в себе дополнительные риски для банковского сектора, которые еще не проявили себя.</w:t>
      </w:r>
    </w:p>
    <w:p w:rsidR="00484DD8" w:rsidRPr="00196882" w:rsidRDefault="005D0E16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фактором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финансовом состоянии исследуемого 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риода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превышение задолженности перед поставщиками и по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рядчиками над задолженностью покупателей и заказчиков. Это позволяло ко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паниям рассматриваемого сегмента отчасти удерживаться от дальнейшего кр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дитования, так как отсрочка поставщикам превышает отсрочку платежа со ст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 покупателей.</w:t>
      </w:r>
    </w:p>
    <w:p w:rsidR="00484DD8" w:rsidRPr="00196882" w:rsidRDefault="005D0E16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показателей совокупного отчета о прибылях и убытках можно отметить в основном негативные моменты относительно развития сектора. Темпы роста промышленного производства в 2012 году, как было отмечено выше, существенно замедлились. Рост выручки по итогам 9 месяцев 2012 года составил 17,6% относительно выручки за аналогичный период 2011 года. Уч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темпы роста производства, вполне логично сделать вывод о том, что 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драйвером роста выручки является увеличение цен оказываемых услуг и отпускаемой продукции. В рассматриваемом сегменте много энергоемких производств, корпораций с большими транспортными расходами, а тарифы естественных монополий продолжают расти существенными темпами и сде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 их довольно тяжело, поэтому рост данных тарифов перекладывается в цену продукции или услуги. Следующим негативным фактором является оп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режающие темпы роста себестоимости производства. Операционная рентабел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деятельности итак находилась не на самых высоких уровнях после криз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а в 2012 году продолжила снижаться. По итогам 9 месяцев 2012 года опер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ционная рентабельность составила 7,7%, в то время как в 2010 году данный 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 составлял 8,8%, а в 2011 году 8,9%. Скорее всего, опережающий темп роста себестоимости был вызван указанным ростом тарифов естественных м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нополий. Корпорации были поставлены в такие условия, в которых довольно тяжело продолжать модернизировать свое производство. В условиях стабил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экономического роста, организации обычно наращивают свои коммерч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управленческие расходы, что видно по их опережающим темпам относ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выручки. В 2011-2012 годах, темпы роста данного вида расходов стали существенно отставать от роста выручки, что свидетельствует о том, что ко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пании начинают экономить на том, чём могут.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корпорации реального сектора экономики поставлены в такие тяжелые условия, знаменательным выглядит колоссальный рост расходов на обслуживание своих обязательств. По итогам 9 месяцев 2012 года совоку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объем уплаченных процентов по кредитам и займам вырос на 27,7%, что и позволило банковскому сектору показать такие впечатляющие результаты по итогам 2012 года. Компании все реже могут предоставить обеспечение по св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обязательствам, все больше осуществляют заимствований на авансирование своих поставщиков и подрядчиков, а также осуществление инвестиционных программ, показывают снижение рентабельности своей деятельности из-за 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желых экономических условий, и банки на данном фоне поднимают свои ста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чтобы оправдать свои риски. </w:t>
      </w:r>
    </w:p>
    <w:p w:rsidR="003C4564" w:rsidRPr="00196882" w:rsidRDefault="003C4564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совокупный финансовый результат компаний за 2011 и 2012 годы также можно сделать неутешительные выводы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564" w:rsidRPr="00196882" w:rsidRDefault="00484DD8" w:rsidP="0019688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рентабельности падал</w:t>
      </w:r>
      <w:r w:rsidR="003C456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подряд, что было вызвано как снижением операционной рентабельности, так и ростом расходов на обслуживание долга. Рентабельность в 2011 году составила 9,3% против 10,0% в 2010 году, по итогам 9 месяцев 2012 года данный показатель составил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9,7% против 9,9% по итогам 9 месяцев 2011 года. Казалось бы, снижение не 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существенное, однако следует рассмотреть, из чего сформировалась пр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за 9 месяцев в 2012 году, которая превысила показатель операционной прибыли, ведь раньше такой ситуации не было. На основе данных Федеральной службы государственной статистики сделать вывод о точных причинах нельзя, однако, скорее всего это было связано с влиянием курсовых разниц на валю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обязательства компаний. </w:t>
      </w:r>
    </w:p>
    <w:p w:rsidR="00484DD8" w:rsidRPr="00196882" w:rsidRDefault="00196882" w:rsidP="0019688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2012 года и доллар, и евро продемонстрир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снижение на 4%, что не могло не привести к дополнительным доходам в финансовой отчетности, вызванных обесценением своих обязательств, которые номинированы в валюте. Причем данные дополнительные доходы не перел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жились в виде расходов на банковский сектор,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банки под валютные 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 осуществляют валютное фондирование, следовательно, их переоценка б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обоюдна. Таким образом, итоговая прибыль рассматриваемого сектора эк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номики, мало того, что приводит к снижению рентабельности, так и формир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 счет разовых статей, которые вполне могут стать отрицательными в 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периодах. При таком росте расходов на обслуживание своих обяз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тельств, совокупная прибыль компаний должна была бы продемонстрировать снижение, и только благоприятное стечение обстоятельств позволило этого 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бежать.</w:t>
      </w:r>
    </w:p>
    <w:p w:rsidR="00484DD8" w:rsidRPr="00196882" w:rsidRDefault="00337CD6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 сохранилась и на 2013 год.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вышеприведенного анализа можно сделать вывод о том, что реальный сектор отечественной эк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 на текущий момент находится в довольно тяжелых условиях. 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Банко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ский сектор наоборот</w:t>
      </w:r>
      <w:r w:rsid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использует финансовые затруднения компаний для т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го, чтобы увеличить свой кредитный портфель, а также повысить ставку (и маржу) для того, чтобы оправдать свои риски. Все это приводит к рекордным показателям деятельности банковского сектора, на фоне </w:t>
      </w:r>
      <w:r w:rsidR="003C4564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удр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484DD8"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чающего состояния реального сектора.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5DE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исследуемый период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еще не привела к тому, что банки должны создавать дополнительные резервы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объеме, что привело бы к показательному снижению их прибыли, однако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тенденция будет сохраняться, такая ситуация может снова наступить в ближайшие годы. Данная ситуация является особенностью развития отеч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экономики. Все сектора экономики функционируют, не ощущая себя в тесной взаимосвязи с другими. Целью деятельности является как можно большее накопление ресурсов в текущий момент времени, чтобы пережить б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тяжелые условия, когда они настанут. </w:t>
      </w:r>
      <w:proofErr w:type="gramStart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 банковской системе ос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знавали всю пагубность текущей ситуации, когда поставленные в тяжелые условия корпорации все больше и больше погружаются в «долговую яму» на фоне растущих ставок, что оставляет для них всё меньше и меньше средств на развитие производства и подъем экономики, адекватным ответов со стороны банков было бы нахождение новых путей финансирования деятельности реал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сектора с целью недопущения</w:t>
      </w:r>
      <w:proofErr w:type="gramEnd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рецессии.</w:t>
      </w:r>
    </w:p>
    <w:p w:rsidR="00484DD8" w:rsidRPr="00196882" w:rsidRDefault="00196882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финансовых посредников в финансировании отечестве</w:t>
      </w:r>
      <w:r w:rsidR="00484DD8" w:rsidRPr="0019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84DD8" w:rsidRPr="0019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компаний в 2014-2016 гг.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стал беспрецедентным для новой отечественной экономики. В декабре 2014 года Центральный Банк увеличил ключевую ставку до 17% </w:t>
      </w:r>
      <w:proofErr w:type="gram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gram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привело к резкому увеличению стоимости фондирования для банко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сферы. </w:t>
      </w:r>
      <w:proofErr w:type="gram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наложенными западными странами санкциями на кру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нейшие банки страны в части привлечения данными банками средств со стор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западных стран и корпораций, это привело к резкому дефициту ликвидности в банковском секторе, а также привело к увеличению ставок финансирования корпораций до такого уровня, что использование заемного финансирования стало нецелесообразным, так как расходы на проценты по банковским кредитам не могли быть покрыты</w:t>
      </w:r>
      <w:proofErr w:type="gram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рентабельности бизнеса. Банковский сектор в конце 2014 года и начале 2015 года был под обвинениями в масштабных 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лютных спекуляциях и искусственном ограничении ликвидности. Последствия данных событий выразились в финансовых затруднениях, как для самих ба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так и для корпораций реального сектора экономики.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показатели деятельности банковского сектора Ро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в 2014-2016 годах</w:t>
      </w:r>
      <w:r w:rsidR="00BC3D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1476"/>
        <w:gridCol w:w="1476"/>
        <w:gridCol w:w="1476"/>
        <w:gridCol w:w="1476"/>
      </w:tblGrid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01.06.2016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Действующие кредитные организации, шт. 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совокупных активах первых 5 банков, %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совокупных активах банков с 6 по 20 место, %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Вложения банков в долговые ценные бумаги,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9 730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Вложения банков в долевые ценные бумаги,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нефинансовым организац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29 536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32 380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31 374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просроченные,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просроченных кредитов, %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текущего года,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Депозиты нефинансовых организаций,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19 018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17 138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17 636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вложений банков в ценные бум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в иностранной валюте, %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прибыльных кредитных организаций, шт.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</w:tr>
      <w:tr w:rsidR="00484DD8" w:rsidRPr="00196882" w:rsidTr="00BC3DFC">
        <w:trPr>
          <w:trHeight w:val="300"/>
        </w:trPr>
        <w:tc>
          <w:tcPr>
            <w:tcW w:w="3561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убыточных кредитных организаций, шт.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</w:tr>
    </w:tbl>
    <w:p w:rsidR="00484DD8" w:rsidRPr="00BC3DFC" w:rsidRDefault="00BC3DFC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FC">
        <w:rPr>
          <w:rFonts w:ascii="Times New Roman" w:hAnsi="Times New Roman" w:cs="Times New Roman"/>
        </w:rPr>
        <w:t>* Составлено авторами по данным Минэкономразвития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Масштабные валютные спекуляции, ухудшение качества кредитного портфеля и невозможность доначисления соответствующих резервов привели к тому, что банковский сектор стал находиться под давлением со стороны Це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трального Банка России. Расчистка банковского сектора от недобросовестных игроков продолжалась на протяжении всего рассматриваемого периода, что выразилась в масштабном отзыве лицензий у кредитных организаций, деятел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которых не соответствовала требованиям законодательства России.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рассматриваемом периоде численность кредитных организаций сократилась на 145 штук и составила 689 штук на конец мая 2016 года. Безусловно данные м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приводят к дальнейшей стабилизации на банковском рынке, что опосред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 влияет и на корпорации реального сектора, для которых остается меньше возможностей проводить нелегальные операции, в том числе по </w:t>
      </w:r>
      <w:proofErr w:type="spell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средств. 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инвестиционных портфелей банковского сектора мо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отметить существенный рост вложений в долговые ценные бумаги (+2 019 </w:t>
      </w:r>
      <w:proofErr w:type="gram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+27%) на фоне сокращения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вложений в долевые ценные бумаги (-175 млрд руб. или -36%). Это является 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полным отражением отсутствия в </w:t>
      </w:r>
      <w:r w:rsidRPr="001968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стране культуры массового владения бизнесом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кредитные отношения рассматриваются как более стабильные по сравнению с участием в капитале корпораций реального сектора.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только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развитого рынка акций позволит создать для корпораций реального сектора возможность </w:t>
      </w:r>
      <w:proofErr w:type="spell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</w:t>
      </w:r>
      <w:proofErr w:type="spell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от населения в реальную экономику, что позволит ко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порациям осуществить модернизацию своих производственных фондов и направить экономику страны в инновационное русло. В настоящий момент это не представляется возможным, так как фактически единственным источником длинных денег для корпораций являются банковские кредиты и облигационные займы, однако с учетом действующего в 2014-2016 годах уровня процентных ставок перспектив для реальной модернизации нет, так как отсутствуют соо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ветствующие источники финансирования. 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объем кредитов, предоставленных корпорациям реального сектора со стороны банков, увеличился с 01.01.2015 до 01.06.2016 на 1 838 </w:t>
      </w:r>
      <w:proofErr w:type="gram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+6%. Учитывая тот факт, что существенная часть кредитов была номинирована в иностранной валюте (доллары и евро), а также рост себесто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практически для всех корпораций реального сектора из-за ослабления курса рубля и внутренней инфляции, рост уровня кредитования является нед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статочным. При этом большинство предприятий итак являются </w:t>
      </w:r>
      <w:proofErr w:type="spell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закредитова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действительности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больший объем предоставления кредитов корпорациям может иметь негативные последствия для экономики. Источниками развития предприятий действительно должны стать долевые 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струменты фондового рынка. Уровень просроченных обязательств по банко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сектору увеличился с 4% до 7%. Если тенденция увеличения уровня пр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сроченных обязательств не прекратится, то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для формирования своей прибыли будут покрывать свои убытки за счет увеличения ставок платежесп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собным заемщикам. А дальнейшее увеличение процентных ставок делает 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инновационное развитие экономики, которое является для России необходимым в условиях отставания в уровне технологического прогресса по сравнению с большинством развитых стран. </w:t>
      </w:r>
    </w:p>
    <w:p w:rsidR="00484DD8" w:rsidRPr="00196882" w:rsidRDefault="00114B8C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что банки увеличивают ставки кредитования, количество прибыльных кредитных организаций стремительно сокращалось в рассматр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ваемом периоде. Всего прибыль за отчетный период отразили по состоянию на 01.06.2016 всего 419 кредитных организаций против 707 кредитных организ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на 01.01.2015. При этом количество убыточных кредитных организаций увеличилось со 126 по состоянию на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01.01.2015 до 265 по состоянию на 01.06.2016. Совокупная прибыль банковского сектора в 2015 году сократилась по сравнению с 2014 годом на 33%.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можно сделать вывод, что банковский се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в 2014-2016 годах благодаря регулированию со стороны Центрального Ба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России стал в большей степени отражать ситуацию, происходящую в реал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секторе экономики. Общее количество банков сокращается, так как их к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было чрезмерным для уровня развития отечественной экономики. К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кредитного портфеля объективно падает из-за проблем у корпораций, что приводит к сокращению прибыли банковского сектора, который фактич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уже не может стать драйвером развития отечественной экономики, а до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просто осуществлять поддержку реального сектора. С учетом текущего уровня процентных ставок, что не зависит от представителей банковского се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тора, которые только формируют свою маржу на рынке, потенциал развития отечественной экономики лежит в сфере развития инструментов долевого ф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нансирования, когда граждане страны станут собственниками бизнеса и осно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источником финансирования технологического прогресса.</w:t>
      </w:r>
    </w:p>
    <w:p w:rsidR="007F072B" w:rsidRPr="000B209E" w:rsidRDefault="00484DD8" w:rsidP="000B20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полной картины взаимодействия между реальным и финансовым секторами в экономике России в 2014 и 2016 годах необходимо рассмотреть аналогично и состояние реального сектора экономики в данном периоде. Однако длительный период предоставления финансовой отчетности корпораций в налоговые органы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длительный период их обработки приводит к тому, что по состоянию на июнь 2015 года в открытом доступе предоставл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только сводная информация по финансовому состоянию крупнейших ко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пораций России за период 01.01.2014 – 01.01.2015. При этом к крупнейшим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корпорациям по методике Банка России относятся все корпорации реального сектора с совокупной стоимостью активов свыше 10 </w:t>
      </w:r>
      <w:proofErr w:type="gramStart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84DD8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14B8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показатели финансового состояния крупнейших корпораций России</w:t>
      </w:r>
      <w:r w:rsidR="00BC3D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00" w:type="dxa"/>
        <w:tblInd w:w="91" w:type="dxa"/>
        <w:tblLook w:val="04A0" w:firstRow="1" w:lastRow="0" w:firstColumn="1" w:lastColumn="0" w:noHBand="0" w:noVBand="1"/>
      </w:tblPr>
      <w:tblGrid>
        <w:gridCol w:w="6352"/>
        <w:gridCol w:w="1116"/>
        <w:gridCol w:w="1116"/>
        <w:gridCol w:w="1116"/>
      </w:tblGrid>
      <w:tr w:rsidR="00484DD8" w:rsidRPr="00196882" w:rsidTr="00BC3DFC">
        <w:trPr>
          <w:trHeight w:val="300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01.10.2015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Активы,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67 153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средства,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23 114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вложения,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23 958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Собственный капитал,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34 244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 и займы,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21 378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Долг/Собственный капитал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Выручка,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21 769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14 390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себестоимости в выручке,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к уплате,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прибыль, </w:t>
            </w:r>
            <w:proofErr w:type="gramStart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млрд</w:t>
            </w:r>
            <w:proofErr w:type="gramEnd"/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рентабельность,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компаний с "хорошим" финансовым состоянием,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компаний со "средним" финансовым состоянием,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компаний с "плохим" финансовым состоянием,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собственного капитала в валюте баланса,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инвестиционных ресурсов,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4DD8" w:rsidRPr="00196882" w:rsidTr="00BC3DFC">
        <w:trPr>
          <w:trHeight w:val="300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рентабельных предприятий, 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DD8" w:rsidRPr="00196882" w:rsidRDefault="00484DD8" w:rsidP="00B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</w:tbl>
    <w:p w:rsidR="00114B8C" w:rsidRPr="00BC3DFC" w:rsidRDefault="00BC3DFC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DFC">
        <w:rPr>
          <w:rFonts w:ascii="Times New Roman" w:hAnsi="Times New Roman" w:cs="Times New Roman"/>
        </w:rPr>
        <w:t>* Составлено авторами по данным Минэкономразвития</w:t>
      </w:r>
      <w:r w:rsidR="00484DD8" w:rsidRPr="00BC3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4B8C" w:rsidRPr="00196882" w:rsidRDefault="00114B8C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данных таблицы 5 можно сделать следующие 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воды: </w:t>
      </w:r>
    </w:p>
    <w:p w:rsidR="00484DD8" w:rsidRPr="00196882" w:rsidRDefault="00114B8C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рост совокупной стоимости активов у корпораций объясним за счет роста уровня цен, что приводит к росту уровня запасов и дебиторской задолженности при одних и тех же объемах производства и при сохранившейся структуре расчетов с поставщиками и заказчиками. Немаловажную роль играют также валютные активы, переоценка которых играет существенную роль на 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 совокупной стоимости активов. При этом повышенный уровень пр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центных ставок, о котором было написано выше, не позволяет корпорациям осуществлять инвестиционную деятельность в необходимых объемах. Это пр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 практически стабильном уровне основных средств. </w:t>
      </w:r>
    </w:p>
    <w:p w:rsidR="00484DD8" w:rsidRPr="00196882" w:rsidRDefault="000A3ABF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капитал корпораций демонстрирует положительную д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намику, что говорит о том, что корпорации реального сектора, несмотря на т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желую экономическую ситуацию, получают положительную чистую прибыль от ведения своей деятельности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то, что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собственного капитала сопровождается также опережающим ростом привлеченных кредитов и займов. При этом по показателю Долг / Собственный капитал можно отметить возра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тающий уровень кредитной нагрузки (с 0,60 до 0,62). </w:t>
      </w:r>
    </w:p>
    <w:p w:rsidR="00484DD8" w:rsidRPr="00196882" w:rsidRDefault="00D457B6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Выручка корпораций продолжает расти, что является стабильным для отечественной экономики, для которой характерны двузначные уровни годовой инфляции. При этом темп роста выручки ниже темпа роста себестоимости, что приводит к увеличению доли себестоимости в выручке с 65% до 66%. На фоне растущего объема валовой прибыли по корпорациям, увеличение ставок по банковским кредитам приводит к тому, что объем процентов к уплате вырос на рассматриваемом периоде на 70% и составил 1 057 </w:t>
      </w:r>
      <w:proofErr w:type="gramStart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Несмотря на это, часть корпораций является </w:t>
      </w:r>
      <w:proofErr w:type="gramStart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 «донором» банковской сферы и размещает депозиты, поэтому процентные доходы реального сектора частично компенс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потери корпораций на процентах к уплате, что позволяет крупным корп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рациям в совокупности отразить рост чистой прибыли на 41% и показать ре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табельность деятельности на уровне 11%. По методике оценки финансового с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стояния корпорации, разработанной Банком России, средний уровень финанс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состояния корпораций улучшается в рассматриваемом периоде: доля ко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пораций с</w:t>
      </w:r>
      <w:proofErr w:type="gramEnd"/>
      <w:r w:rsidR="00484DD8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«хорошим» финансовым состоянием выросла с 36% до 45%, а доля корпорация с «плохим» финансовым состоянием наоборот снизилась с 22% до 19%. </w:t>
      </w:r>
    </w:p>
    <w:p w:rsidR="00F427BC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отметить отсутствие сильных негативных тенде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в деятельности корпораций реального сектора в 2015 году. Доля рент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бельных предприятий составляет 74%, что превышает показатель на 01.10.2014, то есть до повышения ключевой ставки Банком России. При этом в экономике России все сильнее проявляется дефицит инвестиционных ресурсов. Больши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предприятий требуется модернизация основных производственных фо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D457B6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нвестиции и инновации требуют существенных капиталовложений</w:t>
      </w:r>
      <w:r w:rsidR="00D457B6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D457B6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7B6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обходимый размер которых не может обеспечить </w:t>
      </w:r>
      <w:r w:rsidR="00F427BC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сектор.</w:t>
      </w:r>
    </w:p>
    <w:p w:rsidR="00F56D1F" w:rsidRPr="00196882" w:rsidRDefault="00484DD8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текущего уровня процентных ставок, окупаемость инвестиц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проектов составляет десятилетия, поэтому корпорациям нужны более дешевые источники фондирования. </w:t>
      </w:r>
    </w:p>
    <w:p w:rsidR="00F56D1F" w:rsidRPr="00196882" w:rsidRDefault="00484DD8" w:rsidP="00196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отмечено выше, данными источниками могут стать только д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инструменты при наличии развитого фондового рынка.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опыт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данного сегмента финансового рынка у российской эк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 есть и характеризуется всплеском активности в секторе 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IPO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2006-2012 гг., однако первый опыт развития этого сектора оказался неудачным и в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 массу проблем институционального характера </w:t>
      </w:r>
      <w:r w:rsidR="00A034C4" w:rsidRPr="00A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24] 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неразвитость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724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внутренних инвесторов, </w:t>
      </w:r>
      <w:r w:rsidR="00F56D1F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F56D1F" w:rsidRPr="00196882">
        <w:rPr>
          <w:rFonts w:ascii="Times New Roman" w:hAnsi="Times New Roman" w:cs="Times New Roman"/>
          <w:sz w:val="28"/>
          <w:szCs w:val="28"/>
        </w:rPr>
        <w:t>механизма страхования частных инв</w:t>
      </w:r>
      <w:r w:rsidR="00F56D1F" w:rsidRPr="00196882">
        <w:rPr>
          <w:rFonts w:ascii="Times New Roman" w:hAnsi="Times New Roman" w:cs="Times New Roman"/>
          <w:sz w:val="28"/>
          <w:szCs w:val="28"/>
        </w:rPr>
        <w:t>е</w:t>
      </w:r>
      <w:r w:rsidR="00F56D1F" w:rsidRPr="00196882">
        <w:rPr>
          <w:rFonts w:ascii="Times New Roman" w:hAnsi="Times New Roman" w:cs="Times New Roman"/>
          <w:sz w:val="28"/>
          <w:szCs w:val="28"/>
        </w:rPr>
        <w:t>сторов от мошенничества, небольшой</w:t>
      </w:r>
      <w:r w:rsidR="00196882">
        <w:rPr>
          <w:rFonts w:ascii="Times New Roman" w:hAnsi="Times New Roman" w:cs="Times New Roman"/>
          <w:sz w:val="28"/>
          <w:szCs w:val="28"/>
        </w:rPr>
        <w:t xml:space="preserve">  </w:t>
      </w:r>
      <w:r w:rsidR="00F56D1F" w:rsidRPr="00196882">
        <w:rPr>
          <w:rFonts w:ascii="Times New Roman" w:hAnsi="Times New Roman" w:cs="Times New Roman"/>
          <w:sz w:val="28"/>
          <w:szCs w:val="28"/>
        </w:rPr>
        <w:t>объем активов средств, находящихся под управлением российских институциональных инвесторов.</w:t>
      </w:r>
      <w:proofErr w:type="gramEnd"/>
    </w:p>
    <w:p w:rsidR="00F443F6" w:rsidRDefault="00F56D1F" w:rsidP="001968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82">
        <w:rPr>
          <w:rFonts w:ascii="Times New Roman" w:hAnsi="Times New Roman" w:cs="Times New Roman"/>
          <w:sz w:val="28"/>
          <w:szCs w:val="28"/>
        </w:rPr>
        <w:t>Стоит отметить,</w:t>
      </w:r>
      <w:r w:rsidR="00196882">
        <w:rPr>
          <w:rFonts w:ascii="Times New Roman" w:hAnsi="Times New Roman" w:cs="Times New Roman"/>
          <w:sz w:val="28"/>
          <w:szCs w:val="28"/>
        </w:rPr>
        <w:t xml:space="preserve">  </w:t>
      </w:r>
      <w:r w:rsidRPr="00196882">
        <w:rPr>
          <w:rFonts w:ascii="Times New Roman" w:hAnsi="Times New Roman" w:cs="Times New Roman"/>
          <w:sz w:val="28"/>
          <w:szCs w:val="28"/>
        </w:rPr>
        <w:t>что ряд ученых полагает, что</w:t>
      </w:r>
      <w:r w:rsidR="00196882">
        <w:rPr>
          <w:rFonts w:ascii="Times New Roman" w:hAnsi="Times New Roman" w:cs="Times New Roman"/>
          <w:sz w:val="28"/>
          <w:szCs w:val="28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финанс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системы России в сторону англосаксонской модели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неизбежна </w:t>
      </w:r>
      <w:r w:rsidR="00A034C4" w:rsidRPr="00A0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[8]</w:t>
      </w:r>
      <w:r w:rsidRPr="00BC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словлена</w:t>
      </w:r>
      <w:r w:rsid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общемировыми процессами в экономике. Поэтому в данный момент, когда банковский сектор не может обеспечить потребности экономики в инв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стиционных средствах</w:t>
      </w:r>
      <w:r w:rsidR="00196882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только текущие проблемы в финансир</w:t>
      </w:r>
      <w:r w:rsidR="00196882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6882"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экономики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 долевого сектора финансового рынка в виде р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8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выявленных проблем, будет способствовать становлению сильного и эффективного рынка финансовых</w:t>
      </w:r>
      <w:r w:rsidRPr="00F5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инструментов, усилив тем самым потенциал роста экономики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15" w:rsidRPr="000B209E" w:rsidRDefault="00604315" w:rsidP="000B209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196882" w:rsidRPr="00D07D5F" w:rsidRDefault="00D07D5F" w:rsidP="00196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07D5F">
        <w:rPr>
          <w:rFonts w:ascii="Times New Roman" w:hAnsi="Times New Roman" w:cs="Times New Roman"/>
          <w:b/>
          <w:color w:val="222222"/>
          <w:sz w:val="28"/>
          <w:szCs w:val="28"/>
        </w:rPr>
        <w:t>Список цитируемой литературы</w:t>
      </w:r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034C4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Н.И., Столяров А.И., Теплова Т.В. (2016). Российский ф</w:t>
      </w:r>
      <w:r w:rsidRPr="00A034C4">
        <w:rPr>
          <w:rFonts w:ascii="Times New Roman" w:hAnsi="Times New Roman" w:cs="Times New Roman"/>
          <w:sz w:val="28"/>
          <w:szCs w:val="28"/>
        </w:rPr>
        <w:t>и</w:t>
      </w:r>
      <w:r w:rsidRPr="00A034C4">
        <w:rPr>
          <w:rFonts w:ascii="Times New Roman" w:hAnsi="Times New Roman" w:cs="Times New Roman"/>
          <w:sz w:val="28"/>
          <w:szCs w:val="28"/>
        </w:rPr>
        <w:t xml:space="preserve">нансовый рынок: вызовы, проблемы и перспективы.//Материалы  </w:t>
      </w:r>
      <w:proofErr w:type="gramStart"/>
      <w:r w:rsidRPr="00A034C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034C4">
        <w:rPr>
          <w:rFonts w:ascii="Times New Roman" w:hAnsi="Times New Roman" w:cs="Times New Roman"/>
          <w:sz w:val="28"/>
          <w:szCs w:val="28"/>
        </w:rPr>
        <w:t>VII Межд</w:t>
      </w:r>
      <w:r w:rsidRPr="00A034C4">
        <w:rPr>
          <w:rFonts w:ascii="Times New Roman" w:hAnsi="Times New Roman" w:cs="Times New Roman"/>
          <w:sz w:val="28"/>
          <w:szCs w:val="28"/>
        </w:rPr>
        <w:t>у</w:t>
      </w:r>
      <w:r w:rsidRPr="00A034C4">
        <w:rPr>
          <w:rFonts w:ascii="Times New Roman" w:hAnsi="Times New Roman" w:cs="Times New Roman"/>
          <w:sz w:val="28"/>
          <w:szCs w:val="28"/>
        </w:rPr>
        <w:t>народной научной конференции по проблемам развития экономики и общества М. НИУ ВШЭ. 32 с. [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Berzon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034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Stolyarov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34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Teplova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034C4">
        <w:rPr>
          <w:rFonts w:ascii="Times New Roman" w:hAnsi="Times New Roman" w:cs="Times New Roman"/>
          <w:sz w:val="28"/>
          <w:szCs w:val="28"/>
        </w:rPr>
        <w:t xml:space="preserve">.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A034C4">
        <w:rPr>
          <w:rFonts w:ascii="Times New Roman" w:hAnsi="Times New Roman" w:cs="Times New Roman"/>
          <w:sz w:val="28"/>
          <w:szCs w:val="28"/>
        </w:rPr>
        <w:t xml:space="preserve">: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Challenges</w:t>
      </w:r>
      <w:r w:rsidRPr="00A034C4">
        <w:rPr>
          <w:rFonts w:ascii="Times New Roman" w:hAnsi="Times New Roman" w:cs="Times New Roman"/>
          <w:sz w:val="28"/>
          <w:szCs w:val="28"/>
        </w:rPr>
        <w:t xml:space="preserve">,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prospects</w:t>
      </w:r>
      <w:r w:rsidRPr="00A03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Materialy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VII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Mezhdunarodnoy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nauc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noy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konferentsii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problemam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razvitiya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ekonomiki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obshchestva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034C4">
        <w:rPr>
          <w:rFonts w:ascii="Times New Roman" w:hAnsi="Times New Roman" w:cs="Times New Roman"/>
          <w:sz w:val="28"/>
          <w:szCs w:val="28"/>
          <w:lang w:val="en-US"/>
        </w:rPr>
        <w:t>Moscow :</w:t>
      </w:r>
      <w:proofErr w:type="gram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NIU VSHE. pp. 32. (In Russian).]</w:t>
      </w:r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lastRenderedPageBreak/>
        <w:t>Данилин</w:t>
      </w:r>
      <w:r w:rsidRPr="00C50CD2">
        <w:rPr>
          <w:rFonts w:ascii="Times New Roman" w:hAnsi="Times New Roman" w:cs="Times New Roman"/>
          <w:sz w:val="28"/>
          <w:szCs w:val="28"/>
        </w:rPr>
        <w:t xml:space="preserve">, </w:t>
      </w:r>
      <w:r w:rsidRPr="00A034C4">
        <w:rPr>
          <w:rFonts w:ascii="Times New Roman" w:hAnsi="Times New Roman" w:cs="Times New Roman"/>
          <w:sz w:val="28"/>
          <w:szCs w:val="28"/>
        </w:rPr>
        <w:t>В</w:t>
      </w:r>
      <w:r w:rsidRPr="00C50CD2">
        <w:rPr>
          <w:rFonts w:ascii="Times New Roman" w:hAnsi="Times New Roman" w:cs="Times New Roman"/>
          <w:sz w:val="28"/>
          <w:szCs w:val="28"/>
        </w:rPr>
        <w:t>.</w:t>
      </w:r>
      <w:r w:rsidRPr="00A034C4">
        <w:rPr>
          <w:rFonts w:ascii="Times New Roman" w:hAnsi="Times New Roman" w:cs="Times New Roman"/>
          <w:sz w:val="28"/>
          <w:szCs w:val="28"/>
        </w:rPr>
        <w:t>А</w:t>
      </w:r>
      <w:r w:rsidRPr="00C50CD2">
        <w:rPr>
          <w:rFonts w:ascii="Times New Roman" w:hAnsi="Times New Roman" w:cs="Times New Roman"/>
          <w:sz w:val="28"/>
          <w:szCs w:val="28"/>
        </w:rPr>
        <w:t xml:space="preserve">. </w:t>
      </w:r>
      <w:r w:rsidRPr="00A034C4">
        <w:rPr>
          <w:rFonts w:ascii="Times New Roman" w:hAnsi="Times New Roman" w:cs="Times New Roman"/>
          <w:sz w:val="28"/>
          <w:szCs w:val="28"/>
        </w:rPr>
        <w:t>Харитонова</w:t>
      </w:r>
      <w:r w:rsidRPr="00C50CD2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</w:rPr>
        <w:t>Е</w:t>
      </w:r>
      <w:r w:rsidRPr="00C50CD2">
        <w:rPr>
          <w:rFonts w:ascii="Times New Roman" w:hAnsi="Times New Roman" w:cs="Times New Roman"/>
          <w:sz w:val="28"/>
          <w:szCs w:val="28"/>
        </w:rPr>
        <w:t>.</w:t>
      </w:r>
      <w:r w:rsidRPr="00A034C4">
        <w:rPr>
          <w:rFonts w:ascii="Times New Roman" w:hAnsi="Times New Roman" w:cs="Times New Roman"/>
          <w:sz w:val="28"/>
          <w:szCs w:val="28"/>
        </w:rPr>
        <w:t>Э</w:t>
      </w:r>
      <w:r w:rsidRPr="00C50CD2">
        <w:rPr>
          <w:rFonts w:ascii="Times New Roman" w:hAnsi="Times New Roman" w:cs="Times New Roman"/>
          <w:sz w:val="28"/>
          <w:szCs w:val="28"/>
        </w:rPr>
        <w:t>.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A034C4">
        <w:rPr>
          <w:rFonts w:ascii="Times New Roman" w:hAnsi="Times New Roman" w:cs="Times New Roman"/>
          <w:sz w:val="28"/>
          <w:szCs w:val="28"/>
        </w:rPr>
        <w:t xml:space="preserve">(2004).Осуществление банками функции финансового посредника // Деньги и кредит.  </w:t>
      </w:r>
      <w:r w:rsidRPr="00C50CD2">
        <w:rPr>
          <w:rFonts w:ascii="Times New Roman" w:hAnsi="Times New Roman" w:cs="Times New Roman"/>
          <w:sz w:val="28"/>
          <w:szCs w:val="28"/>
          <w:lang w:val="en-US"/>
        </w:rPr>
        <w:t xml:space="preserve">- № 10.- </w:t>
      </w:r>
      <w:r w:rsidRPr="00A034C4">
        <w:rPr>
          <w:rFonts w:ascii="Times New Roman" w:hAnsi="Times New Roman" w:cs="Times New Roman"/>
          <w:sz w:val="28"/>
          <w:szCs w:val="28"/>
        </w:rPr>
        <w:t>С</w:t>
      </w:r>
      <w:r w:rsidRPr="00C50CD2">
        <w:rPr>
          <w:rFonts w:ascii="Times New Roman" w:hAnsi="Times New Roman" w:cs="Times New Roman"/>
          <w:sz w:val="28"/>
          <w:szCs w:val="28"/>
          <w:lang w:val="en-US"/>
        </w:rPr>
        <w:t>. 10-16. [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Dan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 w:rsidRPr="00C50C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C50C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Kharitonov</w:t>
      </w:r>
      <w:proofErr w:type="spellEnd"/>
      <w:r w:rsidRPr="00C50C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0CD2">
        <w:rPr>
          <w:rFonts w:ascii="Times New Roman" w:hAnsi="Times New Roman" w:cs="Times New Roman"/>
          <w:sz w:val="28"/>
          <w:szCs w:val="28"/>
          <w:lang w:val="en-US"/>
        </w:rPr>
        <w:t xml:space="preserve">. (2004).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Implementation of the banks as a financial intermed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ary.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Den'gi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kredit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r w:rsidRPr="00A034C4">
        <w:rPr>
          <w:rFonts w:ascii="Times New Roman" w:hAnsi="Times New Roman" w:cs="Times New Roman"/>
          <w:sz w:val="28"/>
          <w:szCs w:val="28"/>
        </w:rPr>
        <w:t xml:space="preserve">№ 10.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. 10-16. </w:t>
      </w:r>
      <w:proofErr w:type="gramStart"/>
      <w:r w:rsidRPr="00A034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34C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>).]</w:t>
      </w:r>
      <w:proofErr w:type="gramEnd"/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4C4">
        <w:rPr>
          <w:rFonts w:ascii="Times New Roman" w:hAnsi="Times New Roman" w:cs="Times New Roman"/>
          <w:sz w:val="28"/>
          <w:szCs w:val="28"/>
        </w:rPr>
        <w:t>Данилова  Т.Н. (2004). Банк как финанс</w:t>
      </w:r>
      <w:r w:rsidRPr="00A034C4">
        <w:rPr>
          <w:rFonts w:ascii="Times New Roman" w:hAnsi="Times New Roman" w:cs="Times New Roman"/>
          <w:sz w:val="28"/>
          <w:szCs w:val="28"/>
        </w:rPr>
        <w:t>о</w:t>
      </w:r>
      <w:r w:rsidRPr="00A034C4">
        <w:rPr>
          <w:rFonts w:ascii="Times New Roman" w:hAnsi="Times New Roman" w:cs="Times New Roman"/>
          <w:sz w:val="28"/>
          <w:szCs w:val="28"/>
        </w:rPr>
        <w:t xml:space="preserve">вый посредник трансформации сбережений в инвестиции // Финансы и кредит.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№ 11. -</w:t>
      </w:r>
      <w:r w:rsidRPr="00A034C4">
        <w:rPr>
          <w:rFonts w:ascii="Times New Roman" w:hAnsi="Times New Roman" w:cs="Times New Roman"/>
          <w:sz w:val="28"/>
          <w:szCs w:val="28"/>
        </w:rPr>
        <w:t>С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. 20-26. [Danilova T. (2004). The Bank as a financial intermediary tran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formation of savings into investments.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Finansy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kredit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>. № 11. pp. 20-26.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(In Ru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sian).]</w:t>
      </w:r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4C4">
        <w:rPr>
          <w:rFonts w:ascii="Times New Roman" w:hAnsi="Times New Roman" w:cs="Times New Roman"/>
          <w:sz w:val="28"/>
          <w:szCs w:val="28"/>
        </w:rPr>
        <w:t>Левина И. (2006).  К вопросу о соотношении реального и финанс</w:t>
      </w:r>
      <w:r w:rsidRPr="00A034C4">
        <w:rPr>
          <w:rFonts w:ascii="Times New Roman" w:hAnsi="Times New Roman" w:cs="Times New Roman"/>
          <w:sz w:val="28"/>
          <w:szCs w:val="28"/>
        </w:rPr>
        <w:t>о</w:t>
      </w:r>
      <w:r w:rsidRPr="00A034C4">
        <w:rPr>
          <w:rFonts w:ascii="Times New Roman" w:hAnsi="Times New Roman" w:cs="Times New Roman"/>
          <w:sz w:val="28"/>
          <w:szCs w:val="28"/>
        </w:rPr>
        <w:t xml:space="preserve">вого секторов / И. Левина // Вопросы экономики.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№10. - </w:t>
      </w:r>
      <w:r w:rsidRPr="00A034C4">
        <w:rPr>
          <w:rFonts w:ascii="Times New Roman" w:hAnsi="Times New Roman" w:cs="Times New Roman"/>
          <w:sz w:val="28"/>
          <w:szCs w:val="28"/>
        </w:rPr>
        <w:t>С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. 88. [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Levina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I. (2006). On the question of the relationship between the real and financial sectors. Questions of economy. №10. Pp. 88. (In Russian).]</w:t>
      </w:r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4C4">
        <w:rPr>
          <w:rFonts w:ascii="Times New Roman" w:hAnsi="Times New Roman" w:cs="Times New Roman"/>
          <w:sz w:val="28"/>
          <w:szCs w:val="28"/>
        </w:rPr>
        <w:t>Макарова</w:t>
      </w:r>
      <w:r w:rsidRPr="00C50CD2">
        <w:rPr>
          <w:rFonts w:ascii="Times New Roman" w:hAnsi="Times New Roman" w:cs="Times New Roman"/>
          <w:sz w:val="28"/>
          <w:szCs w:val="28"/>
        </w:rPr>
        <w:t xml:space="preserve">  </w:t>
      </w:r>
      <w:r w:rsidRPr="00A034C4">
        <w:rPr>
          <w:rFonts w:ascii="Times New Roman" w:hAnsi="Times New Roman" w:cs="Times New Roman"/>
          <w:sz w:val="28"/>
          <w:szCs w:val="28"/>
        </w:rPr>
        <w:t>А</w:t>
      </w:r>
      <w:r w:rsidRPr="00C50CD2">
        <w:rPr>
          <w:rFonts w:ascii="Times New Roman" w:hAnsi="Times New Roman" w:cs="Times New Roman"/>
          <w:sz w:val="28"/>
          <w:szCs w:val="28"/>
        </w:rPr>
        <w:t>.</w:t>
      </w:r>
      <w:r w:rsidRPr="00A034C4">
        <w:rPr>
          <w:rFonts w:ascii="Times New Roman" w:hAnsi="Times New Roman" w:cs="Times New Roman"/>
          <w:sz w:val="28"/>
          <w:szCs w:val="28"/>
        </w:rPr>
        <w:t>А</w:t>
      </w:r>
      <w:r w:rsidRPr="00C50CD2">
        <w:rPr>
          <w:rFonts w:ascii="Times New Roman" w:hAnsi="Times New Roman" w:cs="Times New Roman"/>
          <w:sz w:val="28"/>
          <w:szCs w:val="28"/>
        </w:rPr>
        <w:t xml:space="preserve">., </w:t>
      </w:r>
      <w:r w:rsidRPr="00A034C4">
        <w:rPr>
          <w:rFonts w:ascii="Times New Roman" w:hAnsi="Times New Roman" w:cs="Times New Roman"/>
          <w:sz w:val="28"/>
          <w:szCs w:val="28"/>
        </w:rPr>
        <w:t>Григорьева</w:t>
      </w:r>
      <w:r w:rsidRPr="00C50CD2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</w:rPr>
        <w:t>Л</w:t>
      </w:r>
      <w:r w:rsidRPr="00C50CD2">
        <w:rPr>
          <w:rFonts w:ascii="Times New Roman" w:hAnsi="Times New Roman" w:cs="Times New Roman"/>
          <w:sz w:val="28"/>
          <w:szCs w:val="28"/>
        </w:rPr>
        <w:t>.</w:t>
      </w:r>
      <w:r w:rsidRPr="00A034C4">
        <w:rPr>
          <w:rFonts w:ascii="Times New Roman" w:hAnsi="Times New Roman" w:cs="Times New Roman"/>
          <w:sz w:val="28"/>
          <w:szCs w:val="28"/>
        </w:rPr>
        <w:t>Г</w:t>
      </w:r>
      <w:r w:rsidRPr="00C50CD2">
        <w:rPr>
          <w:rFonts w:ascii="Times New Roman" w:hAnsi="Times New Roman" w:cs="Times New Roman"/>
          <w:sz w:val="28"/>
          <w:szCs w:val="28"/>
        </w:rPr>
        <w:t>.(</w:t>
      </w:r>
      <w:r w:rsidRPr="00A034C4">
        <w:rPr>
          <w:rFonts w:ascii="Times New Roman" w:hAnsi="Times New Roman" w:cs="Times New Roman"/>
          <w:sz w:val="28"/>
          <w:szCs w:val="28"/>
        </w:rPr>
        <w:t>ред</w:t>
      </w:r>
      <w:r w:rsidRPr="00C50CD2">
        <w:rPr>
          <w:rFonts w:ascii="Times New Roman" w:hAnsi="Times New Roman" w:cs="Times New Roman"/>
          <w:sz w:val="28"/>
          <w:szCs w:val="28"/>
        </w:rPr>
        <w:t xml:space="preserve">.)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(2012).   </w:t>
      </w:r>
      <w:r w:rsidRPr="00A034C4">
        <w:rPr>
          <w:rFonts w:ascii="Times New Roman" w:hAnsi="Times New Roman" w:cs="Times New Roman"/>
          <w:sz w:val="28"/>
          <w:szCs w:val="28"/>
        </w:rPr>
        <w:t>Прогноз развития энергетики мира и России до 2035 г. / Под ред. А.А. - М.: ИНЭИ РАН.</w:t>
      </w:r>
      <w:proofErr w:type="gramStart"/>
      <w:r w:rsidRPr="00A034C4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A034C4">
        <w:rPr>
          <w:rFonts w:ascii="Times New Roman" w:hAnsi="Times New Roman" w:cs="Times New Roman"/>
          <w:sz w:val="28"/>
          <w:szCs w:val="28"/>
          <w:lang w:val="en-US"/>
        </w:rPr>
        <w:t>Makarova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34C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Grigoriev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034C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.)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(2012). Forecast of development of the world ene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gy and Russia by 2035. </w:t>
      </w:r>
      <w:proofErr w:type="gramStart"/>
      <w:r w:rsidRPr="00A034C4">
        <w:rPr>
          <w:rFonts w:ascii="Times New Roman" w:hAnsi="Times New Roman" w:cs="Times New Roman"/>
          <w:sz w:val="28"/>
          <w:szCs w:val="28"/>
          <w:lang w:val="en-US"/>
        </w:rPr>
        <w:t>Moscow.:</w:t>
      </w:r>
      <w:proofErr w:type="gram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INEI RAN.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(In Russian).]</w:t>
      </w:r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4C4">
        <w:rPr>
          <w:rFonts w:ascii="Times New Roman" w:hAnsi="Times New Roman" w:cs="Times New Roman"/>
          <w:sz w:val="28"/>
          <w:szCs w:val="28"/>
        </w:rPr>
        <w:t xml:space="preserve">Макарова В. А.(2011). </w:t>
      </w:r>
      <w:hyperlink r:id="rId11" w:tgtFrame="_blank" w:history="1">
        <w:r w:rsidRPr="00A034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Профессиональная деятельность на рынке ценных бумаг</w:t>
        </w:r>
      </w:hyperlink>
      <w:r w:rsidRPr="00A034C4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proofErr w:type="gramEnd"/>
      <w:r w:rsidRPr="00A034C4">
        <w:rPr>
          <w:rFonts w:ascii="Times New Roman" w:hAnsi="Times New Roman" w:cs="Times New Roman"/>
          <w:sz w:val="28"/>
          <w:szCs w:val="28"/>
        </w:rPr>
        <w:t>НИУ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</w:rPr>
        <w:t>ВШЭ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034C4">
        <w:rPr>
          <w:rFonts w:ascii="Times New Roman" w:hAnsi="Times New Roman" w:cs="Times New Roman"/>
          <w:sz w:val="28"/>
          <w:szCs w:val="28"/>
        </w:rPr>
        <w:t>Санкт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034C4">
        <w:rPr>
          <w:rFonts w:ascii="Times New Roman" w:hAnsi="Times New Roman" w:cs="Times New Roman"/>
          <w:sz w:val="28"/>
          <w:szCs w:val="28"/>
        </w:rPr>
        <w:t>Петербург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), 2011. [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Makarova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V. (2011). Professional activities in the securities market. Saint-Petersburg: National Research University Higher school of economy]</w:t>
      </w:r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>Потемкин</w:t>
      </w:r>
      <w:r w:rsidRPr="00C50CD2">
        <w:rPr>
          <w:rFonts w:ascii="Times New Roman" w:hAnsi="Times New Roman" w:cs="Times New Roman"/>
          <w:sz w:val="28"/>
          <w:szCs w:val="28"/>
        </w:rPr>
        <w:t xml:space="preserve">  </w:t>
      </w:r>
      <w:r w:rsidRPr="00A034C4">
        <w:rPr>
          <w:rFonts w:ascii="Times New Roman" w:hAnsi="Times New Roman" w:cs="Times New Roman"/>
          <w:sz w:val="28"/>
          <w:szCs w:val="28"/>
        </w:rPr>
        <w:t>А</w:t>
      </w:r>
      <w:r w:rsidRPr="00C50CD2">
        <w:rPr>
          <w:rFonts w:ascii="Times New Roman" w:hAnsi="Times New Roman" w:cs="Times New Roman"/>
          <w:sz w:val="28"/>
          <w:szCs w:val="28"/>
        </w:rPr>
        <w:t xml:space="preserve">. (2005). </w:t>
      </w:r>
      <w:r w:rsidRPr="00A034C4">
        <w:rPr>
          <w:rFonts w:ascii="Times New Roman" w:hAnsi="Times New Roman" w:cs="Times New Roman"/>
          <w:sz w:val="28"/>
          <w:szCs w:val="28"/>
        </w:rPr>
        <w:t>Роль банковской системы и фондового рынка в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34C4">
        <w:rPr>
          <w:rFonts w:ascii="Times New Roman" w:hAnsi="Times New Roman" w:cs="Times New Roman"/>
          <w:sz w:val="28"/>
          <w:szCs w:val="28"/>
        </w:rPr>
        <w:t>финансировании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034C4">
        <w:rPr>
          <w:rFonts w:ascii="Times New Roman" w:hAnsi="Times New Roman" w:cs="Times New Roman"/>
          <w:sz w:val="28"/>
          <w:szCs w:val="28"/>
        </w:rPr>
        <w:t xml:space="preserve">реального сектора // Рынок ценных бумаг.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№14(293). - </w:t>
      </w:r>
      <w:r w:rsidRPr="00A034C4">
        <w:rPr>
          <w:rFonts w:ascii="Times New Roman" w:hAnsi="Times New Roman" w:cs="Times New Roman"/>
          <w:sz w:val="28"/>
          <w:szCs w:val="28"/>
        </w:rPr>
        <w:t>С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. 16-20. [A. Potemkin (2005). The role of the banking system and the stock market in the financing of the real sector.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Rynok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tsennykh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bumag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. №14(293).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Pr="00A034C4">
        <w:rPr>
          <w:rFonts w:ascii="Times New Roman" w:hAnsi="Times New Roman" w:cs="Times New Roman"/>
          <w:sz w:val="28"/>
          <w:szCs w:val="28"/>
        </w:rPr>
        <w:t xml:space="preserve">. 16-20. </w:t>
      </w:r>
      <w:proofErr w:type="gramStart"/>
      <w:r w:rsidRPr="00A034C4">
        <w:rPr>
          <w:rFonts w:ascii="Times New Roman" w:hAnsi="Times New Roman" w:cs="Times New Roman"/>
          <w:sz w:val="28"/>
          <w:szCs w:val="28"/>
        </w:rPr>
        <w:t>(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034C4">
        <w:rPr>
          <w:rFonts w:ascii="Times New Roman" w:hAnsi="Times New Roman" w:cs="Times New Roman"/>
          <w:sz w:val="28"/>
          <w:szCs w:val="28"/>
        </w:rPr>
        <w:t xml:space="preserve"> 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sian</w:t>
      </w:r>
      <w:r w:rsidRPr="00A034C4">
        <w:rPr>
          <w:rFonts w:ascii="Times New Roman" w:hAnsi="Times New Roman" w:cs="Times New Roman"/>
          <w:sz w:val="28"/>
          <w:szCs w:val="28"/>
        </w:rPr>
        <w:t>).]</w:t>
      </w:r>
      <w:proofErr w:type="gramEnd"/>
    </w:p>
    <w:p w:rsidR="00A034C4" w:rsidRPr="00A034C4" w:rsidRDefault="00A034C4" w:rsidP="00A034C4">
      <w:pPr>
        <w:pStyle w:val="a7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034C4">
        <w:rPr>
          <w:rFonts w:ascii="Times New Roman" w:hAnsi="Times New Roman" w:cs="Times New Roman"/>
          <w:sz w:val="28"/>
          <w:szCs w:val="28"/>
        </w:rPr>
        <w:t>Семененко В.В. (2008) Германская и англосаксонская финансовые модели в мире и в России// Вестник экономики, права и социологии, № 2.</w:t>
      </w:r>
      <w:proofErr w:type="gramStart"/>
      <w:r w:rsidRPr="00A034C4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A034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34C4">
        <w:rPr>
          <w:rFonts w:ascii="Times New Roman" w:hAnsi="Times New Roman" w:cs="Times New Roman"/>
          <w:sz w:val="28"/>
          <w:szCs w:val="28"/>
          <w:lang w:val="en-US"/>
        </w:rPr>
        <w:t>menenko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V. (2008)  German and Anglo-Saxon financial model in the world and in Russia.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ekonomiki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34C4">
        <w:rPr>
          <w:rFonts w:ascii="Times New Roman" w:hAnsi="Times New Roman" w:cs="Times New Roman"/>
          <w:sz w:val="28"/>
          <w:szCs w:val="28"/>
          <w:lang w:val="en-US"/>
        </w:rPr>
        <w:t>sotsiologii</w:t>
      </w:r>
      <w:proofErr w:type="spellEnd"/>
      <w:r w:rsidRPr="00A034C4">
        <w:rPr>
          <w:rFonts w:ascii="Times New Roman" w:hAnsi="Times New Roman" w:cs="Times New Roman"/>
          <w:sz w:val="28"/>
          <w:szCs w:val="28"/>
          <w:lang w:val="en-US"/>
        </w:rPr>
        <w:t>, № 2. (In Russian).]</w:t>
      </w:r>
    </w:p>
    <w:sectPr w:rsidR="00A034C4" w:rsidRPr="00A034C4" w:rsidSect="008B67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46" w:rsidRDefault="00FA2846" w:rsidP="00484DD8">
      <w:pPr>
        <w:spacing w:after="0" w:line="240" w:lineRule="auto"/>
      </w:pPr>
      <w:r>
        <w:separator/>
      </w:r>
    </w:p>
  </w:endnote>
  <w:endnote w:type="continuationSeparator" w:id="0">
    <w:p w:rsidR="00FA2846" w:rsidRDefault="00FA2846" w:rsidP="0048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46" w:rsidRDefault="00FA2846" w:rsidP="00484DD8">
      <w:pPr>
        <w:spacing w:after="0" w:line="240" w:lineRule="auto"/>
      </w:pPr>
      <w:r>
        <w:separator/>
      </w:r>
    </w:p>
  </w:footnote>
  <w:footnote w:type="continuationSeparator" w:id="0">
    <w:p w:rsidR="00FA2846" w:rsidRDefault="00FA2846" w:rsidP="0048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6F5"/>
    <w:multiLevelType w:val="hybridMultilevel"/>
    <w:tmpl w:val="4D4A9B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55BB7"/>
    <w:multiLevelType w:val="hybridMultilevel"/>
    <w:tmpl w:val="CF94F854"/>
    <w:lvl w:ilvl="0" w:tplc="AAFE46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A629C"/>
    <w:multiLevelType w:val="hybridMultilevel"/>
    <w:tmpl w:val="1564EE98"/>
    <w:lvl w:ilvl="0" w:tplc="4488A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8B36B9"/>
    <w:multiLevelType w:val="hybridMultilevel"/>
    <w:tmpl w:val="07C8BE58"/>
    <w:lvl w:ilvl="0" w:tplc="BCAA5C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72499"/>
    <w:multiLevelType w:val="hybridMultilevel"/>
    <w:tmpl w:val="58DEC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B27C8D"/>
    <w:multiLevelType w:val="hybridMultilevel"/>
    <w:tmpl w:val="9A0400FC"/>
    <w:lvl w:ilvl="0" w:tplc="4A18DB10">
      <w:start w:val="5"/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>
    <w:nsid w:val="5F89592D"/>
    <w:multiLevelType w:val="hybridMultilevel"/>
    <w:tmpl w:val="DD382B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8"/>
    <w:rsid w:val="00092B3C"/>
    <w:rsid w:val="000A3ABF"/>
    <w:rsid w:val="000B209E"/>
    <w:rsid w:val="000F38E7"/>
    <w:rsid w:val="0010239C"/>
    <w:rsid w:val="00111B69"/>
    <w:rsid w:val="00114B8C"/>
    <w:rsid w:val="00136528"/>
    <w:rsid w:val="00196882"/>
    <w:rsid w:val="001F217E"/>
    <w:rsid w:val="002B37E9"/>
    <w:rsid w:val="002D3456"/>
    <w:rsid w:val="00321FE9"/>
    <w:rsid w:val="00337CD6"/>
    <w:rsid w:val="0036595F"/>
    <w:rsid w:val="003874F1"/>
    <w:rsid w:val="003A6A15"/>
    <w:rsid w:val="003B0194"/>
    <w:rsid w:val="003C4564"/>
    <w:rsid w:val="00484DD8"/>
    <w:rsid w:val="004A09F6"/>
    <w:rsid w:val="004E57F2"/>
    <w:rsid w:val="004F130B"/>
    <w:rsid w:val="005B270C"/>
    <w:rsid w:val="005B2F1D"/>
    <w:rsid w:val="005D0E16"/>
    <w:rsid w:val="00604315"/>
    <w:rsid w:val="00654201"/>
    <w:rsid w:val="00666BE4"/>
    <w:rsid w:val="006F33F5"/>
    <w:rsid w:val="00720394"/>
    <w:rsid w:val="00721663"/>
    <w:rsid w:val="00770608"/>
    <w:rsid w:val="00785F6F"/>
    <w:rsid w:val="007F072B"/>
    <w:rsid w:val="00863C82"/>
    <w:rsid w:val="00884724"/>
    <w:rsid w:val="008850B4"/>
    <w:rsid w:val="0089216E"/>
    <w:rsid w:val="00897B38"/>
    <w:rsid w:val="008A26FE"/>
    <w:rsid w:val="008A4A72"/>
    <w:rsid w:val="008B677D"/>
    <w:rsid w:val="009C494A"/>
    <w:rsid w:val="009F1FC7"/>
    <w:rsid w:val="00A034C4"/>
    <w:rsid w:val="00A569EA"/>
    <w:rsid w:val="00B249AC"/>
    <w:rsid w:val="00B5315A"/>
    <w:rsid w:val="00B618FB"/>
    <w:rsid w:val="00BC3C79"/>
    <w:rsid w:val="00BC3DFC"/>
    <w:rsid w:val="00C3611F"/>
    <w:rsid w:val="00C50CD2"/>
    <w:rsid w:val="00CB67C1"/>
    <w:rsid w:val="00D07D5F"/>
    <w:rsid w:val="00D07F85"/>
    <w:rsid w:val="00D1008F"/>
    <w:rsid w:val="00D33231"/>
    <w:rsid w:val="00D457B6"/>
    <w:rsid w:val="00D54FC0"/>
    <w:rsid w:val="00E75CE5"/>
    <w:rsid w:val="00E915DE"/>
    <w:rsid w:val="00F427BC"/>
    <w:rsid w:val="00F443F6"/>
    <w:rsid w:val="00F56D1F"/>
    <w:rsid w:val="00FA2846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rsid w:val="0048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84DD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484DD8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rsid w:val="00484D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84D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45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2F1D"/>
    <w:rPr>
      <w:color w:val="0000FF" w:themeColor="hyperlink"/>
      <w:u w:val="single"/>
    </w:rPr>
  </w:style>
  <w:style w:type="paragraph" w:customStyle="1" w:styleId="pr">
    <w:name w:val="pr"/>
    <w:basedOn w:val="a"/>
    <w:rsid w:val="0036595F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9">
    <w:name w:val="Normal (Web)"/>
    <w:basedOn w:val="a"/>
    <w:uiPriority w:val="99"/>
    <w:semiHidden/>
    <w:unhideWhenUsed/>
    <w:rsid w:val="0036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rsid w:val="0048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84DD8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484DD8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rsid w:val="00484D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84D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45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2F1D"/>
    <w:rPr>
      <w:color w:val="0000FF" w:themeColor="hyperlink"/>
      <w:u w:val="single"/>
    </w:rPr>
  </w:style>
  <w:style w:type="paragraph" w:customStyle="1" w:styleId="pr">
    <w:name w:val="pr"/>
    <w:basedOn w:val="a"/>
    <w:rsid w:val="0036595F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9">
    <w:name w:val="Normal (Web)"/>
    <w:basedOn w:val="a"/>
    <w:uiPriority w:val="99"/>
    <w:semiHidden/>
    <w:unhideWhenUsed/>
    <w:rsid w:val="0036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hse.ru/view/6831547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ronovo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makar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129F-7F12-49BB-A317-674D71FC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5130</Words>
  <Characters>29345</Characters>
  <Application>Microsoft Office Word</Application>
  <DocSecurity>0</DocSecurity>
  <Lines>838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2</cp:revision>
  <dcterms:created xsi:type="dcterms:W3CDTF">2016-12-09T18:21:00Z</dcterms:created>
  <dcterms:modified xsi:type="dcterms:W3CDTF">2016-12-09T18:21:00Z</dcterms:modified>
</cp:coreProperties>
</file>