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52" w:rsidRPr="00A21220" w:rsidRDefault="00782D52" w:rsidP="00782D52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A21220">
        <w:rPr>
          <w:rFonts w:ascii="Times New Roman" w:hAnsi="Times New Roman"/>
          <w:color w:val="000000"/>
          <w:sz w:val="20"/>
          <w:szCs w:val="20"/>
        </w:rPr>
        <w:t>ПРОГНОЗИРОВАНИЕ ДОХОДНОСТИ ФИНАНСОВЫХ ИНСТРУМЕНТОВ С ИСПОЛЬЗОВАНИЕМ МНОГОСЛОЙНОЙ НЕЙРОННОЙ СЕТИ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21220">
        <w:rPr>
          <w:rFonts w:ascii="Times New Roman" w:hAnsi="Times New Roman"/>
          <w:sz w:val="20"/>
          <w:szCs w:val="20"/>
        </w:rPr>
        <w:t>Увайсов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С.У., Журавлёва Ю.Н., Палий С. П.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1220">
        <w:rPr>
          <w:rFonts w:ascii="Times New Roman" w:hAnsi="Times New Roman"/>
          <w:i/>
          <w:sz w:val="20"/>
          <w:szCs w:val="20"/>
        </w:rPr>
        <w:t>МИЭМ НИУ ВШЭ</w:t>
      </w:r>
    </w:p>
    <w:p w:rsidR="00782D52" w:rsidRPr="00A21220" w:rsidRDefault="00782D52" w:rsidP="00782D5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Рассмотрена задача построения прогноза доходности финансовых инструментов с использованием модели нейронной сети. Для построения моделей используется предположение о влиянии рыночных факторов, имеющих различную природу</w:t>
      </w:r>
      <w:r w:rsidRPr="00A21220">
        <w:rPr>
          <w:rFonts w:ascii="Times New Roman" w:eastAsia="TimesNewRoman" w:hAnsi="Times New Roman"/>
          <w:sz w:val="20"/>
          <w:szCs w:val="20"/>
        </w:rPr>
        <w:t xml:space="preserve">. Нейронная модель построена в виде </w:t>
      </w:r>
      <w:r w:rsidRPr="00A21220">
        <w:rPr>
          <w:rFonts w:ascii="Times New Roman" w:hAnsi="Times New Roman"/>
          <w:sz w:val="20"/>
          <w:szCs w:val="20"/>
        </w:rPr>
        <w:t xml:space="preserve">многослойной сети и обучена с помощью процедуры обратного распространения. Построенные прогнозы нейронной сети для высоколиквидных акций подтвердили высокую точность модели.  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pStyle w:val="3"/>
        <w:spacing w:before="0" w:after="0"/>
        <w:ind w:firstLine="708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gramStart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>Prediction of return of financial instruments with a multilayer neural network.</w:t>
      </w:r>
      <w:proofErr w:type="gramEnd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>Uvaysov</w:t>
      </w:r>
      <w:proofErr w:type="spellEnd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 xml:space="preserve"> S. U., </w:t>
      </w:r>
      <w:proofErr w:type="spellStart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>Zhuravleva</w:t>
      </w:r>
      <w:proofErr w:type="spellEnd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 xml:space="preserve"> J.N., </w:t>
      </w:r>
      <w:proofErr w:type="spellStart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>Paliy</w:t>
      </w:r>
      <w:proofErr w:type="spellEnd"/>
      <w:r w:rsidRPr="00A21220">
        <w:rPr>
          <w:rFonts w:ascii="Times New Roman" w:hAnsi="Times New Roman"/>
          <w:color w:val="000000"/>
          <w:sz w:val="20"/>
          <w:szCs w:val="20"/>
          <w:lang w:val="en-US"/>
        </w:rPr>
        <w:t xml:space="preserve"> S. P.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21220">
        <w:rPr>
          <w:rFonts w:ascii="Times New Roman" w:hAnsi="Times New Roman"/>
          <w:sz w:val="20"/>
          <w:szCs w:val="20"/>
          <w:lang w:val="en-US"/>
        </w:rPr>
        <w:t>A problem of constructing the forecast profitability of financial instruments using a neural network model is analyzed. To build models we used the assumption of influence of market factors with different nature. A neural model is constructed in the form of a multilayer network trained using back-propagation procedure. The constructed neural network predictions for highly liquid stocks confirmed the high accuracy of the model.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 настоящее время актуальность использования нейронных сетей связана с возможностью выявления закономерностей в отсутствие априорных знаний об их существовании. Применение модели нейронных сетей  оправдывает себя при решении задач, в которых не представляется возможным учесть все реально имеющиеся условия, а можно лишь выделить приблизительный набор наиболее важных условий [1].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Для целей моделирования был выбран российский фондовый рынок. Для исследования и построения математических  моделей в качестве исходных данных были выбраны 10 финансовых инструментов из так называемых «</w:t>
      </w:r>
      <w:proofErr w:type="spellStart"/>
      <w:r w:rsidRPr="00A21220">
        <w:rPr>
          <w:rFonts w:ascii="Times New Roman" w:hAnsi="Times New Roman"/>
          <w:sz w:val="20"/>
          <w:szCs w:val="20"/>
        </w:rPr>
        <w:t>голубых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фишек». Термин «</w:t>
      </w:r>
      <w:proofErr w:type="spellStart"/>
      <w:r w:rsidRPr="00A21220">
        <w:rPr>
          <w:rFonts w:ascii="Times New Roman" w:hAnsi="Times New Roman"/>
          <w:sz w:val="20"/>
          <w:szCs w:val="20"/>
        </w:rPr>
        <w:t>голубые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фишки» обозначает акции наиболее крупных, ликвидных и надежных компаний со стабильными показателями получаемых доходов и выплачиваемых дивидендов.  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 нашей работе использовались доходности финансовых инструментов согласно формуле (1):</w:t>
      </w:r>
    </w:p>
    <w:p w:rsidR="00782D52" w:rsidRPr="00A21220" w:rsidRDefault="00782D52" w:rsidP="00782D5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position w:val="-30"/>
          <w:sz w:val="20"/>
          <w:szCs w:val="20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35.15pt" o:ole="">
            <v:imagedata r:id="rId5" o:title=""/>
          </v:shape>
          <o:OLEObject Type="Embed" ProgID="Equation.3" ShapeID="_x0000_i1025" DrawAspect="Content" ObjectID="_1414241640" r:id="rId6"/>
        </w:object>
      </w:r>
      <w:r w:rsidRPr="00A21220">
        <w:rPr>
          <w:rFonts w:ascii="Times New Roman" w:hAnsi="Times New Roman"/>
          <w:sz w:val="20"/>
          <w:szCs w:val="20"/>
        </w:rPr>
        <w:t>,                  (1)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 где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680" w:dyaOrig="360">
          <v:shape id="_x0000_i1026" type="#_x0000_t75" style="width:33.5pt;height:18.4pt" o:ole="">
            <v:imagedata r:id="rId7" o:title=""/>
          </v:shape>
          <o:OLEObject Type="Embed" ProgID="Equation.3" ShapeID="_x0000_i1026" DrawAspect="Content" ObjectID="_1414241641" r:id="rId8"/>
        </w:object>
      </w:r>
      <w:r w:rsidRPr="00A21220">
        <w:rPr>
          <w:rFonts w:ascii="Times New Roman" w:eastAsia="TimesNewRoman" w:hAnsi="Times New Roman"/>
          <w:sz w:val="20"/>
          <w:szCs w:val="20"/>
        </w:rPr>
        <w:t xml:space="preserve"> </w:t>
      </w:r>
      <w:r w:rsidRPr="00A21220">
        <w:rPr>
          <w:rFonts w:ascii="Times New Roman" w:hAnsi="Times New Roman"/>
          <w:sz w:val="20"/>
          <w:szCs w:val="20"/>
        </w:rPr>
        <w:t>- стоимость финансового инструмента в момент времени</w:t>
      </w:r>
      <w:r w:rsidRPr="00A21220">
        <w:rPr>
          <w:rFonts w:ascii="Times New Roman" w:eastAsia="TimesNewRoman" w:hAnsi="Times New Roman"/>
          <w:sz w:val="20"/>
          <w:szCs w:val="20"/>
        </w:rPr>
        <w:t xml:space="preserve">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320" w:dyaOrig="360">
          <v:shape id="_x0000_i1027" type="#_x0000_t75" style="width:15.9pt;height:18.4pt" o:ole="">
            <v:imagedata r:id="rId9" o:title=""/>
          </v:shape>
          <o:OLEObject Type="Embed" ProgID="Equation.3" ShapeID="_x0000_i1027" DrawAspect="Content" ObjectID="_1414241642" r:id="rId10"/>
        </w:object>
      </w:r>
      <w:r w:rsidRPr="00A21220">
        <w:rPr>
          <w:rFonts w:ascii="Times New Roman" w:eastAsia="TimesNewRoman" w:hAnsi="Times New Roman"/>
          <w:sz w:val="20"/>
          <w:szCs w:val="20"/>
        </w:rPr>
        <w:t xml:space="preserve">, 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object w:dxaOrig="540" w:dyaOrig="360">
          <v:shape id="_x0000_i1028" type="#_x0000_t75" style="width:26.8pt;height:18.4pt" o:ole="">
            <v:imagedata r:id="rId11" o:title=""/>
          </v:shape>
          <o:OLEObject Type="Embed" ProgID="Equation.3" ShapeID="_x0000_i1028" DrawAspect="Content" ObjectID="_1414241643" r:id="rId12"/>
        </w:object>
      </w:r>
      <w:r w:rsidRPr="00A21220">
        <w:rPr>
          <w:rFonts w:ascii="Times New Roman" w:hAnsi="Times New Roman"/>
          <w:sz w:val="20"/>
          <w:szCs w:val="20"/>
        </w:rPr>
        <w:t>- стоимость финансового инструмента через один день</w:t>
      </w:r>
      <w:r w:rsidRPr="00A21220">
        <w:rPr>
          <w:rFonts w:ascii="Times New Roman" w:eastAsia="TimesNewRoman" w:hAnsi="Times New Roman"/>
          <w:sz w:val="20"/>
          <w:szCs w:val="20"/>
        </w:rPr>
        <w:t xml:space="preserve">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1200" w:dyaOrig="360">
          <v:shape id="_x0000_i1029" type="#_x0000_t75" style="width:60.3pt;height:18.4pt" o:ole="">
            <v:imagedata r:id="rId13" o:title=""/>
          </v:shape>
          <o:OLEObject Type="Embed" ProgID="Equation.3" ShapeID="_x0000_i1029" DrawAspect="Content" ObjectID="_1414241644" r:id="rId14"/>
        </w:object>
      </w:r>
      <w:r w:rsidRPr="00A21220">
        <w:rPr>
          <w:rFonts w:ascii="Times New Roman" w:hAnsi="Times New Roman"/>
          <w:sz w:val="20"/>
          <w:szCs w:val="20"/>
        </w:rPr>
        <w:t xml:space="preserve">, </w:t>
      </w:r>
      <w:r w:rsidRPr="00A21220">
        <w:rPr>
          <w:rFonts w:ascii="Times New Roman" w:hAnsi="Times New Roman"/>
          <w:position w:val="-10"/>
          <w:sz w:val="20"/>
          <w:szCs w:val="20"/>
        </w:rPr>
        <w:object w:dxaOrig="680" w:dyaOrig="380">
          <v:shape id="_x0000_i1030" type="#_x0000_t75" style="width:33.5pt;height:18.4pt" o:ole="">
            <v:imagedata r:id="rId15" o:title=""/>
          </v:shape>
          <o:OLEObject Type="Embed" ProgID="Equation.3" ShapeID="_x0000_i1030" DrawAspect="Content" ObjectID="_1414241645" r:id="rId16"/>
        </w:object>
      </w:r>
      <w:r w:rsidRPr="00A21220">
        <w:rPr>
          <w:rFonts w:ascii="Times New Roman" w:hAnsi="Times New Roman"/>
          <w:sz w:val="20"/>
          <w:szCs w:val="20"/>
        </w:rPr>
        <w:t>.</w:t>
      </w:r>
      <w:r w:rsidRPr="00A21220">
        <w:rPr>
          <w:rFonts w:ascii="Times New Roman" w:eastAsia="TimesNewRoman" w:hAnsi="Times New Roman"/>
          <w:sz w:val="20"/>
          <w:szCs w:val="20"/>
        </w:rPr>
        <w:t xml:space="preserve"> 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Доходности финансовых инструментов (1) выступали в качестве  зависимых переменных. В качестве независимых величин (переменных) выбрали рыночные факторы, характеризующие различную природу финансовой системы. </w:t>
      </w:r>
      <w:proofErr w:type="gramStart"/>
      <w:r w:rsidRPr="00A21220">
        <w:rPr>
          <w:rFonts w:ascii="Times New Roman" w:hAnsi="Times New Roman"/>
          <w:sz w:val="20"/>
          <w:szCs w:val="20"/>
        </w:rPr>
        <w:t>Рыночные факторы представляют собой макроэкономические показатели финансовой системы: индексы международных рынков ценных бумаг,  мировые цены на энергоресурсы и полезные ископаемые, индексы государственных и корпоративных облигаций, процентные ставки на межбанковском рынке, курсы валют и др. Рыночные факторы можно подразделить на валютные, товарные, процентные и фондовые согласно таблице 1.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Исследовалось влияние однодневных относительных приращений (далее приращений) рыночных факторов на однодневную доходность финансового инструмента при помощи нейронной сети (НС). </w:t>
      </w: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Независимые переменные линейной регрессионной модели                 </w:t>
      </w:r>
    </w:p>
    <w:p w:rsidR="00782D52" w:rsidRPr="00A21220" w:rsidRDefault="00782D52" w:rsidP="00782D5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Таблица 1.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4172"/>
        <w:gridCol w:w="1542"/>
        <w:gridCol w:w="896"/>
        <w:gridCol w:w="1080"/>
        <w:gridCol w:w="1260"/>
      </w:tblGrid>
      <w:tr w:rsidR="00782D52" w:rsidRPr="00A21220" w:rsidTr="004D50F3">
        <w:tc>
          <w:tcPr>
            <w:tcW w:w="518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переменная</w:t>
            </w:r>
          </w:p>
        </w:tc>
        <w:tc>
          <w:tcPr>
            <w:tcW w:w="896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Рыночный фактор</w:t>
            </w:r>
          </w:p>
        </w:tc>
      </w:tr>
      <w:tr w:rsidR="00782D52" w:rsidRPr="00A21220" w:rsidTr="004D50F3">
        <w:tc>
          <w:tcPr>
            <w:tcW w:w="518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Приращение курса доллара относительно рубля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X1</w:t>
            </w:r>
          </w:p>
        </w:tc>
        <w:tc>
          <w:tcPr>
            <w:tcW w:w="896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Валютный</w:t>
            </w:r>
          </w:p>
        </w:tc>
      </w:tr>
      <w:tr w:rsidR="00782D52" w:rsidRPr="00A21220" w:rsidTr="004D50F3">
        <w:tc>
          <w:tcPr>
            <w:tcW w:w="518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Приращение цен на энергоресурсы, полезные ископаемые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X2, X22-X29</w:t>
            </w:r>
          </w:p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Товарный</w:t>
            </w:r>
          </w:p>
        </w:tc>
      </w:tr>
      <w:tr w:rsidR="00782D52" w:rsidRPr="00A21220" w:rsidTr="004D50F3">
        <w:tc>
          <w:tcPr>
            <w:tcW w:w="518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Приращение индексов фондовых рынков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X3- X21,</w:t>
            </w:r>
          </w:p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X35- X38</w:t>
            </w:r>
          </w:p>
        </w:tc>
        <w:tc>
          <w:tcPr>
            <w:tcW w:w="896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Фондовый</w:t>
            </w:r>
          </w:p>
        </w:tc>
      </w:tr>
      <w:tr w:rsidR="00782D52" w:rsidRPr="00A21220" w:rsidTr="004D50F3">
        <w:tc>
          <w:tcPr>
            <w:tcW w:w="518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 xml:space="preserve">Приращение процентных ставок </w:t>
            </w:r>
            <w:r w:rsidRPr="00A21220">
              <w:rPr>
                <w:rFonts w:ascii="Times New Roman" w:hAnsi="Times New Roman"/>
                <w:sz w:val="20"/>
                <w:szCs w:val="20"/>
                <w:lang w:val="en-US"/>
              </w:rPr>
              <w:t>MIACR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X30- X34</w:t>
            </w:r>
          </w:p>
        </w:tc>
        <w:tc>
          <w:tcPr>
            <w:tcW w:w="896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Процентный</w:t>
            </w:r>
          </w:p>
        </w:tc>
      </w:tr>
    </w:tbl>
    <w:p w:rsidR="00782D52" w:rsidRPr="00A21220" w:rsidRDefault="00782D52" w:rsidP="00782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pStyle w:val="a3"/>
        <w:spacing w:line="240" w:lineRule="auto"/>
        <w:rPr>
          <w:bCs w:val="0"/>
          <w:iCs w:val="0"/>
          <w:sz w:val="20"/>
          <w:szCs w:val="20"/>
        </w:rPr>
      </w:pPr>
      <w:r w:rsidRPr="00A21220">
        <w:rPr>
          <w:bCs w:val="0"/>
          <w:iCs w:val="0"/>
          <w:sz w:val="20"/>
          <w:szCs w:val="20"/>
        </w:rPr>
        <w:lastRenderedPageBreak/>
        <w:t xml:space="preserve">На сегодняшний день существует достаточное количество видов нейронных сетей. В данной работе были исследованы сети на основе многослойного персептрона, обученного при помощи алгоритма обратного распространения. </w:t>
      </w:r>
    </w:p>
    <w:p w:rsidR="00782D52" w:rsidRPr="00A21220" w:rsidRDefault="00782D52" w:rsidP="00782D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В задачах прогнозирования финансовых рынков с помощью нейронных сетей выделяют следующие подзадачи: погружение, выделение признаков, обучение нейронных сетей, построение модели, реализующих решение задачи. </w:t>
      </w:r>
    </w:p>
    <w:p w:rsidR="00782D52" w:rsidRPr="00A21220" w:rsidRDefault="00782D52" w:rsidP="00782D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Для решения задачи прогнозирования находится такая нейронная сеть, которая бы наилучшим образом строила отображение</w: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21220">
        <w:rPr>
          <w:rFonts w:ascii="Times New Roman" w:hAnsi="Times New Roman"/>
          <w:i/>
          <w:spacing w:val="-3"/>
          <w:sz w:val="20"/>
          <w:szCs w:val="20"/>
        </w:rPr>
        <w:t>F</w: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: </w:t>
      </w:r>
      <w:r w:rsidRPr="00A21220">
        <w:rPr>
          <w:rFonts w:ascii="Times New Roman" w:hAnsi="Times New Roman"/>
          <w:i/>
          <w:spacing w:val="-3"/>
          <w:sz w:val="20"/>
          <w:szCs w:val="20"/>
        </w:rPr>
        <w:t>X</w:t>
      </w:r>
      <w:r w:rsidRPr="00A21220">
        <w:rPr>
          <w:rFonts w:ascii="Times New Roman" w:hAnsi="Times New Roman"/>
          <w:spacing w:val="-3"/>
          <w:sz w:val="20"/>
          <w:szCs w:val="20"/>
        </w:rPr>
        <w:t>→</w:t>
      </w:r>
      <w:r w:rsidRPr="00A21220">
        <w:rPr>
          <w:rFonts w:ascii="Times New Roman" w:hAnsi="Times New Roman"/>
          <w:i/>
          <w:spacing w:val="-3"/>
          <w:sz w:val="20"/>
          <w:szCs w:val="20"/>
        </w:rPr>
        <w:t>Y</w: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, </w:t>
      </w:r>
      <w:proofErr w:type="gramStart"/>
      <w:r w:rsidRPr="00A21220">
        <w:rPr>
          <w:rFonts w:ascii="Times New Roman" w:hAnsi="Times New Roman"/>
          <w:sz w:val="20"/>
          <w:szCs w:val="20"/>
        </w:rPr>
        <w:t>обобщающее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сформированный на основе ценовой динамики набор примеров</w: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 {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279" w:dyaOrig="360">
          <v:shape id="_x0000_i1031" type="#_x0000_t75" style="width:15.9pt;height:20.1pt" o:ole="">
            <v:imagedata r:id="rId17" o:title=""/>
          </v:shape>
          <o:OLEObject Type="Embed" ProgID="Equation.3" ShapeID="_x0000_i1031" DrawAspect="Content" ObjectID="_1414241646" r:id="rId18"/>
        </w:object>
      </w:r>
      <w:r w:rsidRPr="00A21220">
        <w:rPr>
          <w:rFonts w:ascii="Times New Roman" w:hAnsi="Times New Roman"/>
          <w:sz w:val="20"/>
          <w:szCs w:val="20"/>
        </w:rPr>
        <w:t>,</w: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300" w:dyaOrig="360">
          <v:shape id="_x0000_i1032" type="#_x0000_t75" style="width:16.75pt;height:20.1pt" o:ole="">
            <v:imagedata r:id="rId19" o:title=""/>
          </v:shape>
          <o:OLEObject Type="Embed" ProgID="Equation.3" ShapeID="_x0000_i1032" DrawAspect="Content" ObjectID="_1414241647" r:id="rId20"/>
        </w:objec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}. </w:t>
      </w:r>
    </w:p>
    <w:p w:rsidR="00782D52" w:rsidRPr="00A21220" w:rsidRDefault="00782D52" w:rsidP="00782D52">
      <w:pPr>
        <w:pStyle w:val="a3"/>
        <w:spacing w:line="240" w:lineRule="auto"/>
        <w:rPr>
          <w:bCs w:val="0"/>
          <w:iCs w:val="0"/>
          <w:sz w:val="20"/>
          <w:szCs w:val="20"/>
        </w:rPr>
      </w:pPr>
      <w:r w:rsidRPr="00A21220">
        <w:rPr>
          <w:bCs w:val="0"/>
          <w:iCs w:val="0"/>
          <w:sz w:val="20"/>
          <w:szCs w:val="20"/>
        </w:rPr>
        <w:t xml:space="preserve">В результате обучения нейронная сеть при помощи алгоритма обратного распространения самостоятельно подбирает необходимые значения весов нейронной сети и строит модель, которая наиболее точно описывает исследуемый процесс. </w:t>
      </w:r>
    </w:p>
    <w:p w:rsidR="00782D52" w:rsidRPr="00A21220" w:rsidRDefault="00782D52" w:rsidP="00782D52">
      <w:pPr>
        <w:pStyle w:val="a3"/>
        <w:spacing w:line="240" w:lineRule="auto"/>
        <w:ind w:firstLine="709"/>
        <w:rPr>
          <w:bCs w:val="0"/>
          <w:iCs w:val="0"/>
          <w:sz w:val="20"/>
          <w:szCs w:val="20"/>
        </w:rPr>
      </w:pPr>
      <w:r w:rsidRPr="00A21220">
        <w:rPr>
          <w:bCs w:val="0"/>
          <w:iCs w:val="0"/>
          <w:sz w:val="20"/>
          <w:szCs w:val="20"/>
        </w:rPr>
        <w:t>Обучение нейронной сети прекращается, когда ошибка (2) достигла некоторого определенного уровня малости, определенного аналитиком (0,005).</w:t>
      </w:r>
    </w:p>
    <w:p w:rsidR="00782D52" w:rsidRPr="00A21220" w:rsidRDefault="00782D52" w:rsidP="00782D52">
      <w:pPr>
        <w:pStyle w:val="a3"/>
        <w:spacing w:line="240" w:lineRule="auto"/>
        <w:ind w:firstLine="709"/>
        <w:jc w:val="center"/>
        <w:rPr>
          <w:sz w:val="20"/>
          <w:szCs w:val="20"/>
        </w:rPr>
      </w:pPr>
      <w:r w:rsidRPr="00A21220">
        <w:rPr>
          <w:position w:val="-28"/>
          <w:sz w:val="20"/>
          <w:szCs w:val="20"/>
        </w:rPr>
        <w:object w:dxaOrig="2760" w:dyaOrig="660">
          <v:shape id="_x0000_i1033" type="#_x0000_t75" style="width:139pt;height:32.65pt" o:ole="">
            <v:imagedata r:id="rId21" o:title=""/>
          </v:shape>
          <o:OLEObject Type="Embed" ProgID="Equation.3" ShapeID="_x0000_i1033" DrawAspect="Content" ObjectID="_1414241648" r:id="rId22"/>
        </w:object>
      </w:r>
      <w:r w:rsidRPr="00A21220">
        <w:rPr>
          <w:sz w:val="20"/>
          <w:szCs w:val="20"/>
        </w:rPr>
        <w:t xml:space="preserve">                                 (2)</w:t>
      </w:r>
    </w:p>
    <w:p w:rsidR="00782D52" w:rsidRPr="00A21220" w:rsidRDefault="00782D52" w:rsidP="00782D52">
      <w:pPr>
        <w:pStyle w:val="a3"/>
        <w:spacing w:line="240" w:lineRule="auto"/>
        <w:ind w:firstLine="709"/>
        <w:jc w:val="left"/>
        <w:rPr>
          <w:sz w:val="20"/>
          <w:szCs w:val="20"/>
        </w:rPr>
      </w:pPr>
      <w:r w:rsidRPr="00A21220">
        <w:rPr>
          <w:bCs w:val="0"/>
          <w:iCs w:val="0"/>
          <w:sz w:val="20"/>
          <w:szCs w:val="20"/>
        </w:rPr>
        <w:t>где</w:t>
      </w:r>
      <w:r w:rsidRPr="00A21220">
        <w:rPr>
          <w:sz w:val="20"/>
          <w:szCs w:val="20"/>
        </w:rPr>
        <w:t xml:space="preserve">  </w:t>
      </w:r>
      <w:r w:rsidRPr="00A21220">
        <w:rPr>
          <w:position w:val="-10"/>
          <w:sz w:val="20"/>
          <w:szCs w:val="20"/>
        </w:rPr>
        <w:object w:dxaOrig="760" w:dyaOrig="340">
          <v:shape id="_x0000_i1034" type="#_x0000_t75" style="width:38.5pt;height:17.6pt" o:ole="">
            <v:imagedata r:id="rId23" o:title=""/>
          </v:shape>
          <o:OLEObject Type="Embed" ProgID="Equation.3" ShapeID="_x0000_i1034" DrawAspect="Content" ObjectID="_1414241649" r:id="rId24"/>
        </w:object>
      </w:r>
      <w:r w:rsidRPr="00A21220">
        <w:rPr>
          <w:sz w:val="20"/>
          <w:szCs w:val="20"/>
        </w:rPr>
        <w:t xml:space="preserve">- </w:t>
      </w:r>
      <w:r w:rsidRPr="00A21220">
        <w:rPr>
          <w:bCs w:val="0"/>
          <w:iCs w:val="0"/>
          <w:sz w:val="20"/>
          <w:szCs w:val="20"/>
        </w:rPr>
        <w:t>целевой вектор,</w:t>
      </w:r>
    </w:p>
    <w:p w:rsidR="00782D52" w:rsidRPr="00A21220" w:rsidRDefault="00782D52" w:rsidP="00782D52">
      <w:pPr>
        <w:pStyle w:val="a3"/>
        <w:spacing w:line="240" w:lineRule="auto"/>
        <w:ind w:firstLine="709"/>
        <w:jc w:val="left"/>
        <w:rPr>
          <w:color w:val="FF0000"/>
          <w:sz w:val="20"/>
          <w:szCs w:val="20"/>
        </w:rPr>
      </w:pPr>
      <w:r w:rsidRPr="00A21220">
        <w:rPr>
          <w:sz w:val="20"/>
          <w:szCs w:val="20"/>
        </w:rPr>
        <w:t xml:space="preserve">         </w:t>
      </w:r>
      <w:r w:rsidRPr="00A21220">
        <w:rPr>
          <w:position w:val="-12"/>
          <w:sz w:val="20"/>
          <w:szCs w:val="20"/>
        </w:rPr>
        <w:object w:dxaOrig="580" w:dyaOrig="360">
          <v:shape id="_x0000_i1035" type="#_x0000_t75" style="width:29.3pt;height:18.4pt" o:ole="">
            <v:imagedata r:id="rId25" o:title=""/>
          </v:shape>
          <o:OLEObject Type="Embed" ProgID="Equation.3" ShapeID="_x0000_i1035" DrawAspect="Content" ObjectID="_1414241650" r:id="rId26"/>
        </w:object>
      </w:r>
      <w:r w:rsidRPr="00A21220">
        <w:rPr>
          <w:sz w:val="20"/>
          <w:szCs w:val="20"/>
        </w:rPr>
        <w:t>- выходной нейронный сигнал.</w:t>
      </w:r>
    </w:p>
    <w:p w:rsidR="00782D52" w:rsidRPr="00A21220" w:rsidRDefault="00782D52" w:rsidP="00782D52">
      <w:pPr>
        <w:pStyle w:val="a3"/>
        <w:spacing w:line="240" w:lineRule="auto"/>
        <w:ind w:firstLine="709"/>
        <w:rPr>
          <w:sz w:val="20"/>
          <w:szCs w:val="20"/>
        </w:rPr>
      </w:pPr>
      <w:r w:rsidRPr="00A21220">
        <w:rPr>
          <w:sz w:val="20"/>
          <w:szCs w:val="20"/>
        </w:rPr>
        <w:t>Для построения нейронной сети использовались независимые переменные, полученные при построении математических моделей линейной многофакторной регрессии методом пошагового отбора для десяти финансовых инструментов.</w:t>
      </w:r>
    </w:p>
    <w:p w:rsidR="00782D52" w:rsidRPr="00A21220" w:rsidRDefault="00782D52" w:rsidP="00782D52">
      <w:pPr>
        <w:pStyle w:val="a3"/>
        <w:spacing w:line="240" w:lineRule="auto"/>
        <w:ind w:firstLine="709"/>
        <w:rPr>
          <w:sz w:val="20"/>
          <w:szCs w:val="20"/>
        </w:rPr>
      </w:pPr>
      <w:r w:rsidRPr="00A21220">
        <w:rPr>
          <w:sz w:val="20"/>
          <w:szCs w:val="20"/>
        </w:rPr>
        <w:t xml:space="preserve">В результате обучения НС самостоятельно подобрала необходимые значения весов нейронной сети и построила модель, которая наиболее точно описывает исследуемый процесс. Для построения нейронной сети использовалась программа: </w:t>
      </w:r>
      <w:proofErr w:type="spellStart"/>
      <w:r w:rsidRPr="00A21220">
        <w:rPr>
          <w:sz w:val="20"/>
          <w:szCs w:val="20"/>
          <w:lang w:val="en-US"/>
        </w:rPr>
        <w:t>Statistica</w:t>
      </w:r>
      <w:proofErr w:type="spellEnd"/>
      <w:r w:rsidRPr="00A21220">
        <w:rPr>
          <w:sz w:val="20"/>
          <w:szCs w:val="20"/>
        </w:rPr>
        <w:t>.</w:t>
      </w:r>
    </w:p>
    <w:p w:rsidR="00782D52" w:rsidRPr="00A21220" w:rsidRDefault="00782D52" w:rsidP="00782D52">
      <w:pPr>
        <w:pStyle w:val="a3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>Алгоритм обработки данных с помощью двухслойной нейронной сети заключался в следующем:</w:t>
      </w:r>
    </w:p>
    <w:p w:rsidR="00782D52" w:rsidRPr="00A21220" w:rsidRDefault="00782D52" w:rsidP="00782D52">
      <w:pPr>
        <w:pStyle w:val="a3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-  запускалась программа </w:t>
      </w:r>
      <w:proofErr w:type="spellStart"/>
      <w:r w:rsidRPr="00A21220">
        <w:rPr>
          <w:sz w:val="20"/>
          <w:szCs w:val="20"/>
          <w:lang w:val="en-US"/>
        </w:rPr>
        <w:t>Statistica</w:t>
      </w:r>
      <w:proofErr w:type="spellEnd"/>
      <w:r w:rsidRPr="00A21220">
        <w:rPr>
          <w:sz w:val="20"/>
          <w:szCs w:val="20"/>
        </w:rPr>
        <w:t xml:space="preserve"> и загружались данные из системы «</w:t>
      </w:r>
      <w:proofErr w:type="spellStart"/>
      <w:r w:rsidRPr="00A21220">
        <w:rPr>
          <w:sz w:val="20"/>
          <w:szCs w:val="20"/>
        </w:rPr>
        <w:t>Reuters</w:t>
      </w:r>
      <w:proofErr w:type="spellEnd"/>
      <w:r w:rsidRPr="00A21220">
        <w:rPr>
          <w:sz w:val="20"/>
          <w:szCs w:val="20"/>
        </w:rPr>
        <w:t>»;</w:t>
      </w:r>
    </w:p>
    <w:p w:rsidR="00782D52" w:rsidRPr="00A21220" w:rsidRDefault="00782D52" w:rsidP="00782D52">
      <w:pPr>
        <w:pStyle w:val="a3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-  производилась настройка весов нейронных сетей в </w:t>
      </w:r>
      <w:proofErr w:type="spellStart"/>
      <w:r w:rsidRPr="00A21220">
        <w:rPr>
          <w:sz w:val="20"/>
          <w:szCs w:val="20"/>
          <w:lang w:val="en-US"/>
        </w:rPr>
        <w:t>Statistica</w:t>
      </w:r>
      <w:proofErr w:type="spellEnd"/>
      <w:r w:rsidRPr="00A21220">
        <w:rPr>
          <w:sz w:val="20"/>
          <w:szCs w:val="20"/>
        </w:rPr>
        <w:t>, формировалась обучающая выборка;</w:t>
      </w:r>
    </w:p>
    <w:p w:rsidR="00782D52" w:rsidRPr="00A21220" w:rsidRDefault="00782D52" w:rsidP="00782D52">
      <w:pPr>
        <w:pStyle w:val="a3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-  запускался процесс обучения нейронных сетей: расчет ошибки (2), коррекция весов </w:t>
      </w:r>
      <w:proofErr w:type="spellStart"/>
      <w:r w:rsidRPr="00A21220">
        <w:rPr>
          <w:sz w:val="20"/>
          <w:szCs w:val="20"/>
        </w:rPr>
        <w:t>нейросети</w:t>
      </w:r>
      <w:proofErr w:type="spellEnd"/>
      <w:r w:rsidRPr="00A21220">
        <w:rPr>
          <w:sz w:val="20"/>
          <w:szCs w:val="20"/>
        </w:rPr>
        <w:t xml:space="preserve">; </w:t>
      </w:r>
    </w:p>
    <w:p w:rsidR="00782D52" w:rsidRPr="00A21220" w:rsidRDefault="00782D52" w:rsidP="00782D52">
      <w:pPr>
        <w:pStyle w:val="a3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-  проверялись условия остановки обучения НС, строился прогноз с помощью построенной НС и вектора независимых переменных в предыдущий момент времени. </w:t>
      </w:r>
    </w:p>
    <w:p w:rsidR="00782D52" w:rsidRPr="00A21220" w:rsidRDefault="00782D52" w:rsidP="00782D52">
      <w:pPr>
        <w:pStyle w:val="a3"/>
        <w:spacing w:line="240" w:lineRule="auto"/>
        <w:ind w:firstLine="709"/>
        <w:rPr>
          <w:color w:val="FF0000"/>
          <w:sz w:val="20"/>
          <w:szCs w:val="20"/>
        </w:rPr>
      </w:pPr>
      <w:r w:rsidRPr="00A21220">
        <w:rPr>
          <w:sz w:val="20"/>
          <w:szCs w:val="20"/>
        </w:rPr>
        <w:t>Обучение нейронной сети прекращалось, когда ошибка (2) достигла некоторого определенного уровня малости, определенного аналитиком (0,005).</w:t>
      </w:r>
    </w:p>
    <w:p w:rsidR="00782D52" w:rsidRPr="00A21220" w:rsidRDefault="00782D52" w:rsidP="00782D52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Доходность и цена финансового инструмента </w:t>
      </w:r>
      <w:proofErr w:type="gramStart"/>
      <w:r w:rsidRPr="00A21220">
        <w:rPr>
          <w:rFonts w:ascii="Times New Roman" w:hAnsi="Times New Roman"/>
          <w:sz w:val="20"/>
          <w:szCs w:val="20"/>
        </w:rPr>
        <w:t>связаны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между собой соотношением:</w:t>
      </w:r>
    </w:p>
    <w:p w:rsidR="00782D52" w:rsidRPr="00A21220" w:rsidRDefault="00782D52" w:rsidP="00782D52">
      <w:pPr>
        <w:shd w:val="clear" w:color="auto" w:fill="FFFFFF"/>
        <w:tabs>
          <w:tab w:val="left" w:pos="1042"/>
        </w:tabs>
        <w:spacing w:after="0" w:line="240" w:lineRule="auto"/>
        <w:ind w:firstLine="902"/>
        <w:jc w:val="right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position w:val="-12"/>
          <w:sz w:val="20"/>
          <w:szCs w:val="20"/>
        </w:rPr>
        <w:object w:dxaOrig="2020" w:dyaOrig="360">
          <v:shape id="_x0000_i1036" type="#_x0000_t75" style="width:113pt;height:17.6pt" o:ole="">
            <v:imagedata r:id="rId27" o:title=""/>
          </v:shape>
          <o:OLEObject Type="Embed" ProgID="Equation.3" ShapeID="_x0000_i1036" DrawAspect="Content" ObjectID="_1414241651" r:id="rId28"/>
        </w:object>
      </w:r>
      <w:r w:rsidRPr="00A21220">
        <w:rPr>
          <w:rFonts w:ascii="Times New Roman" w:hAnsi="Times New Roman"/>
          <w:sz w:val="20"/>
          <w:szCs w:val="20"/>
        </w:rPr>
        <w:t>,                                              (3)</w:t>
      </w:r>
    </w:p>
    <w:p w:rsidR="00782D52" w:rsidRPr="00A21220" w:rsidRDefault="00782D52" w:rsidP="00782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где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440" w:dyaOrig="360">
          <v:shape id="_x0000_i1037" type="#_x0000_t75" style="width:21.75pt;height:18.4pt" o:ole="">
            <v:imagedata r:id="rId29" o:title=""/>
          </v:shape>
          <o:OLEObject Type="Embed" ProgID="Equation.3" ShapeID="_x0000_i1037" DrawAspect="Content" ObjectID="_1414241652" r:id="rId30"/>
        </w:object>
      </w:r>
      <w:r w:rsidRPr="00A21220">
        <w:rPr>
          <w:rFonts w:ascii="Times New Roman" w:hAnsi="Times New Roman"/>
          <w:sz w:val="20"/>
          <w:szCs w:val="20"/>
        </w:rPr>
        <w:t xml:space="preserve"> – цена финансового инструмента в момент времени </w:t>
      </w:r>
      <w:r w:rsidRPr="00A21220">
        <w:rPr>
          <w:rFonts w:ascii="Times New Roman" w:hAnsi="Times New Roman"/>
          <w:position w:val="-6"/>
          <w:sz w:val="20"/>
          <w:szCs w:val="20"/>
        </w:rPr>
        <w:object w:dxaOrig="499" w:dyaOrig="280">
          <v:shape id="_x0000_i1038" type="#_x0000_t75" style="width:25.1pt;height:14.25pt" o:ole="">
            <v:imagedata r:id="rId31" o:title=""/>
          </v:shape>
          <o:OLEObject Type="Embed" ProgID="Equation.3" ShapeID="_x0000_i1038" DrawAspect="Content" ObjectID="_1414241653" r:id="rId32"/>
        </w:object>
      </w:r>
      <w:r w:rsidRPr="00A21220">
        <w:rPr>
          <w:rFonts w:ascii="Times New Roman" w:hAnsi="Times New Roman"/>
          <w:sz w:val="20"/>
          <w:szCs w:val="20"/>
        </w:rPr>
        <w:t>,</w:t>
      </w:r>
    </w:p>
    <w:p w:rsidR="00782D52" w:rsidRPr="00A21220" w:rsidRDefault="00782D52" w:rsidP="00782D52">
      <w:pPr>
        <w:tabs>
          <w:tab w:val="left" w:pos="434"/>
        </w:tabs>
        <w:spacing w:after="0" w:line="240" w:lineRule="auto"/>
        <w:ind w:firstLine="448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position w:val="-12"/>
          <w:sz w:val="20"/>
          <w:szCs w:val="20"/>
        </w:rPr>
        <w:object w:dxaOrig="420" w:dyaOrig="360">
          <v:shape id="_x0000_i1039" type="#_x0000_t75" style="width:20.95pt;height:18.4pt" o:ole="">
            <v:imagedata r:id="rId33" o:title=""/>
          </v:shape>
          <o:OLEObject Type="Embed" ProgID="Equation.3" ShapeID="_x0000_i1039" DrawAspect="Content" ObjectID="_1414241654" r:id="rId34"/>
        </w:object>
      </w:r>
      <w:r w:rsidRPr="00A21220">
        <w:rPr>
          <w:rFonts w:ascii="Times New Roman" w:hAnsi="Times New Roman"/>
          <w:sz w:val="20"/>
          <w:szCs w:val="20"/>
        </w:rPr>
        <w:t xml:space="preserve"> – доходность финансового инструмента в момент времени </w:t>
      </w:r>
      <w:r w:rsidRPr="00A21220">
        <w:rPr>
          <w:rFonts w:ascii="Times New Roman" w:hAnsi="Times New Roman"/>
          <w:position w:val="-6"/>
          <w:sz w:val="20"/>
          <w:szCs w:val="20"/>
        </w:rPr>
        <w:object w:dxaOrig="499" w:dyaOrig="280">
          <v:shape id="_x0000_i1040" type="#_x0000_t75" style="width:25.1pt;height:14.25pt" o:ole="">
            <v:imagedata r:id="rId31" o:title=""/>
          </v:shape>
          <o:OLEObject Type="Embed" ProgID="Equation.3" ShapeID="_x0000_i1040" DrawAspect="Content" ObjectID="_1414241655" r:id="rId35"/>
        </w:object>
      </w:r>
      <w:r w:rsidRPr="00A21220">
        <w:rPr>
          <w:rFonts w:ascii="Times New Roman" w:hAnsi="Times New Roman"/>
          <w:sz w:val="20"/>
          <w:szCs w:val="20"/>
        </w:rPr>
        <w:t>,</w:t>
      </w:r>
    </w:p>
    <w:p w:rsidR="00782D52" w:rsidRPr="00A21220" w:rsidRDefault="00782D52" w:rsidP="00782D52">
      <w:pPr>
        <w:tabs>
          <w:tab w:val="left" w:pos="434"/>
        </w:tabs>
        <w:spacing w:after="0" w:line="240" w:lineRule="auto"/>
        <w:ind w:firstLine="448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position w:val="-12"/>
          <w:sz w:val="20"/>
          <w:szCs w:val="20"/>
        </w:rPr>
        <w:object w:dxaOrig="320" w:dyaOrig="360">
          <v:shape id="_x0000_i1041" type="#_x0000_t75" style="width:15.9pt;height:18.4pt" o:ole="">
            <v:imagedata r:id="rId36" o:title=""/>
          </v:shape>
          <o:OLEObject Type="Embed" ProgID="Equation.3" ShapeID="_x0000_i1041" DrawAspect="Content" ObjectID="_1414241656" r:id="rId37"/>
        </w:object>
      </w:r>
      <w:r w:rsidRPr="00A21220">
        <w:rPr>
          <w:rFonts w:ascii="Times New Roman" w:hAnsi="Times New Roman"/>
          <w:sz w:val="20"/>
          <w:szCs w:val="20"/>
        </w:rPr>
        <w:t xml:space="preserve"> – цена финансового инструмента в момент времени </w:t>
      </w:r>
      <w:r w:rsidRPr="00A21220">
        <w:rPr>
          <w:rFonts w:ascii="Times New Roman" w:hAnsi="Times New Roman"/>
          <w:position w:val="-6"/>
          <w:sz w:val="20"/>
          <w:szCs w:val="20"/>
        </w:rPr>
        <w:object w:dxaOrig="200" w:dyaOrig="220">
          <v:shape id="_x0000_i1042" type="#_x0000_t75" style="width:10.05pt;height:10.9pt" o:ole="">
            <v:imagedata r:id="rId38" o:title=""/>
          </v:shape>
          <o:OLEObject Type="Embed" ProgID="Equation.3" ShapeID="_x0000_i1042" DrawAspect="Content" ObjectID="_1414241657" r:id="rId39"/>
        </w:object>
      </w:r>
      <w:r w:rsidRPr="00A21220">
        <w:rPr>
          <w:rFonts w:ascii="Times New Roman" w:hAnsi="Times New Roman"/>
          <w:sz w:val="20"/>
          <w:szCs w:val="20"/>
        </w:rPr>
        <w:t>.</w:t>
      </w:r>
    </w:p>
    <w:p w:rsidR="00782D52" w:rsidRPr="00A21220" w:rsidRDefault="00782D52" w:rsidP="00782D52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Прогнозные значения доходностей </w:t>
      </w:r>
      <w:r w:rsidRPr="00A21220">
        <w:rPr>
          <w:rFonts w:ascii="Times New Roman" w:hAnsi="Times New Roman"/>
          <w:spacing w:val="-3"/>
          <w:sz w:val="20"/>
          <w:szCs w:val="20"/>
        </w:rPr>
        <w:t>финансовых инструментов</w:t>
      </w:r>
      <w:r w:rsidRPr="00A21220">
        <w:rPr>
          <w:rFonts w:ascii="Times New Roman" w:hAnsi="Times New Roman"/>
          <w:sz w:val="20"/>
          <w:szCs w:val="20"/>
        </w:rPr>
        <w:t xml:space="preserve">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420" w:dyaOrig="360">
          <v:shape id="_x0000_i1043" type="#_x0000_t75" style="width:24.3pt;height:20.1pt" o:ole="">
            <v:imagedata r:id="rId40" o:title=""/>
          </v:shape>
          <o:OLEObject Type="Embed" ProgID="Equation.3" ShapeID="_x0000_i1043" DrawAspect="Content" ObjectID="_1414241658" r:id="rId41"/>
        </w:object>
      </w:r>
      <w:r w:rsidRPr="00A21220">
        <w:rPr>
          <w:rFonts w:ascii="Times New Roman" w:hAnsi="Times New Roman"/>
          <w:sz w:val="20"/>
          <w:szCs w:val="20"/>
        </w:rPr>
        <w:t xml:space="preserve"> определяют соответствующие прогнозные цены согласно формуле (3).</w:t>
      </w:r>
    </w:p>
    <w:p w:rsidR="00782D52" w:rsidRPr="00A21220" w:rsidRDefault="00782D52" w:rsidP="00782D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Прогнозирование доходностей </w:t>
      </w:r>
      <w:r w:rsidRPr="00A21220">
        <w:rPr>
          <w:rFonts w:ascii="Times New Roman" w:hAnsi="Times New Roman"/>
          <w:spacing w:val="-3"/>
          <w:sz w:val="20"/>
          <w:szCs w:val="20"/>
        </w:rPr>
        <w:t>финансовых инструментов</w:t>
      </w:r>
      <w:r w:rsidRPr="00A21220">
        <w:rPr>
          <w:rFonts w:ascii="Times New Roman" w:hAnsi="Times New Roman"/>
          <w:sz w:val="20"/>
          <w:szCs w:val="20"/>
        </w:rPr>
        <w:t xml:space="preserve"> осуществлялось по тому же принципу, что и обучение, с той лишь разницей, что </w:t>
      </w:r>
      <w:proofErr w:type="gramStart"/>
      <w:r w:rsidRPr="00A21220">
        <w:rPr>
          <w:rFonts w:ascii="Times New Roman" w:hAnsi="Times New Roman"/>
          <w:sz w:val="20"/>
          <w:szCs w:val="20"/>
        </w:rPr>
        <w:t>выходные значения доходностей финансовых инструментов, рассчитанные нейронной сетью были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заранее </w:t>
      </w:r>
      <w:r w:rsidRPr="00A21220">
        <w:rPr>
          <w:rFonts w:ascii="Times New Roman" w:hAnsi="Times New Roman"/>
          <w:iCs/>
          <w:sz w:val="20"/>
          <w:szCs w:val="20"/>
        </w:rPr>
        <w:t>неизвестны</w:t>
      </w:r>
      <w:r w:rsidRPr="00A21220">
        <w:rPr>
          <w:rFonts w:ascii="Times New Roman" w:hAnsi="Times New Roman"/>
          <w:sz w:val="20"/>
          <w:szCs w:val="20"/>
        </w:rPr>
        <w:t>. При этом</w:t>
      </w:r>
      <w:proofErr w:type="gramStart"/>
      <w:r w:rsidRPr="00A21220">
        <w:rPr>
          <w:rFonts w:ascii="Times New Roman" w:hAnsi="Times New Roman"/>
          <w:sz w:val="20"/>
          <w:szCs w:val="20"/>
        </w:rPr>
        <w:t>,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на этапе адаптивного предсказания применялось однодневное прогнозирование. Для получения прогноза доходности финансового инструмента использовались фактические данные показателей финансовой системы в предыдущий момент времени. В таблице 1 представлены результаты построения прогнозов на 13 сентября 2011 года доходности десяти финансовых инструментов, построенных с использованием многослойной сети обратного распространения, обученных на данных с 12 сентября </w:t>
      </w:r>
      <w:smartTag w:uri="urn:schemas-microsoft-com:office:smarttags" w:element="metricconverter">
        <w:smartTagPr>
          <w:attr w:name="ProductID" w:val="2006 г"/>
        </w:smartTagPr>
        <w:r w:rsidRPr="00A21220">
          <w:rPr>
            <w:rFonts w:ascii="Times New Roman" w:hAnsi="Times New Roman"/>
            <w:sz w:val="20"/>
            <w:szCs w:val="20"/>
          </w:rPr>
          <w:t>2006 г</w:t>
        </w:r>
      </w:smartTag>
      <w:r w:rsidRPr="00A21220">
        <w:rPr>
          <w:rFonts w:ascii="Times New Roman" w:hAnsi="Times New Roman"/>
          <w:sz w:val="20"/>
          <w:szCs w:val="20"/>
        </w:rPr>
        <w:t xml:space="preserve">. по 12 сентября </w:t>
      </w:r>
      <w:smartTag w:uri="urn:schemas-microsoft-com:office:smarttags" w:element="metricconverter">
        <w:smartTagPr>
          <w:attr w:name="ProductID" w:val="2011 г"/>
        </w:smartTagPr>
        <w:r w:rsidRPr="00A21220">
          <w:rPr>
            <w:rFonts w:ascii="Times New Roman" w:hAnsi="Times New Roman"/>
            <w:sz w:val="20"/>
            <w:szCs w:val="20"/>
          </w:rPr>
          <w:t>2011 г</w:t>
        </w:r>
      </w:smartTag>
      <w:r w:rsidRPr="00A21220">
        <w:rPr>
          <w:rFonts w:ascii="Times New Roman" w:hAnsi="Times New Roman"/>
          <w:sz w:val="20"/>
          <w:szCs w:val="20"/>
        </w:rPr>
        <w:t>. (1 238 наблюдений).</w:t>
      </w:r>
    </w:p>
    <w:p w:rsidR="00782D52" w:rsidRPr="00A21220" w:rsidRDefault="00782D52" w:rsidP="00782D52">
      <w:pPr>
        <w:spacing w:after="0" w:line="240" w:lineRule="auto"/>
        <w:ind w:firstLine="709"/>
        <w:jc w:val="right"/>
        <w:rPr>
          <w:rFonts w:ascii="Times New Roman" w:hAnsi="Times New Roman"/>
          <w:spacing w:val="-3"/>
          <w:sz w:val="20"/>
          <w:szCs w:val="20"/>
        </w:rPr>
      </w:pPr>
      <w:r w:rsidRPr="00A21220">
        <w:rPr>
          <w:rFonts w:ascii="Times New Roman" w:hAnsi="Times New Roman"/>
          <w:spacing w:val="-3"/>
          <w:sz w:val="20"/>
          <w:szCs w:val="20"/>
        </w:rPr>
        <w:t>Таблица 1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A21220">
        <w:rPr>
          <w:rFonts w:ascii="Times New Roman" w:hAnsi="Times New Roman"/>
          <w:b/>
          <w:spacing w:val="-3"/>
          <w:sz w:val="20"/>
          <w:szCs w:val="20"/>
        </w:rPr>
        <w:t xml:space="preserve">Результаты построения прогнозов доходности 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A21220">
        <w:rPr>
          <w:rFonts w:ascii="Times New Roman" w:hAnsi="Times New Roman"/>
          <w:b/>
          <w:spacing w:val="-3"/>
          <w:sz w:val="20"/>
          <w:szCs w:val="20"/>
        </w:rPr>
        <w:t xml:space="preserve">и цены финансовых инструментов 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A21220">
        <w:rPr>
          <w:rFonts w:ascii="Times New Roman" w:hAnsi="Times New Roman"/>
          <w:b/>
          <w:spacing w:val="-3"/>
          <w:sz w:val="20"/>
          <w:szCs w:val="20"/>
        </w:rPr>
        <w:t>с использованием многослойной нейронной модели</w:t>
      </w:r>
    </w:p>
    <w:p w:rsidR="00782D52" w:rsidRPr="00A21220" w:rsidRDefault="00782D52" w:rsidP="00782D52">
      <w:pPr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1361"/>
        <w:gridCol w:w="1478"/>
        <w:gridCol w:w="1364"/>
        <w:gridCol w:w="1915"/>
      </w:tblGrid>
      <w:tr w:rsidR="00782D52" w:rsidRPr="00A21220" w:rsidTr="004D50F3">
        <w:trPr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Параметры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Прогноз </w:t>
            </w:r>
          </w:p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доходности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Прогноз Цены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Реальная цена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Ошибка прогноза, %</w:t>
            </w:r>
          </w:p>
        </w:tc>
      </w:tr>
      <w:tr w:rsidR="00782D52" w:rsidRPr="00A21220" w:rsidTr="004D50F3">
        <w:trPr>
          <w:trHeight w:val="31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«Газпром»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-0,00701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164,3398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164,11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0,14%</w:t>
            </w:r>
          </w:p>
        </w:tc>
      </w:tr>
      <w:tr w:rsidR="00782D52" w:rsidRPr="00A21220" w:rsidTr="004D50F3">
        <w:trPr>
          <w:trHeight w:val="31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</w:t>
            </w:r>
            <w:proofErr w:type="spellStart"/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Лукойл</w:t>
            </w:r>
            <w:proofErr w:type="spellEnd"/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-0,01047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1708,913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1708,4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0,03%</w:t>
            </w:r>
          </w:p>
        </w:tc>
      </w:tr>
      <w:tr w:rsidR="00782D52" w:rsidRPr="00A21220" w:rsidTr="004D50F3">
        <w:trPr>
          <w:trHeight w:val="213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«</w:t>
            </w:r>
            <w:proofErr w:type="spellStart"/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Ростелеком</w:t>
            </w:r>
            <w:proofErr w:type="spellEnd"/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-0,01251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162,6202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162,15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0,29%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«СНГ»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0,025013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23,45435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23,289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0,71%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«Сбербанк»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0,015753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80,88442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80,41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0,59%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«Роснефть»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0,009259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220,0083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217,55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1,13%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</w:t>
            </w:r>
            <w:proofErr w:type="spellStart"/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Новатек</w:t>
            </w:r>
            <w:proofErr w:type="spellEnd"/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0,015849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378,2818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0,34%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«Полюс»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-0,00173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1850,795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1849,5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0,07%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«МТС»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0,010703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205,1728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1,17%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«НЛМК»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0,027653</w:t>
            </w: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84,21613</w:t>
            </w: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83,16</w:t>
            </w: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1,27%</w:t>
            </w:r>
          </w:p>
        </w:tc>
      </w:tr>
      <w:tr w:rsidR="00782D52" w:rsidRPr="00A21220" w:rsidTr="004D50F3">
        <w:trPr>
          <w:trHeight w:val="280"/>
          <w:jc w:val="center"/>
        </w:trPr>
        <w:tc>
          <w:tcPr>
            <w:tcW w:w="127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pacing w:val="-3"/>
                <w:sz w:val="20"/>
                <w:szCs w:val="20"/>
              </w:rPr>
              <w:t>среднее</w:t>
            </w:r>
          </w:p>
        </w:tc>
        <w:tc>
          <w:tcPr>
            <w:tcW w:w="950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952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782D52" w:rsidRPr="00A21220" w:rsidRDefault="00782D52" w:rsidP="004D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0,57%</w:t>
            </w:r>
          </w:p>
        </w:tc>
      </w:tr>
    </w:tbl>
    <w:p w:rsidR="00782D52" w:rsidRPr="00A21220" w:rsidRDefault="00782D52" w:rsidP="00782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В первом столбце таблицы 1 приведены названия десяти финансовых инструментов. Во втором столбце приведены значения количества шагов, которые потребовались нейронной сети, для того, чтобы ошибка обучения достигла уровня малости 0,005. В третьем столбце представлен прогноз доходности на 13 сентября 2011 года, в качестве исходных данных использованы данные с 12 сентября </w:t>
      </w:r>
      <w:smartTag w:uri="urn:schemas-microsoft-com:office:smarttags" w:element="metricconverter">
        <w:smartTagPr>
          <w:attr w:name="ProductID" w:val="2006 г"/>
        </w:smartTagPr>
        <w:r w:rsidRPr="00A21220">
          <w:rPr>
            <w:rFonts w:ascii="Times New Roman" w:hAnsi="Times New Roman"/>
            <w:sz w:val="20"/>
            <w:szCs w:val="20"/>
          </w:rPr>
          <w:t>2006 г</w:t>
        </w:r>
      </w:smartTag>
      <w:r w:rsidRPr="00A21220">
        <w:rPr>
          <w:rFonts w:ascii="Times New Roman" w:hAnsi="Times New Roman"/>
          <w:sz w:val="20"/>
          <w:szCs w:val="20"/>
        </w:rPr>
        <w:t xml:space="preserve">. по 12 сентября </w:t>
      </w:r>
      <w:smartTag w:uri="urn:schemas-microsoft-com:office:smarttags" w:element="metricconverter">
        <w:smartTagPr>
          <w:attr w:name="ProductID" w:val="2011 г"/>
        </w:smartTagPr>
        <w:r w:rsidRPr="00A21220">
          <w:rPr>
            <w:rFonts w:ascii="Times New Roman" w:hAnsi="Times New Roman"/>
            <w:sz w:val="20"/>
            <w:szCs w:val="20"/>
          </w:rPr>
          <w:t>2011 г</w:t>
        </w:r>
      </w:smartTag>
      <w:r w:rsidRPr="00A21220">
        <w:rPr>
          <w:rFonts w:ascii="Times New Roman" w:hAnsi="Times New Roman"/>
          <w:sz w:val="20"/>
          <w:szCs w:val="20"/>
        </w:rPr>
        <w:t>. (1 238 наблюдений).</w:t>
      </w:r>
      <w:r w:rsidRPr="00A2122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21220">
        <w:rPr>
          <w:rFonts w:ascii="Times New Roman" w:hAnsi="Times New Roman"/>
          <w:sz w:val="20"/>
          <w:szCs w:val="20"/>
        </w:rPr>
        <w:t xml:space="preserve">Во втором столбце представлен прогноз цены на 13 сентября 2011 года, рассчитанный по формуле (3) для десяти финансовых инструментов. В третьем столбце представлена фактическая цена закрытия на 13 сентября 2011 года для каждого из десяти финансовых инструментов. В четвертом столбце представлена относительная ошибка прогноза, рассчитанная по формуле (2). </w:t>
      </w:r>
    </w:p>
    <w:p w:rsidR="00782D52" w:rsidRPr="00A21220" w:rsidRDefault="00782D52" w:rsidP="00782D52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Прогнозные значения цен финансовых инструментов </w:t>
      </w:r>
      <w:r w:rsidRPr="00A21220">
        <w:rPr>
          <w:rFonts w:ascii="Times New Roman" w:hAnsi="Times New Roman"/>
          <w:position w:val="-12"/>
          <w:sz w:val="20"/>
          <w:szCs w:val="20"/>
        </w:rPr>
        <w:object w:dxaOrig="440" w:dyaOrig="360">
          <v:shape id="_x0000_i1044" type="#_x0000_t75" style="width:25.1pt;height:20.1pt" o:ole="">
            <v:imagedata r:id="rId42" o:title=""/>
          </v:shape>
          <o:OLEObject Type="Embed" ProgID="Equation.DSMT4" ShapeID="_x0000_i1044" DrawAspect="Content" ObjectID="_1414241659" r:id="rId43"/>
        </w:object>
      </w:r>
      <w:r w:rsidRPr="00A21220">
        <w:rPr>
          <w:rFonts w:ascii="Times New Roman" w:hAnsi="Times New Roman"/>
          <w:sz w:val="20"/>
          <w:szCs w:val="20"/>
        </w:rPr>
        <w:t xml:space="preserve"> незначительно отличаются от реальных значений, разброс отклонений составляет диапазон от 0,03% до 1,17% (табл. 1), среднее значение отклонения равно 0,57%, что говорит о высокой точности прогнозов нейронной сети.</w:t>
      </w:r>
    </w:p>
    <w:p w:rsidR="00782D52" w:rsidRPr="00A21220" w:rsidRDefault="00782D52" w:rsidP="00782D52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82D52" w:rsidRPr="00A21220" w:rsidRDefault="00782D52" w:rsidP="00782D52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Литература</w:t>
      </w:r>
    </w:p>
    <w:p w:rsidR="00782D52" w:rsidRPr="00A21220" w:rsidRDefault="00782D52" w:rsidP="00782D52">
      <w:pPr>
        <w:pStyle w:val="2"/>
        <w:numPr>
          <w:ilvl w:val="0"/>
          <w:numId w:val="1"/>
        </w:numPr>
        <w:tabs>
          <w:tab w:val="clear" w:pos="1080"/>
        </w:tabs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</w:pPr>
      <w:proofErr w:type="spellStart"/>
      <w:r w:rsidRPr="00A21220">
        <w:t>Россиев</w:t>
      </w:r>
      <w:proofErr w:type="spellEnd"/>
      <w:r w:rsidRPr="00A21220">
        <w:t xml:space="preserve"> Дмитрий Анатольевич. Самообучающиеся </w:t>
      </w:r>
      <w:proofErr w:type="spellStart"/>
      <w:r w:rsidRPr="00A21220">
        <w:t>нейросетевые</w:t>
      </w:r>
      <w:proofErr w:type="spellEnd"/>
      <w:r w:rsidRPr="00A21220">
        <w:t xml:space="preserve"> экспертные системы в медицине: теория, методолог. Красноярск, 2000.</w:t>
      </w:r>
    </w:p>
    <w:p w:rsidR="00686C2F" w:rsidRDefault="00686C2F"/>
    <w:sectPr w:rsidR="00686C2F" w:rsidSect="006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298"/>
    <w:multiLevelType w:val="singleLevel"/>
    <w:tmpl w:val="81B22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D52"/>
    <w:rsid w:val="00004C9B"/>
    <w:rsid w:val="0000516C"/>
    <w:rsid w:val="00015B22"/>
    <w:rsid w:val="00021740"/>
    <w:rsid w:val="00025B0E"/>
    <w:rsid w:val="00026113"/>
    <w:rsid w:val="00052172"/>
    <w:rsid w:val="000548E4"/>
    <w:rsid w:val="000816CD"/>
    <w:rsid w:val="000823AF"/>
    <w:rsid w:val="0009142C"/>
    <w:rsid w:val="000A5DF8"/>
    <w:rsid w:val="000B18DB"/>
    <w:rsid w:val="000C2D48"/>
    <w:rsid w:val="000C478E"/>
    <w:rsid w:val="000C6BD5"/>
    <w:rsid w:val="000D3866"/>
    <w:rsid w:val="000D3D96"/>
    <w:rsid w:val="000E088A"/>
    <w:rsid w:val="000E61D0"/>
    <w:rsid w:val="000F77E9"/>
    <w:rsid w:val="001067BB"/>
    <w:rsid w:val="001078B5"/>
    <w:rsid w:val="001307AA"/>
    <w:rsid w:val="00134134"/>
    <w:rsid w:val="00135F32"/>
    <w:rsid w:val="00155C11"/>
    <w:rsid w:val="0015665C"/>
    <w:rsid w:val="00161ED9"/>
    <w:rsid w:val="001740FA"/>
    <w:rsid w:val="001A3901"/>
    <w:rsid w:val="001A63D9"/>
    <w:rsid w:val="001A7734"/>
    <w:rsid w:val="001C2EAF"/>
    <w:rsid w:val="001E3011"/>
    <w:rsid w:val="00200037"/>
    <w:rsid w:val="002012E4"/>
    <w:rsid w:val="00206F1C"/>
    <w:rsid w:val="0021666A"/>
    <w:rsid w:val="0022047F"/>
    <w:rsid w:val="00220A52"/>
    <w:rsid w:val="00220EFB"/>
    <w:rsid w:val="00221BB0"/>
    <w:rsid w:val="00231522"/>
    <w:rsid w:val="00231CC1"/>
    <w:rsid w:val="00234CA8"/>
    <w:rsid w:val="00241C61"/>
    <w:rsid w:val="002420F5"/>
    <w:rsid w:val="00260253"/>
    <w:rsid w:val="002863A5"/>
    <w:rsid w:val="00286DE1"/>
    <w:rsid w:val="0029267D"/>
    <w:rsid w:val="002961D7"/>
    <w:rsid w:val="002A4567"/>
    <w:rsid w:val="002C5918"/>
    <w:rsid w:val="002C7632"/>
    <w:rsid w:val="002F13E6"/>
    <w:rsid w:val="002F220E"/>
    <w:rsid w:val="002F7645"/>
    <w:rsid w:val="00312DB0"/>
    <w:rsid w:val="003147A6"/>
    <w:rsid w:val="0034478C"/>
    <w:rsid w:val="00357286"/>
    <w:rsid w:val="00366A59"/>
    <w:rsid w:val="00372A35"/>
    <w:rsid w:val="00372C34"/>
    <w:rsid w:val="003760EA"/>
    <w:rsid w:val="00387245"/>
    <w:rsid w:val="003905DB"/>
    <w:rsid w:val="00391C07"/>
    <w:rsid w:val="00393049"/>
    <w:rsid w:val="003A0509"/>
    <w:rsid w:val="003A0785"/>
    <w:rsid w:val="003A2FE6"/>
    <w:rsid w:val="003B0058"/>
    <w:rsid w:val="003B5CF4"/>
    <w:rsid w:val="003C2456"/>
    <w:rsid w:val="003C6D11"/>
    <w:rsid w:val="003E2E20"/>
    <w:rsid w:val="003F23E0"/>
    <w:rsid w:val="003F597A"/>
    <w:rsid w:val="00401CF4"/>
    <w:rsid w:val="00425E24"/>
    <w:rsid w:val="0042654F"/>
    <w:rsid w:val="0044039A"/>
    <w:rsid w:val="00442E7B"/>
    <w:rsid w:val="00450024"/>
    <w:rsid w:val="00451F08"/>
    <w:rsid w:val="0046282A"/>
    <w:rsid w:val="00467143"/>
    <w:rsid w:val="0047323E"/>
    <w:rsid w:val="00473C8C"/>
    <w:rsid w:val="00480AFA"/>
    <w:rsid w:val="00481F18"/>
    <w:rsid w:val="00485AAE"/>
    <w:rsid w:val="00486B67"/>
    <w:rsid w:val="00486E38"/>
    <w:rsid w:val="00487CD5"/>
    <w:rsid w:val="00493C89"/>
    <w:rsid w:val="004A2D82"/>
    <w:rsid w:val="004B3D52"/>
    <w:rsid w:val="004C49B1"/>
    <w:rsid w:val="004E018B"/>
    <w:rsid w:val="004E24F3"/>
    <w:rsid w:val="004E5D4F"/>
    <w:rsid w:val="004F061E"/>
    <w:rsid w:val="004F6945"/>
    <w:rsid w:val="0050225A"/>
    <w:rsid w:val="005167C6"/>
    <w:rsid w:val="0052554A"/>
    <w:rsid w:val="00536625"/>
    <w:rsid w:val="00541129"/>
    <w:rsid w:val="00556F47"/>
    <w:rsid w:val="00563B31"/>
    <w:rsid w:val="0056799B"/>
    <w:rsid w:val="00576FC8"/>
    <w:rsid w:val="00577154"/>
    <w:rsid w:val="00580B12"/>
    <w:rsid w:val="00590224"/>
    <w:rsid w:val="00593634"/>
    <w:rsid w:val="005966FE"/>
    <w:rsid w:val="005A396D"/>
    <w:rsid w:val="005B1AD4"/>
    <w:rsid w:val="005B1C31"/>
    <w:rsid w:val="005D25AB"/>
    <w:rsid w:val="005D7AF3"/>
    <w:rsid w:val="005E15B0"/>
    <w:rsid w:val="005E15D2"/>
    <w:rsid w:val="005F79BD"/>
    <w:rsid w:val="00604AC6"/>
    <w:rsid w:val="00607B4B"/>
    <w:rsid w:val="006238BE"/>
    <w:rsid w:val="006246B4"/>
    <w:rsid w:val="00633047"/>
    <w:rsid w:val="00633FFF"/>
    <w:rsid w:val="00634CE2"/>
    <w:rsid w:val="006354CF"/>
    <w:rsid w:val="00641D19"/>
    <w:rsid w:val="006535E0"/>
    <w:rsid w:val="00660E23"/>
    <w:rsid w:val="0066294E"/>
    <w:rsid w:val="00686C2F"/>
    <w:rsid w:val="00697238"/>
    <w:rsid w:val="006A01D7"/>
    <w:rsid w:val="006A5D75"/>
    <w:rsid w:val="006B2281"/>
    <w:rsid w:val="006B3ED2"/>
    <w:rsid w:val="006C4490"/>
    <w:rsid w:val="006C57C9"/>
    <w:rsid w:val="006C78B5"/>
    <w:rsid w:val="006D7D06"/>
    <w:rsid w:val="006E17F9"/>
    <w:rsid w:val="006E503F"/>
    <w:rsid w:val="006F54F0"/>
    <w:rsid w:val="007209F6"/>
    <w:rsid w:val="007245F7"/>
    <w:rsid w:val="007365C4"/>
    <w:rsid w:val="0073702D"/>
    <w:rsid w:val="00753406"/>
    <w:rsid w:val="007566D5"/>
    <w:rsid w:val="00761F01"/>
    <w:rsid w:val="007661F3"/>
    <w:rsid w:val="007829C5"/>
    <w:rsid w:val="00782D52"/>
    <w:rsid w:val="007850CA"/>
    <w:rsid w:val="00790B19"/>
    <w:rsid w:val="007A30C3"/>
    <w:rsid w:val="007B2286"/>
    <w:rsid w:val="007B5D13"/>
    <w:rsid w:val="007D171E"/>
    <w:rsid w:val="007D3C65"/>
    <w:rsid w:val="007D57EB"/>
    <w:rsid w:val="007E69BF"/>
    <w:rsid w:val="00812695"/>
    <w:rsid w:val="0082063B"/>
    <w:rsid w:val="00842AD2"/>
    <w:rsid w:val="00855A06"/>
    <w:rsid w:val="0087047E"/>
    <w:rsid w:val="00882455"/>
    <w:rsid w:val="00894541"/>
    <w:rsid w:val="00896D46"/>
    <w:rsid w:val="008A1753"/>
    <w:rsid w:val="008A2F4F"/>
    <w:rsid w:val="008B7134"/>
    <w:rsid w:val="008B78DA"/>
    <w:rsid w:val="008C49D7"/>
    <w:rsid w:val="008C630A"/>
    <w:rsid w:val="008D03F9"/>
    <w:rsid w:val="008D4ACB"/>
    <w:rsid w:val="008E14A3"/>
    <w:rsid w:val="008E1F5A"/>
    <w:rsid w:val="008E1FA4"/>
    <w:rsid w:val="008E47D9"/>
    <w:rsid w:val="008E55A5"/>
    <w:rsid w:val="008F1A9B"/>
    <w:rsid w:val="008F42A8"/>
    <w:rsid w:val="008F5D5F"/>
    <w:rsid w:val="00903C31"/>
    <w:rsid w:val="0093310C"/>
    <w:rsid w:val="00943481"/>
    <w:rsid w:val="009456B7"/>
    <w:rsid w:val="00950638"/>
    <w:rsid w:val="009514BA"/>
    <w:rsid w:val="00953B3F"/>
    <w:rsid w:val="00955C6C"/>
    <w:rsid w:val="00973D74"/>
    <w:rsid w:val="00993E50"/>
    <w:rsid w:val="009956E9"/>
    <w:rsid w:val="00997647"/>
    <w:rsid w:val="009A36C5"/>
    <w:rsid w:val="009A55DE"/>
    <w:rsid w:val="009A76B9"/>
    <w:rsid w:val="009C4446"/>
    <w:rsid w:val="009C54D9"/>
    <w:rsid w:val="009F50DA"/>
    <w:rsid w:val="00A066DA"/>
    <w:rsid w:val="00A0690C"/>
    <w:rsid w:val="00A21B4C"/>
    <w:rsid w:val="00A262DA"/>
    <w:rsid w:val="00A429D7"/>
    <w:rsid w:val="00A50B08"/>
    <w:rsid w:val="00A569B2"/>
    <w:rsid w:val="00A67129"/>
    <w:rsid w:val="00A73B8D"/>
    <w:rsid w:val="00A83B43"/>
    <w:rsid w:val="00A94BF8"/>
    <w:rsid w:val="00A94C96"/>
    <w:rsid w:val="00AA0036"/>
    <w:rsid w:val="00AA5DA3"/>
    <w:rsid w:val="00AA5EAD"/>
    <w:rsid w:val="00AB557A"/>
    <w:rsid w:val="00AB5CEF"/>
    <w:rsid w:val="00AC7B41"/>
    <w:rsid w:val="00AC7E65"/>
    <w:rsid w:val="00AD1C9D"/>
    <w:rsid w:val="00AE2878"/>
    <w:rsid w:val="00AE6BE6"/>
    <w:rsid w:val="00AE7398"/>
    <w:rsid w:val="00AF39F5"/>
    <w:rsid w:val="00B21CD4"/>
    <w:rsid w:val="00B55F78"/>
    <w:rsid w:val="00B61179"/>
    <w:rsid w:val="00B6243F"/>
    <w:rsid w:val="00B63D20"/>
    <w:rsid w:val="00B65B96"/>
    <w:rsid w:val="00B75E71"/>
    <w:rsid w:val="00B806E2"/>
    <w:rsid w:val="00B822D1"/>
    <w:rsid w:val="00B82DF3"/>
    <w:rsid w:val="00B84021"/>
    <w:rsid w:val="00B86110"/>
    <w:rsid w:val="00B86CFA"/>
    <w:rsid w:val="00BA39AB"/>
    <w:rsid w:val="00BA47BB"/>
    <w:rsid w:val="00BA724B"/>
    <w:rsid w:val="00BD3775"/>
    <w:rsid w:val="00BE5822"/>
    <w:rsid w:val="00BF0D66"/>
    <w:rsid w:val="00BF249F"/>
    <w:rsid w:val="00BF4A24"/>
    <w:rsid w:val="00C05BB3"/>
    <w:rsid w:val="00C1167C"/>
    <w:rsid w:val="00C23888"/>
    <w:rsid w:val="00C37F3D"/>
    <w:rsid w:val="00C5318B"/>
    <w:rsid w:val="00C736CE"/>
    <w:rsid w:val="00C73EB7"/>
    <w:rsid w:val="00C7409A"/>
    <w:rsid w:val="00C74D25"/>
    <w:rsid w:val="00C850C1"/>
    <w:rsid w:val="00C978ED"/>
    <w:rsid w:val="00CB6635"/>
    <w:rsid w:val="00CD4E8E"/>
    <w:rsid w:val="00CE2365"/>
    <w:rsid w:val="00CE58E1"/>
    <w:rsid w:val="00CE749E"/>
    <w:rsid w:val="00CF3F4C"/>
    <w:rsid w:val="00D016FC"/>
    <w:rsid w:val="00D11768"/>
    <w:rsid w:val="00D2099A"/>
    <w:rsid w:val="00D256FB"/>
    <w:rsid w:val="00D25BFC"/>
    <w:rsid w:val="00D34F1F"/>
    <w:rsid w:val="00D35E7C"/>
    <w:rsid w:val="00D43778"/>
    <w:rsid w:val="00D44FE8"/>
    <w:rsid w:val="00D70D74"/>
    <w:rsid w:val="00D81312"/>
    <w:rsid w:val="00D9342F"/>
    <w:rsid w:val="00D93433"/>
    <w:rsid w:val="00D94C02"/>
    <w:rsid w:val="00DC739D"/>
    <w:rsid w:val="00DD271D"/>
    <w:rsid w:val="00DD3064"/>
    <w:rsid w:val="00DD3715"/>
    <w:rsid w:val="00DD6227"/>
    <w:rsid w:val="00DF510C"/>
    <w:rsid w:val="00E422B3"/>
    <w:rsid w:val="00E435D0"/>
    <w:rsid w:val="00E44906"/>
    <w:rsid w:val="00E544A7"/>
    <w:rsid w:val="00E766B9"/>
    <w:rsid w:val="00E77C77"/>
    <w:rsid w:val="00E8222C"/>
    <w:rsid w:val="00E8370B"/>
    <w:rsid w:val="00E9096A"/>
    <w:rsid w:val="00EA23E7"/>
    <w:rsid w:val="00EB62B5"/>
    <w:rsid w:val="00EC1CD0"/>
    <w:rsid w:val="00EC1DD4"/>
    <w:rsid w:val="00EC77C9"/>
    <w:rsid w:val="00ED4787"/>
    <w:rsid w:val="00ED6957"/>
    <w:rsid w:val="00EF760C"/>
    <w:rsid w:val="00F26A95"/>
    <w:rsid w:val="00F27A1C"/>
    <w:rsid w:val="00F345E6"/>
    <w:rsid w:val="00F35DD5"/>
    <w:rsid w:val="00F440FB"/>
    <w:rsid w:val="00F55663"/>
    <w:rsid w:val="00F61F1E"/>
    <w:rsid w:val="00F74DA3"/>
    <w:rsid w:val="00F82DB3"/>
    <w:rsid w:val="00F90ED6"/>
    <w:rsid w:val="00F92ED9"/>
    <w:rsid w:val="00F97EE0"/>
    <w:rsid w:val="00FA035D"/>
    <w:rsid w:val="00FA3D42"/>
    <w:rsid w:val="00FA6BEA"/>
    <w:rsid w:val="00FA7CF4"/>
    <w:rsid w:val="00FB139F"/>
    <w:rsid w:val="00FD1A47"/>
    <w:rsid w:val="00FD2421"/>
    <w:rsid w:val="00FD41F6"/>
    <w:rsid w:val="00FD5570"/>
    <w:rsid w:val="00FD6ECE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5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82D5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D52"/>
    <w:rPr>
      <w:rFonts w:ascii="Arial" w:eastAsia="Times New Roman" w:hAnsi="Arial" w:cs="Times New Roman"/>
      <w:b/>
      <w:bCs/>
      <w:sz w:val="26"/>
      <w:szCs w:val="26"/>
      <w:lang/>
    </w:rPr>
  </w:style>
  <w:style w:type="paragraph" w:styleId="2">
    <w:name w:val="Body Text Indent 2"/>
    <w:aliases w:val="Основной текст с отступом 15"/>
    <w:basedOn w:val="a"/>
    <w:link w:val="20"/>
    <w:rsid w:val="00782D5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20">
    <w:name w:val="Основной текст с отступом 2 Знак"/>
    <w:aliases w:val="Основной текст с отступом 15 Знак"/>
    <w:basedOn w:val="a0"/>
    <w:link w:val="2"/>
    <w:rsid w:val="00782D52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a3">
    <w:name w:val="!Текст"/>
    <w:basedOn w:val="a"/>
    <w:link w:val="a4"/>
    <w:rsid w:val="00782D52"/>
    <w:pPr>
      <w:spacing w:after="0" w:line="360" w:lineRule="auto"/>
      <w:ind w:firstLine="720"/>
      <w:jc w:val="both"/>
    </w:pPr>
    <w:rPr>
      <w:rFonts w:ascii="Times New Roman" w:eastAsia="Times New Roman" w:hAnsi="Times New Roman"/>
      <w:bCs/>
      <w:iCs/>
      <w:sz w:val="24"/>
      <w:szCs w:val="24"/>
      <w:lang/>
    </w:rPr>
  </w:style>
  <w:style w:type="character" w:customStyle="1" w:styleId="a4">
    <w:name w:val="!Текст Знак"/>
    <w:link w:val="a3"/>
    <w:rsid w:val="00782D52"/>
    <w:rPr>
      <w:rFonts w:ascii="Times New Roman" w:eastAsia="Times New Roman" w:hAnsi="Times New Roman" w:cs="Times New Roman"/>
      <w:bCs/>
      <w:i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7610</Characters>
  <Application>Microsoft Office Word</Application>
  <DocSecurity>0</DocSecurity>
  <Lines>63</Lines>
  <Paragraphs>17</Paragraphs>
  <ScaleCrop>false</ScaleCrop>
  <Company>nil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2012-11-12T12:07:00Z</dcterms:created>
  <dcterms:modified xsi:type="dcterms:W3CDTF">2012-11-12T12:07:00Z</dcterms:modified>
</cp:coreProperties>
</file>