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56" w:rsidRPr="00A21220" w:rsidRDefault="00F72F56" w:rsidP="00F72F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21220">
        <w:rPr>
          <w:rFonts w:ascii="Times New Roman" w:hAnsi="Times New Roman"/>
          <w:b/>
          <w:sz w:val="20"/>
          <w:szCs w:val="20"/>
        </w:rPr>
        <w:t xml:space="preserve">МОДЕЛЬ ОБРАБОТКИ ИНФОРМАЦИИ ПРИ УПРАВЛЕНИИ КРАТКОСРОЧНЫМ ИНВЕСТИЦИОННЫМ ПОРТФЕЛЕМ </w:t>
      </w:r>
    </w:p>
    <w:p w:rsidR="00F72F56" w:rsidRDefault="00F72F56" w:rsidP="00F7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72F56" w:rsidRPr="00A21220" w:rsidRDefault="00F72F56" w:rsidP="00F7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A21220">
        <w:rPr>
          <w:rFonts w:ascii="Times New Roman" w:hAnsi="Times New Roman"/>
          <w:sz w:val="20"/>
          <w:szCs w:val="20"/>
        </w:rPr>
        <w:t>Увайсов</w:t>
      </w:r>
      <w:proofErr w:type="spellEnd"/>
      <w:r w:rsidRPr="00A21220">
        <w:rPr>
          <w:rFonts w:ascii="Times New Roman" w:hAnsi="Times New Roman"/>
          <w:sz w:val="20"/>
          <w:szCs w:val="20"/>
        </w:rPr>
        <w:t xml:space="preserve"> С.У., Журавлёва Ю.Н., Палий С. П.</w:t>
      </w:r>
    </w:p>
    <w:p w:rsidR="00F72F56" w:rsidRPr="00A21220" w:rsidRDefault="00F72F56" w:rsidP="00F7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A21220">
        <w:rPr>
          <w:rFonts w:ascii="Times New Roman" w:hAnsi="Times New Roman"/>
          <w:i/>
          <w:sz w:val="20"/>
          <w:szCs w:val="20"/>
        </w:rPr>
        <w:t>МИЭМ НИУ ВШЭ</w:t>
      </w:r>
    </w:p>
    <w:p w:rsidR="00F72F56" w:rsidRPr="00A21220" w:rsidRDefault="00F72F56" w:rsidP="00F72F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72F56" w:rsidRPr="00A21220" w:rsidRDefault="00F72F56" w:rsidP="00F72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 xml:space="preserve">Рассмотрена задача моделирования обработки информации при управлении краткосрочным инвестиционным портфелем. Целью управления портфелем является максимизация прибыли инвестора. В работе построена структурная схема моделирования управления инвестиционным портфелем с точки зрения теории принятия решений.  </w:t>
      </w:r>
    </w:p>
    <w:p w:rsidR="00F72F56" w:rsidRPr="00A21220" w:rsidRDefault="00F72F56" w:rsidP="00F72F56">
      <w:pPr>
        <w:spacing w:after="0" w:line="240" w:lineRule="auto"/>
        <w:ind w:firstLine="709"/>
        <w:rPr>
          <w:rFonts w:ascii="Times New Roman" w:hAnsi="Times New Roman"/>
          <w:i/>
          <w:sz w:val="20"/>
          <w:szCs w:val="20"/>
        </w:rPr>
      </w:pPr>
    </w:p>
    <w:p w:rsidR="00F72F56" w:rsidRPr="00A21220" w:rsidRDefault="00F72F56" w:rsidP="00F72F56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A21220">
        <w:rPr>
          <w:rFonts w:ascii="Times New Roman" w:hAnsi="Times New Roman"/>
          <w:b/>
          <w:sz w:val="20"/>
          <w:szCs w:val="20"/>
          <w:lang w:val="en-US"/>
        </w:rPr>
        <w:t>Model of information processing in portfolio management short-term investment.</w:t>
      </w:r>
      <w:proofErr w:type="gramEnd"/>
      <w:r w:rsidRPr="00A21220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A21220">
        <w:rPr>
          <w:rFonts w:ascii="Times New Roman" w:hAnsi="Times New Roman"/>
          <w:b/>
          <w:sz w:val="20"/>
          <w:szCs w:val="20"/>
          <w:lang w:val="en-US"/>
        </w:rPr>
        <w:t>Uvaysov</w:t>
      </w:r>
      <w:proofErr w:type="spellEnd"/>
      <w:r w:rsidRPr="00A21220">
        <w:rPr>
          <w:rFonts w:ascii="Times New Roman" w:hAnsi="Times New Roman"/>
          <w:b/>
          <w:sz w:val="20"/>
          <w:szCs w:val="20"/>
          <w:lang w:val="en-US"/>
        </w:rPr>
        <w:t xml:space="preserve"> S. U., </w:t>
      </w:r>
      <w:proofErr w:type="spellStart"/>
      <w:r w:rsidRPr="00A21220">
        <w:rPr>
          <w:rFonts w:ascii="Times New Roman" w:hAnsi="Times New Roman"/>
          <w:b/>
          <w:sz w:val="20"/>
          <w:szCs w:val="20"/>
          <w:lang w:val="en-US"/>
        </w:rPr>
        <w:t>Zhuravleva</w:t>
      </w:r>
      <w:proofErr w:type="spellEnd"/>
      <w:r w:rsidRPr="00A21220">
        <w:rPr>
          <w:rFonts w:ascii="Times New Roman" w:hAnsi="Times New Roman"/>
          <w:b/>
          <w:sz w:val="20"/>
          <w:szCs w:val="20"/>
          <w:lang w:val="en-US"/>
        </w:rPr>
        <w:t xml:space="preserve"> J.N., </w:t>
      </w:r>
      <w:proofErr w:type="spellStart"/>
      <w:r w:rsidRPr="00A21220">
        <w:rPr>
          <w:rFonts w:ascii="Times New Roman" w:hAnsi="Times New Roman"/>
          <w:b/>
          <w:sz w:val="20"/>
          <w:szCs w:val="20"/>
          <w:lang w:val="en-US"/>
        </w:rPr>
        <w:t>Paliy</w:t>
      </w:r>
      <w:proofErr w:type="spellEnd"/>
      <w:r w:rsidRPr="00A21220">
        <w:rPr>
          <w:rFonts w:ascii="Times New Roman" w:hAnsi="Times New Roman"/>
          <w:b/>
          <w:sz w:val="20"/>
          <w:szCs w:val="20"/>
          <w:lang w:val="en-US"/>
        </w:rPr>
        <w:t xml:space="preserve"> S. P.</w:t>
      </w:r>
    </w:p>
    <w:p w:rsidR="00F72F56" w:rsidRPr="00A21220" w:rsidRDefault="00F72F56" w:rsidP="00F72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A21220">
        <w:rPr>
          <w:rFonts w:ascii="Times New Roman" w:hAnsi="Times New Roman"/>
          <w:sz w:val="20"/>
          <w:szCs w:val="20"/>
          <w:lang w:val="en-US"/>
        </w:rPr>
        <w:t>A problem of modeling information processing in the management of short-term investment portfolio is analyzed. The purpose of portfolio management is to maximize the profit of the investor. In this paper a block diagram of the model investment portfolio management is constructed from the perspective of decision theory.</w:t>
      </w:r>
    </w:p>
    <w:p w:rsidR="00F72F56" w:rsidRPr="00A21220" w:rsidRDefault="00F72F56" w:rsidP="00F72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val="en-US"/>
        </w:rPr>
      </w:pPr>
    </w:p>
    <w:p w:rsidR="00F72F56" w:rsidRPr="00A21220" w:rsidRDefault="00F72F56" w:rsidP="00F72F56">
      <w:pPr>
        <w:pStyle w:val="a5"/>
        <w:spacing w:line="240" w:lineRule="auto"/>
        <w:rPr>
          <w:sz w:val="20"/>
          <w:szCs w:val="20"/>
        </w:rPr>
      </w:pPr>
      <w:r w:rsidRPr="00A21220">
        <w:rPr>
          <w:sz w:val="20"/>
          <w:szCs w:val="20"/>
        </w:rPr>
        <w:t xml:space="preserve">Существующие на сегодняшний день модели управления инвестиционным портфелем ориентированы на идеальные условия рынка, которые не учитывают изменчивость потоков информации о финансовой системе. </w:t>
      </w:r>
    </w:p>
    <w:p w:rsidR="00F72F56" w:rsidRPr="00A21220" w:rsidRDefault="00F72F56" w:rsidP="00F72F56">
      <w:pPr>
        <w:pStyle w:val="a3"/>
        <w:shd w:val="clear" w:color="auto" w:fill="FFFFFF"/>
        <w:spacing w:before="0" w:after="0"/>
        <w:ind w:firstLine="720"/>
        <w:jc w:val="both"/>
        <w:textAlignment w:val="baseline"/>
        <w:rPr>
          <w:spacing w:val="-2"/>
          <w:sz w:val="20"/>
          <w:szCs w:val="20"/>
        </w:rPr>
      </w:pPr>
      <w:r w:rsidRPr="00A21220">
        <w:rPr>
          <w:sz w:val="20"/>
          <w:szCs w:val="20"/>
        </w:rPr>
        <w:t xml:space="preserve">Управление портфелем ценных бумаг – это совокупность действий инвестора, направленных на получение постоянного дохода от имеющихся ценных бумаг; снижения риска от инвестиций; приращение капитала. В нашей работе будем рассматривать эффективное управление портфелем ценных бумаг, </w:t>
      </w:r>
      <w:r w:rsidRPr="00A21220">
        <w:rPr>
          <w:spacing w:val="-2"/>
          <w:sz w:val="20"/>
          <w:szCs w:val="20"/>
        </w:rPr>
        <w:t>которое включает следующие действия:</w:t>
      </w:r>
    </w:p>
    <w:p w:rsidR="00F72F56" w:rsidRPr="00A21220" w:rsidRDefault="00F72F56" w:rsidP="00F72F56">
      <w:pPr>
        <w:pStyle w:val="a3"/>
        <w:shd w:val="clear" w:color="auto" w:fill="FFFFFF"/>
        <w:spacing w:before="0" w:after="0"/>
        <w:ind w:firstLine="720"/>
        <w:jc w:val="both"/>
        <w:textAlignment w:val="baseline"/>
        <w:rPr>
          <w:sz w:val="20"/>
          <w:szCs w:val="20"/>
        </w:rPr>
      </w:pPr>
      <w:r w:rsidRPr="00A21220">
        <w:rPr>
          <w:sz w:val="20"/>
          <w:szCs w:val="20"/>
        </w:rPr>
        <w:t>-  формирование краткосрочного оптимального портфеля из высоколиквидных бумаг высокой доходности с учетом соотношения риска и доходности;</w:t>
      </w:r>
    </w:p>
    <w:p w:rsidR="00F72F56" w:rsidRPr="00A21220" w:rsidRDefault="00F72F56" w:rsidP="00F72F56">
      <w:pPr>
        <w:pStyle w:val="a3"/>
        <w:shd w:val="clear" w:color="auto" w:fill="FFFFFF"/>
        <w:spacing w:before="0" w:after="0"/>
        <w:ind w:firstLine="720"/>
        <w:jc w:val="both"/>
        <w:textAlignment w:val="baseline"/>
        <w:rPr>
          <w:sz w:val="20"/>
          <w:szCs w:val="20"/>
        </w:rPr>
      </w:pPr>
      <w:r w:rsidRPr="00A21220">
        <w:rPr>
          <w:sz w:val="20"/>
          <w:szCs w:val="20"/>
        </w:rPr>
        <w:t>-  постоянный с определенной периодичностью анализ и регулирование состава портфеля ценных бумаг с учетом изменений финансовой системы.</w:t>
      </w:r>
    </w:p>
    <w:p w:rsidR="00F72F56" w:rsidRPr="00A21220" w:rsidRDefault="00F72F56" w:rsidP="00F72F5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 xml:space="preserve">Для проведения анализа состава портфеля ценных бумаг необходимо проводить поиск наилучших моделей прогнозирования доходности финансовых инструментов с целью получить более высокую доходность инвестиций. В связи с этим возникает необходимость в разработке технологии обработки информации о финансовой системе, необходимой для принятия решений по управлению краткосрочным инвестиционным портфелем. </w:t>
      </w:r>
    </w:p>
    <w:p w:rsidR="00F72F56" w:rsidRPr="00A21220" w:rsidRDefault="00F72F56" w:rsidP="00F72F56">
      <w:pPr>
        <w:pStyle w:val="a5"/>
        <w:spacing w:line="240" w:lineRule="auto"/>
        <w:ind w:firstLine="900"/>
        <w:rPr>
          <w:sz w:val="20"/>
          <w:szCs w:val="20"/>
        </w:rPr>
      </w:pPr>
      <w:r w:rsidRPr="00A21220">
        <w:rPr>
          <w:sz w:val="20"/>
          <w:szCs w:val="20"/>
        </w:rPr>
        <w:t>При формировании краткосрочного инвестиционного портфеля инвестор проводит сбор и анализ потоков информации, необходимых для принятия решения по управлению портфелем ценных бумаг.</w:t>
      </w:r>
    </w:p>
    <w:p w:rsidR="00F72F56" w:rsidRPr="00A21220" w:rsidRDefault="00F72F56" w:rsidP="00F72F56">
      <w:pPr>
        <w:pStyle w:val="a5"/>
        <w:spacing w:line="240" w:lineRule="auto"/>
        <w:rPr>
          <w:sz w:val="20"/>
          <w:szCs w:val="20"/>
        </w:rPr>
      </w:pPr>
      <w:r w:rsidRPr="00A21220">
        <w:rPr>
          <w:sz w:val="20"/>
          <w:szCs w:val="20"/>
        </w:rPr>
        <w:t>На рис. 1 представлена структурная схема обработки информации инвестором в процессе принятия решения по управлению портфелем ценных бумаг.</w:t>
      </w:r>
    </w:p>
    <w:p w:rsidR="00F72F56" w:rsidRPr="00A21220" w:rsidRDefault="00F72F56" w:rsidP="00F72F56">
      <w:pPr>
        <w:pStyle w:val="a5"/>
        <w:spacing w:line="240" w:lineRule="auto"/>
        <w:rPr>
          <w:sz w:val="20"/>
          <w:szCs w:val="20"/>
        </w:rPr>
      </w:pPr>
    </w:p>
    <w:p w:rsidR="00F72F56" w:rsidRPr="00A21220" w:rsidRDefault="00F72F56" w:rsidP="00F72F56">
      <w:pPr>
        <w:pStyle w:val="a5"/>
        <w:spacing w:line="240" w:lineRule="auto"/>
        <w:ind w:firstLine="0"/>
        <w:rPr>
          <w:sz w:val="20"/>
          <w:szCs w:val="20"/>
        </w:rPr>
      </w:pPr>
      <w:r w:rsidRPr="00A21220">
        <w:rPr>
          <w:sz w:val="20"/>
          <w:szCs w:val="20"/>
        </w:rPr>
        <w:pict>
          <v:rect id="_x0000_s1054" style="position:absolute;left:0;text-align:left;margin-left:140.25pt;margin-top:.25pt;width:108.35pt;height:201.3pt;z-index:251660288">
            <v:textbox style="mso-next-textbox:#_x0000_s1054">
              <w:txbxContent>
                <w:p w:rsidR="00F72F56" w:rsidRDefault="00F72F56" w:rsidP="00F72F56">
                  <w:pPr>
                    <w:spacing w:before="120"/>
                    <w:jc w:val="center"/>
                  </w:pPr>
                  <w:r>
                    <w:t>Обработка</w:t>
                  </w:r>
                </w:p>
                <w:p w:rsidR="00F72F56" w:rsidRDefault="00F72F56" w:rsidP="00F72F56">
                  <w:pPr>
                    <w:jc w:val="center"/>
                  </w:pPr>
                  <w:r>
                    <w:t>информации:</w:t>
                  </w:r>
                </w:p>
                <w:p w:rsidR="00F72F56" w:rsidRDefault="00F72F56" w:rsidP="00F72F56">
                  <w:pPr>
                    <w:ind w:left="126" w:hanging="126"/>
                  </w:pPr>
                  <w:r>
                    <w:t>- расчет доходности финансового инструмента;</w:t>
                  </w:r>
                </w:p>
                <w:p w:rsidR="00F72F56" w:rsidRDefault="00F72F56" w:rsidP="00F72F56">
                  <w:pPr>
                    <w:ind w:left="126" w:hanging="126"/>
                  </w:pPr>
                  <w:r>
                    <w:t>- прогноз доходности финансового инструмента;</w:t>
                  </w:r>
                </w:p>
                <w:p w:rsidR="00F72F56" w:rsidRDefault="00F72F56" w:rsidP="00F72F56">
                  <w:pPr>
                    <w:ind w:left="126" w:hanging="126"/>
                    <w:rPr>
                      <w:sz w:val="24"/>
                      <w:szCs w:val="24"/>
                    </w:rPr>
                  </w:pPr>
                  <w:r>
                    <w:t>- оценка рыночного риска финансового инструмента.</w:t>
                  </w:r>
                </w:p>
              </w:txbxContent>
            </v:textbox>
          </v:rect>
        </w:pict>
      </w:r>
      <w:r w:rsidRPr="00A21220">
        <w:rPr>
          <w:sz w:val="20"/>
          <w:szCs w:val="20"/>
        </w:rPr>
      </w:r>
      <w:r w:rsidRPr="00A21220">
        <w:rPr>
          <w:sz w:val="20"/>
          <w:szCs w:val="20"/>
        </w:rPr>
        <w:pict>
          <v:group id="_x0000_s1042" editas="canvas" style="width:495.55pt;height:225pt;mso-position-horizontal-relative:char;mso-position-vertical-relative:line" coordorigin="1939,3788" coordsize="7872,365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1939;top:3788;width:7872;height:3653" o:preferrelative="f">
              <v:fill o:detectmouseclick="t"/>
              <v:path o:extrusionok="t" o:connecttype="none"/>
            </v:shape>
            <v:rect id="_x0000_s1044" style="position:absolute;left:2216;top:3788;width:1698;height:3295">
              <v:textbox style="mso-next-textbox:#_x0000_s1044" inset="2.41453mm,1.20725mm,2.41453mm,1.20725mm">
                <w:txbxContent>
                  <w:p w:rsidR="00F72F56" w:rsidRDefault="00F72F56" w:rsidP="00F72F56">
                    <w:pPr>
                      <w:spacing w:before="120"/>
                      <w:jc w:val="center"/>
                    </w:pPr>
                    <w:r>
                      <w:t>Исходные</w:t>
                    </w:r>
                  </w:p>
                  <w:p w:rsidR="00F72F56" w:rsidRDefault="00F72F56" w:rsidP="00F72F56">
                    <w:pPr>
                      <w:jc w:val="center"/>
                    </w:pPr>
                    <w:r>
                      <w:t>данные:</w:t>
                    </w:r>
                  </w:p>
                  <w:p w:rsidR="00F72F56" w:rsidRDefault="00F72F56" w:rsidP="00F72F56">
                    <w:pPr>
                      <w:ind w:left="126" w:hanging="126"/>
                    </w:pPr>
                    <w:r>
                      <w:t>- котировки ценных бумаг;</w:t>
                    </w:r>
                  </w:p>
                  <w:p w:rsidR="00F72F56" w:rsidRDefault="00F72F56" w:rsidP="00F72F56">
                    <w:pPr>
                      <w:ind w:left="126" w:hanging="126"/>
                    </w:pPr>
                    <w:r>
                      <w:t>- склонность к риску инвестора;</w:t>
                    </w:r>
                  </w:p>
                  <w:p w:rsidR="00F72F56" w:rsidRDefault="00F72F56" w:rsidP="00F72F56">
                    <w:pPr>
                      <w:ind w:left="126" w:hanging="126"/>
                    </w:pPr>
                    <w:r>
                      <w:t>- период инвестирования;</w:t>
                    </w:r>
                  </w:p>
                  <w:p w:rsidR="00F72F56" w:rsidRDefault="00F72F56" w:rsidP="00F72F56">
                    <w:pPr>
                      <w:ind w:left="126" w:hanging="126"/>
                    </w:pPr>
                    <w:r>
                      <w:t>- величина капитала инвестора.</w:t>
                    </w:r>
                  </w:p>
                </w:txbxContent>
              </v:textbox>
            </v:rect>
            <v:line id="_x0000_s1045" style="position:absolute;flip:y" from="3905,5735" to="4162,5740">
              <v:stroke endarrow="block"/>
            </v:line>
            <v:rect id="_x0000_s1046" style="position:absolute;left:6141;top:3788;width:1662;height:3232">
              <v:textbox style="mso-next-textbox:#_x0000_s1046" inset="2.41453mm,1.20725mm,2.41453mm,1.20725mm">
                <w:txbxContent>
                  <w:p w:rsidR="00F72F56" w:rsidRDefault="00F72F56" w:rsidP="00F72F56">
                    <w:pPr>
                      <w:spacing w:before="120"/>
                      <w:jc w:val="center"/>
                    </w:pPr>
                    <w:r>
                      <w:t>Анализ:</w:t>
                    </w:r>
                  </w:p>
                  <w:p w:rsidR="00F72F56" w:rsidRDefault="00F72F56" w:rsidP="00F72F56">
                    <w:pPr>
                      <w:ind w:left="140" w:hanging="140"/>
                    </w:pPr>
                    <w:r>
                      <w:t xml:space="preserve">- анализ прогнозных значений доходности финансового инструмента; </w:t>
                    </w:r>
                  </w:p>
                  <w:p w:rsidR="00F72F56" w:rsidRDefault="00F72F56" w:rsidP="00F72F56">
                    <w:pPr>
                      <w:ind w:left="140" w:hanging="140"/>
                    </w:pPr>
                  </w:p>
                  <w:p w:rsidR="00F72F56" w:rsidRDefault="00F72F56" w:rsidP="00F72F56">
                    <w:pPr>
                      <w:ind w:left="140" w:hanging="140"/>
                      <w:rPr>
                        <w:sz w:val="23"/>
                        <w:szCs w:val="24"/>
                      </w:rPr>
                    </w:pPr>
                    <w:r>
                      <w:t>- анализ оценки рыночного риска финансового инструмента.</w:t>
                    </w:r>
                  </w:p>
                </w:txbxContent>
              </v:textbox>
            </v:rect>
            <v:line id="_x0000_s1047" style="position:absolute;flip:y" from="5871,5726" to="6130,5731">
              <v:stroke endarrow="block"/>
            </v:line>
            <v:line id="_x0000_s1048" style="position:absolute;flip:y" from="7819,5735" to="8078,5740">
              <v:stroke endarrow="block"/>
            </v:line>
            <v:rect id="_x0000_s1049" style="position:absolute;left:8072;top:4761;width:1661;height:1393">
              <v:textbox style="mso-next-textbox:#_x0000_s1049" inset="2.41453mm,1.20725mm,2.41453mm,1.20725mm">
                <w:txbxContent>
                  <w:p w:rsidR="00F72F56" w:rsidRDefault="00F72F56" w:rsidP="00F72F56">
                    <w:pPr>
                      <w:jc w:val="center"/>
                    </w:pPr>
                    <w:r>
                      <w:t>Решение:</w:t>
                    </w:r>
                  </w:p>
                  <w:p w:rsidR="00F72F56" w:rsidRDefault="00F72F56" w:rsidP="00F72F56">
                    <w:pPr>
                      <w:jc w:val="center"/>
                    </w:pPr>
                    <w:r>
                      <w:t xml:space="preserve">Формирование </w:t>
                    </w:r>
                  </w:p>
                  <w:p w:rsidR="00F72F56" w:rsidRDefault="00F72F56" w:rsidP="00F72F56">
                    <w:pPr>
                      <w:jc w:val="center"/>
                    </w:pPr>
                    <w:r>
                      <w:t xml:space="preserve">оптимальной </w:t>
                    </w:r>
                  </w:p>
                  <w:p w:rsidR="00F72F56" w:rsidRDefault="00F72F56" w:rsidP="00F72F56">
                    <w:pPr>
                      <w:jc w:val="center"/>
                    </w:pPr>
                    <w:r>
                      <w:t xml:space="preserve">структуры </w:t>
                    </w:r>
                  </w:p>
                  <w:p w:rsidR="00F72F56" w:rsidRDefault="00F72F56" w:rsidP="00F72F56">
                    <w:pPr>
                      <w:jc w:val="center"/>
                    </w:pPr>
                    <w:r>
                      <w:t>портфеля ценных бумаг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0" type="#_x0000_t32" style="position:absolute;left:8903;top:6154;width:7;height:1142" o:connectortype="straight"/>
            <v:shape id="_x0000_s1051" type="#_x0000_t32" style="position:absolute;left:2082;top:7288;width:6838;height:8;flip:x" o:connectortype="straight"/>
            <v:line id="_x0000_s1052" style="position:absolute;flip:x y" from="2078,5599" to="2082,7295"/>
            <v:line id="_x0000_s1053" style="position:absolute;flip:y" from="2077,5599" to="2216,5600">
              <v:stroke endarrow="block"/>
            </v:line>
            <w10:wrap type="none"/>
            <w10:anchorlock/>
          </v:group>
        </w:pict>
      </w:r>
    </w:p>
    <w:p w:rsidR="00F72F56" w:rsidRPr="00AC0A65" w:rsidRDefault="00F72F56" w:rsidP="00F72F56">
      <w:pPr>
        <w:pStyle w:val="a5"/>
        <w:spacing w:line="240" w:lineRule="auto"/>
        <w:ind w:firstLine="28"/>
        <w:jc w:val="center"/>
        <w:rPr>
          <w:i/>
          <w:sz w:val="20"/>
          <w:szCs w:val="20"/>
        </w:rPr>
      </w:pPr>
      <w:bookmarkStart w:id="0" w:name="_Ref273031113"/>
      <w:r w:rsidRPr="00AC0A65">
        <w:rPr>
          <w:i/>
          <w:sz w:val="20"/>
          <w:szCs w:val="20"/>
        </w:rPr>
        <w:t xml:space="preserve">Рис. </w:t>
      </w:r>
      <w:r w:rsidRPr="00AC0A65">
        <w:rPr>
          <w:i/>
          <w:sz w:val="20"/>
          <w:szCs w:val="20"/>
        </w:rPr>
        <w:fldChar w:fldCharType="begin"/>
      </w:r>
      <w:r w:rsidRPr="00AC0A65">
        <w:rPr>
          <w:i/>
          <w:sz w:val="20"/>
          <w:szCs w:val="20"/>
        </w:rPr>
        <w:instrText xml:space="preserve"> SEQ Рисунок \* ARABIC </w:instrText>
      </w:r>
      <w:r w:rsidRPr="00AC0A65">
        <w:rPr>
          <w:i/>
          <w:sz w:val="20"/>
          <w:szCs w:val="20"/>
        </w:rPr>
        <w:fldChar w:fldCharType="separate"/>
      </w:r>
      <w:r>
        <w:rPr>
          <w:i/>
          <w:noProof/>
          <w:sz w:val="20"/>
          <w:szCs w:val="20"/>
        </w:rPr>
        <w:t>1</w:t>
      </w:r>
      <w:r w:rsidRPr="00AC0A65">
        <w:rPr>
          <w:i/>
          <w:sz w:val="20"/>
          <w:szCs w:val="20"/>
        </w:rPr>
        <w:fldChar w:fldCharType="end"/>
      </w:r>
      <w:bookmarkEnd w:id="0"/>
      <w:r w:rsidRPr="00AC0A65">
        <w:rPr>
          <w:i/>
          <w:sz w:val="20"/>
          <w:szCs w:val="20"/>
        </w:rPr>
        <w:t xml:space="preserve">. Функциональная схема обработки информации </w:t>
      </w:r>
    </w:p>
    <w:p w:rsidR="00F72F56" w:rsidRPr="00AC0A65" w:rsidRDefault="00F72F56" w:rsidP="00F72F56">
      <w:pPr>
        <w:pStyle w:val="a5"/>
        <w:spacing w:line="240" w:lineRule="auto"/>
        <w:ind w:firstLine="28"/>
        <w:jc w:val="center"/>
        <w:rPr>
          <w:i/>
          <w:sz w:val="20"/>
          <w:szCs w:val="20"/>
        </w:rPr>
      </w:pPr>
      <w:r w:rsidRPr="00AC0A65">
        <w:rPr>
          <w:i/>
          <w:sz w:val="20"/>
          <w:szCs w:val="20"/>
        </w:rPr>
        <w:t>в процессе принятия решения инвестором</w:t>
      </w:r>
    </w:p>
    <w:p w:rsidR="00F72F56" w:rsidRPr="00A21220" w:rsidRDefault="00F72F56" w:rsidP="00F72F56">
      <w:pPr>
        <w:pStyle w:val="a5"/>
        <w:spacing w:line="240" w:lineRule="auto"/>
        <w:jc w:val="center"/>
        <w:rPr>
          <w:sz w:val="20"/>
          <w:szCs w:val="20"/>
        </w:rPr>
      </w:pPr>
    </w:p>
    <w:p w:rsidR="00F72F56" w:rsidRPr="00A21220" w:rsidRDefault="00F72F56" w:rsidP="00F72F56">
      <w:pPr>
        <w:pStyle w:val="a5"/>
        <w:tabs>
          <w:tab w:val="left" w:pos="6660"/>
        </w:tabs>
        <w:spacing w:line="240" w:lineRule="auto"/>
        <w:rPr>
          <w:sz w:val="20"/>
          <w:szCs w:val="20"/>
        </w:rPr>
      </w:pPr>
      <w:r w:rsidRPr="00A21220">
        <w:rPr>
          <w:sz w:val="20"/>
          <w:szCs w:val="20"/>
        </w:rPr>
        <w:t xml:space="preserve">На рис. 1 представлены основные элементы обработки информации в процессе принятия решения инвестором. В качестве исходной информации инвестор обычно рассматривает котировки ценных бумаг, </w:t>
      </w:r>
      <w:r w:rsidRPr="00A21220">
        <w:rPr>
          <w:sz w:val="20"/>
          <w:szCs w:val="20"/>
        </w:rPr>
        <w:lastRenderedPageBreak/>
        <w:t>период инвестирования (срок приобретения ценной бумаги), величину капитала инвестора, склонность инвестора к риску. После получения входной информации инвестор мысленно обрабатывает полученные данные: рассчитывает доходность ценной бумаги, интуитивно делает прогноз доходности финансового инструмента, мысленно оценивает риск бумаги. Следующим этапом после выполнения обработки данных является анализ полученных расчетных характеристик ценных бумаг: прогноза доходности и рыночного риска. В итоге проведенных мысленных расчетов инвестор принимает решение о формировании набора инструментов для своего портфеля.</w:t>
      </w:r>
    </w:p>
    <w:p w:rsidR="00F72F56" w:rsidRPr="00A21220" w:rsidRDefault="00F72F56" w:rsidP="00F72F56">
      <w:pPr>
        <w:pStyle w:val="a5"/>
        <w:spacing w:line="240" w:lineRule="auto"/>
        <w:rPr>
          <w:sz w:val="20"/>
          <w:szCs w:val="20"/>
        </w:rPr>
      </w:pPr>
      <w:r w:rsidRPr="00A21220">
        <w:rPr>
          <w:sz w:val="20"/>
          <w:szCs w:val="20"/>
        </w:rPr>
        <w:t xml:space="preserve">Принятие решений следует воспринимать не как единовременный акт, а как последовательный процесс, состоящий из определенных этапов обработки информации. На рис. 2 изображена структурная схема моделирования управлением краткосрочным инвестиционным портфелем. </w:t>
      </w:r>
    </w:p>
    <w:p w:rsidR="00F72F56" w:rsidRPr="00A21220" w:rsidRDefault="00F72F56" w:rsidP="00F72F56">
      <w:pPr>
        <w:pStyle w:val="a5"/>
        <w:spacing w:line="240" w:lineRule="auto"/>
        <w:rPr>
          <w:sz w:val="20"/>
          <w:szCs w:val="20"/>
        </w:rPr>
      </w:pPr>
      <w:r w:rsidRPr="00A21220">
        <w:rPr>
          <w:sz w:val="20"/>
          <w:szCs w:val="20"/>
        </w:rPr>
      </w:r>
      <w:r w:rsidRPr="00A21220">
        <w:rPr>
          <w:sz w:val="20"/>
          <w:szCs w:val="20"/>
        </w:rPr>
        <w:pict>
          <v:group id="_x0000_s1026" editas="canvas" style="width:469.7pt;height:105.7pt;mso-position-horizontal-relative:char;mso-position-vertical-relative:line" coordorigin="2279,4512" coordsize="7638,1128">
            <o:lock v:ext="edit" aspectratio="t"/>
            <v:shape id="_x0000_s1027" type="#_x0000_t75" style="position:absolute;left:2279;top:4512;width:7638;height:1128" o:preferrelative="f">
              <v:fill o:detectmouseclick="t"/>
              <v:path o:extrusionok="t" o:connecttype="none"/>
            </v:shape>
            <v:rect id="_x0000_s1028" style="position:absolute;left:2350;top:4870;width:760;height:529">
              <v:textbox style="mso-next-textbox:#_x0000_s1028" inset="10.44pt,5.22pt,10.44pt,5.22pt">
                <w:txbxContent>
                  <w:p w:rsidR="00F72F56" w:rsidRDefault="00F72F56" w:rsidP="00F72F56">
                    <w:r>
                      <w:t>Цель</w:t>
                    </w:r>
                  </w:p>
                </w:txbxContent>
              </v:textbox>
            </v:rect>
            <v:line id="_x0000_s1029" style="position:absolute" from="3117,5088" to="3540,5089">
              <v:stroke endarrow="block"/>
            </v:line>
            <v:rect id="_x0000_s1030" style="position:absolute;left:3535;top:4749;width:946;height:795">
              <v:textbox style="mso-next-textbox:#_x0000_s1030" inset="10.44pt,5.22pt,10.44pt,5.22pt">
                <w:txbxContent>
                  <w:p w:rsidR="00F72F56" w:rsidRDefault="00F72F56" w:rsidP="00F72F56">
                    <w:pPr>
                      <w:jc w:val="center"/>
                      <w:rPr>
                        <w:sz w:val="23"/>
                        <w:szCs w:val="16"/>
                        <w:u w:val="single"/>
                      </w:rPr>
                    </w:pPr>
                    <w:r>
                      <w:rPr>
                        <w:sz w:val="23"/>
                        <w:szCs w:val="16"/>
                        <w:u w:val="single"/>
                      </w:rPr>
                      <w:t>Этап 1</w:t>
                    </w:r>
                  </w:p>
                  <w:p w:rsidR="00F72F56" w:rsidRDefault="00F72F56" w:rsidP="00F72F56">
                    <w:pPr>
                      <w:jc w:val="center"/>
                      <w:rPr>
                        <w:sz w:val="35"/>
                        <w:szCs w:val="24"/>
                      </w:rPr>
                    </w:pPr>
                    <w:r>
                      <w:rPr>
                        <w:sz w:val="20"/>
                        <w:szCs w:val="14"/>
                      </w:rPr>
                      <w:t xml:space="preserve">Сбор </w:t>
                    </w:r>
                    <w:proofErr w:type="spellStart"/>
                    <w:proofErr w:type="gramStart"/>
                    <w:r>
                      <w:rPr>
                        <w:sz w:val="20"/>
                        <w:szCs w:val="14"/>
                      </w:rPr>
                      <w:t>инфор-мации</w:t>
                    </w:r>
                    <w:proofErr w:type="spellEnd"/>
                    <w:proofErr w:type="gramEnd"/>
                    <w:r>
                      <w:rPr>
                        <w:sz w:val="35"/>
                      </w:rPr>
                      <w:t xml:space="preserve"> </w:t>
                    </w:r>
                  </w:p>
                </w:txbxContent>
              </v:textbox>
            </v:rect>
            <v:rect id="_x0000_s1031" style="position:absolute;left:5018;top:4763;width:908;height:720">
              <v:textbox style="mso-next-textbox:#_x0000_s1031" inset="10.44pt,5.22pt,10.44pt,5.22pt">
                <w:txbxContent>
                  <w:p w:rsidR="00F72F56" w:rsidRDefault="00F72F56" w:rsidP="00F72F56">
                    <w:pPr>
                      <w:jc w:val="center"/>
                      <w:rPr>
                        <w:sz w:val="20"/>
                        <w:szCs w:val="14"/>
                        <w:u w:val="single"/>
                      </w:rPr>
                    </w:pPr>
                    <w:r>
                      <w:rPr>
                        <w:sz w:val="20"/>
                        <w:szCs w:val="14"/>
                        <w:u w:val="single"/>
                      </w:rPr>
                      <w:t>Этап 2</w:t>
                    </w:r>
                  </w:p>
                  <w:p w:rsidR="00F72F56" w:rsidRDefault="00F72F56" w:rsidP="00F72F56">
                    <w:pPr>
                      <w:jc w:val="center"/>
                      <w:rPr>
                        <w:sz w:val="35"/>
                        <w:szCs w:val="24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  <w:szCs w:val="14"/>
                      </w:rPr>
                      <w:t>Поста-новка</w:t>
                    </w:r>
                    <w:proofErr w:type="spellEnd"/>
                    <w:proofErr w:type="gramEnd"/>
                    <w:r>
                      <w:rPr>
                        <w:sz w:val="35"/>
                      </w:rPr>
                      <w:t xml:space="preserve"> </w:t>
                    </w:r>
                  </w:p>
                  <w:p w:rsidR="00F72F56" w:rsidRDefault="00F72F56" w:rsidP="00F72F56">
                    <w:pPr>
                      <w:jc w:val="center"/>
                      <w:rPr>
                        <w:sz w:val="35"/>
                      </w:rPr>
                    </w:pPr>
                    <w:r>
                      <w:rPr>
                        <w:sz w:val="20"/>
                        <w:szCs w:val="14"/>
                      </w:rPr>
                      <w:t>задачи</w:t>
                    </w:r>
                  </w:p>
                </w:txbxContent>
              </v:textbox>
            </v:rect>
            <v:line id="_x0000_s1032" style="position:absolute" from="4481,5084" to="5023,5093">
              <v:stroke endarrow="block"/>
            </v:line>
            <v:line id="_x0000_s1033" style="position:absolute" from="5950,5102" to="6750,5104">
              <v:stroke endarrow="block"/>
            </v:line>
            <v:rect id="_x0000_s1034" style="position:absolute;left:6751;top:4770;width:1111;height:745">
              <v:textbox style="mso-next-textbox:#_x0000_s1034" inset="10.44pt,5.22pt,10.44pt,5.22pt">
                <w:txbxContent>
                  <w:p w:rsidR="00F72F56" w:rsidRPr="00190B75" w:rsidRDefault="00F72F56" w:rsidP="00F72F56">
                    <w:pPr>
                      <w:jc w:val="center"/>
                      <w:rPr>
                        <w:sz w:val="18"/>
                        <w:szCs w:val="14"/>
                        <w:u w:val="single"/>
                      </w:rPr>
                    </w:pPr>
                    <w:r w:rsidRPr="00190B75">
                      <w:rPr>
                        <w:sz w:val="18"/>
                        <w:szCs w:val="14"/>
                        <w:u w:val="single"/>
                      </w:rPr>
                      <w:t>Этап 3</w:t>
                    </w:r>
                  </w:p>
                  <w:p w:rsidR="00F72F56" w:rsidRPr="00190B75" w:rsidRDefault="00F72F56" w:rsidP="00F72F56">
                    <w:pPr>
                      <w:jc w:val="center"/>
                      <w:rPr>
                        <w:sz w:val="28"/>
                        <w:szCs w:val="20"/>
                        <w:lang w:val="en-US"/>
                      </w:rPr>
                    </w:pPr>
                    <w:r w:rsidRPr="00190B75">
                      <w:rPr>
                        <w:sz w:val="18"/>
                        <w:szCs w:val="14"/>
                      </w:rPr>
                      <w:t xml:space="preserve">Выбор и оценка моделей </w:t>
                    </w:r>
                  </w:p>
                </w:txbxContent>
              </v:textbox>
            </v:rect>
            <v:rect id="_x0000_s1035" style="position:absolute;left:8379;top:4770;width:1026;height:773">
              <v:textbox style="mso-next-textbox:#_x0000_s1035" inset="10.44pt,5.22pt,10.44pt,5.22pt">
                <w:txbxContent>
                  <w:p w:rsidR="00F72F56" w:rsidRPr="00190B75" w:rsidRDefault="00F72F56" w:rsidP="00F72F56">
                    <w:pPr>
                      <w:jc w:val="center"/>
                      <w:rPr>
                        <w:sz w:val="16"/>
                        <w:szCs w:val="14"/>
                        <w:u w:val="single"/>
                        <w:lang w:val="en-US"/>
                      </w:rPr>
                    </w:pPr>
                    <w:r w:rsidRPr="00190B75">
                      <w:rPr>
                        <w:sz w:val="16"/>
                        <w:szCs w:val="14"/>
                        <w:u w:val="single"/>
                      </w:rPr>
                      <w:t xml:space="preserve">Этап </w:t>
                    </w:r>
                    <w:r w:rsidRPr="00190B75">
                      <w:rPr>
                        <w:sz w:val="16"/>
                        <w:szCs w:val="14"/>
                        <w:u w:val="single"/>
                        <w:lang w:val="en-US"/>
                      </w:rPr>
                      <w:t>4</w:t>
                    </w:r>
                  </w:p>
                  <w:p w:rsidR="00F72F56" w:rsidRPr="00190B75" w:rsidRDefault="00F72F56" w:rsidP="00F72F56">
                    <w:pPr>
                      <w:jc w:val="center"/>
                      <w:rPr>
                        <w:sz w:val="20"/>
                        <w:szCs w:val="16"/>
                      </w:rPr>
                    </w:pPr>
                    <w:r w:rsidRPr="00190B75">
                      <w:rPr>
                        <w:sz w:val="20"/>
                        <w:szCs w:val="16"/>
                      </w:rPr>
                      <w:t xml:space="preserve">Оценка </w:t>
                    </w:r>
                    <w:proofErr w:type="spellStart"/>
                    <w:proofErr w:type="gramStart"/>
                    <w:r w:rsidRPr="00190B75">
                      <w:rPr>
                        <w:sz w:val="20"/>
                        <w:szCs w:val="16"/>
                      </w:rPr>
                      <w:t>реше-ний</w:t>
                    </w:r>
                    <w:proofErr w:type="spellEnd"/>
                    <w:proofErr w:type="gramEnd"/>
                  </w:p>
                </w:txbxContent>
              </v:textbox>
            </v:rect>
            <v:line id="_x0000_s1036" style="position:absolute" from="7856,5094" to="8398,5102">
              <v:stroke endarrow="block"/>
            </v:line>
            <v:line id="_x0000_s1037" style="position:absolute" from="7252,4618" to="8978,4619"/>
            <v:line id="_x0000_s1038" style="position:absolute;flip:x" from="7261,4618" to="7262,4741">
              <v:stroke endarrow="block"/>
            </v:line>
            <v:line id="_x0000_s1039" style="position:absolute;flip:x" from="8960,4618" to="8969,4770"/>
            <v:line id="_x0000_s1040" style="position:absolute;flip:x" from="5445,4618" to="7261,4618"/>
            <v:line id="_x0000_s1041" style="position:absolute" from="5454,4612" to="5454,4764">
              <v:stroke endarrow="block"/>
            </v:line>
            <w10:wrap type="none"/>
            <w10:anchorlock/>
          </v:group>
        </w:pict>
      </w:r>
    </w:p>
    <w:p w:rsidR="00F72F56" w:rsidRPr="00AC0A65" w:rsidRDefault="00F72F56" w:rsidP="00F72F56">
      <w:pPr>
        <w:pStyle w:val="a5"/>
        <w:spacing w:line="240" w:lineRule="auto"/>
        <w:ind w:firstLine="28"/>
        <w:jc w:val="center"/>
        <w:rPr>
          <w:i/>
          <w:sz w:val="20"/>
          <w:szCs w:val="20"/>
        </w:rPr>
      </w:pPr>
      <w:r w:rsidRPr="00AC0A65">
        <w:rPr>
          <w:i/>
          <w:sz w:val="20"/>
          <w:szCs w:val="20"/>
        </w:rPr>
        <w:t xml:space="preserve">Рис. 2. Структурная схема моделирования </w:t>
      </w:r>
    </w:p>
    <w:p w:rsidR="00F72F56" w:rsidRPr="00AC0A65" w:rsidRDefault="00F72F56" w:rsidP="00F72F56">
      <w:pPr>
        <w:pStyle w:val="a5"/>
        <w:spacing w:line="240" w:lineRule="auto"/>
        <w:ind w:firstLine="28"/>
        <w:jc w:val="center"/>
        <w:rPr>
          <w:i/>
          <w:sz w:val="20"/>
          <w:szCs w:val="20"/>
        </w:rPr>
      </w:pPr>
      <w:r w:rsidRPr="00AC0A65">
        <w:rPr>
          <w:i/>
          <w:sz w:val="20"/>
          <w:szCs w:val="20"/>
        </w:rPr>
        <w:t>управлением краткосрочным портфелем ценных бумаг</w:t>
      </w:r>
    </w:p>
    <w:p w:rsidR="00F72F56" w:rsidRPr="00A21220" w:rsidRDefault="00F72F56" w:rsidP="00F72F56">
      <w:pPr>
        <w:pStyle w:val="a5"/>
        <w:spacing w:line="240" w:lineRule="auto"/>
        <w:rPr>
          <w:sz w:val="20"/>
          <w:szCs w:val="20"/>
        </w:rPr>
      </w:pPr>
    </w:p>
    <w:p w:rsidR="00F72F56" w:rsidRPr="00A21220" w:rsidRDefault="00F72F56" w:rsidP="00F72F56">
      <w:pPr>
        <w:pStyle w:val="a5"/>
        <w:spacing w:line="240" w:lineRule="auto"/>
        <w:rPr>
          <w:sz w:val="20"/>
          <w:szCs w:val="20"/>
        </w:rPr>
      </w:pPr>
      <w:r w:rsidRPr="00A21220">
        <w:rPr>
          <w:sz w:val="20"/>
          <w:szCs w:val="20"/>
        </w:rPr>
        <w:t xml:space="preserve">Первый шаг процесса управления портфелем – это определение цели. В финансовой системе, традиционной целью принятия решения является максимизация прибыли. </w:t>
      </w:r>
    </w:p>
    <w:p w:rsidR="00F72F56" w:rsidRPr="00A21220" w:rsidRDefault="00F72F56" w:rsidP="00F72F56">
      <w:pPr>
        <w:pStyle w:val="a5"/>
        <w:spacing w:line="240" w:lineRule="auto"/>
        <w:rPr>
          <w:sz w:val="20"/>
          <w:szCs w:val="20"/>
        </w:rPr>
      </w:pPr>
      <w:r w:rsidRPr="00A21220">
        <w:rPr>
          <w:sz w:val="20"/>
          <w:szCs w:val="20"/>
        </w:rPr>
        <w:t>Сбор информации заключается в выборе внутрисистемных зависимых и независимых переменных, которые должны адекватно описывать состояние и условия функционирования системы и способствовать тому, чтобы все важнейшие решения нашли отражение в постановке задачи.</w:t>
      </w:r>
    </w:p>
    <w:p w:rsidR="00F72F56" w:rsidRPr="00A21220" w:rsidRDefault="00F72F56" w:rsidP="00F72F56">
      <w:pPr>
        <w:pStyle w:val="a5"/>
        <w:spacing w:line="240" w:lineRule="auto"/>
        <w:rPr>
          <w:sz w:val="20"/>
          <w:szCs w:val="20"/>
        </w:rPr>
      </w:pPr>
      <w:r w:rsidRPr="00A21220">
        <w:rPr>
          <w:sz w:val="20"/>
          <w:szCs w:val="20"/>
        </w:rPr>
        <w:t xml:space="preserve">Постановка задачи заключается в формировании  оптимального портфеля. С точки зрения классической теории систем создание оптимального портфеля предполагает [1, 3] нахождение в таких заданных границах целевых переменных </w:t>
      </w:r>
      <w:r w:rsidRPr="00A21220">
        <w:rPr>
          <w:position w:val="-12"/>
          <w:sz w:val="20"/>
          <w:szCs w:val="20"/>
        </w:rPr>
        <w:object w:dxaOrig="2240" w:dyaOrig="400">
          <v:shape id="_x0000_i1027" type="#_x0000_t75" style="width:112.2pt;height:20.1pt" o:ole="">
            <v:imagedata r:id="rId5" o:title=""/>
          </v:shape>
          <o:OLEObject Type="Embed" ProgID="Equation.3" ShapeID="_x0000_i1027" DrawAspect="Content" ObjectID="_1414242320" r:id="rId6"/>
        </w:object>
      </w:r>
      <w:r w:rsidRPr="00A21220">
        <w:rPr>
          <w:sz w:val="20"/>
          <w:szCs w:val="20"/>
        </w:rPr>
        <w:t xml:space="preserve">, при которых состояние системы стабильно или оптимально </w:t>
      </w:r>
      <w:r w:rsidRPr="00A21220">
        <w:rPr>
          <w:position w:val="-10"/>
          <w:sz w:val="20"/>
          <w:szCs w:val="20"/>
        </w:rPr>
        <w:object w:dxaOrig="960" w:dyaOrig="320">
          <v:shape id="_x0000_i1028" type="#_x0000_t75" style="width:47.7pt;height:15.9pt" o:ole="">
            <v:imagedata r:id="rId7" o:title=""/>
          </v:shape>
          <o:OLEObject Type="Embed" ProgID="Equation.3" ShapeID="_x0000_i1028" DrawAspect="Content" ObjectID="_1414242321" r:id="rId8"/>
        </w:object>
      </w:r>
      <w:r w:rsidRPr="00A21220">
        <w:rPr>
          <w:sz w:val="20"/>
          <w:szCs w:val="20"/>
        </w:rPr>
        <w:t xml:space="preserve"> где </w:t>
      </w:r>
      <w:r w:rsidRPr="00A21220">
        <w:rPr>
          <w:position w:val="-4"/>
          <w:sz w:val="20"/>
          <w:szCs w:val="20"/>
        </w:rPr>
        <w:object w:dxaOrig="220" w:dyaOrig="260">
          <v:shape id="_x0000_i1029" type="#_x0000_t75" style="width:10.9pt;height:12.55pt" o:ole="">
            <v:imagedata r:id="rId9" o:title=""/>
          </v:shape>
          <o:OLEObject Type="Embed" ProgID="Equation.3" ShapeID="_x0000_i1029" DrawAspect="Content" ObjectID="_1414242322" r:id="rId10"/>
        </w:object>
      </w:r>
      <w:r w:rsidRPr="00A21220">
        <w:rPr>
          <w:sz w:val="20"/>
          <w:szCs w:val="20"/>
        </w:rPr>
        <w:t xml:space="preserve"> – произвольное множество параметров, описывающих состояние системы.</w:t>
      </w:r>
    </w:p>
    <w:p w:rsidR="00F72F56" w:rsidRPr="00A21220" w:rsidRDefault="00F72F56" w:rsidP="00F72F56">
      <w:pPr>
        <w:pStyle w:val="a5"/>
        <w:spacing w:line="240" w:lineRule="auto"/>
        <w:rPr>
          <w:sz w:val="20"/>
          <w:szCs w:val="20"/>
        </w:rPr>
      </w:pPr>
      <w:r w:rsidRPr="00A21220">
        <w:rPr>
          <w:sz w:val="20"/>
          <w:szCs w:val="20"/>
        </w:rPr>
        <w:t xml:space="preserve">Выбор и оценка моделей предполагает разработку и параметрическую идентификацию моделей анализа риска и прогноза доходности финансовых инструментов. </w:t>
      </w:r>
    </w:p>
    <w:p w:rsidR="00F72F56" w:rsidRPr="00A21220" w:rsidRDefault="00F72F56" w:rsidP="00F72F56">
      <w:pPr>
        <w:pStyle w:val="a5"/>
        <w:spacing w:line="240" w:lineRule="auto"/>
        <w:rPr>
          <w:sz w:val="20"/>
          <w:szCs w:val="20"/>
        </w:rPr>
      </w:pPr>
      <w:r w:rsidRPr="00A21220">
        <w:rPr>
          <w:sz w:val="20"/>
          <w:szCs w:val="20"/>
        </w:rPr>
        <w:t>Оценка решений возникает тогда, когда имеется множество вариантов действий (альтернатив) для достижения желаемого результата. При этом требуется выбрать лучшую в некотором смысле альтернативу [2]. Под альтернативой в данном случае понимают оптимальный портфель («портфель № 1», «портфель № 2», «портфель № 3»).</w:t>
      </w:r>
    </w:p>
    <w:p w:rsidR="00F72F56" w:rsidRPr="00A21220" w:rsidRDefault="00F72F56" w:rsidP="00F72F56">
      <w:pPr>
        <w:pStyle w:val="a5"/>
        <w:spacing w:line="240" w:lineRule="auto"/>
        <w:rPr>
          <w:sz w:val="20"/>
          <w:szCs w:val="20"/>
        </w:rPr>
      </w:pPr>
      <w:r w:rsidRPr="00A21220">
        <w:rPr>
          <w:sz w:val="20"/>
          <w:szCs w:val="20"/>
        </w:rPr>
        <w:t xml:space="preserve">Процесс принятия решений является итерационным процессом. Структурная схема на рис. 2 включает оценку решения и его корректировку, начиная с этапа оценки моделей и выбора наилучшей вплоть до изменения постановки задачи, что обеспечивает адаптивность к изменчивым потокам входящей информации.  </w:t>
      </w:r>
    </w:p>
    <w:p w:rsidR="00F72F56" w:rsidRPr="00A21220" w:rsidRDefault="00F72F56" w:rsidP="00F72F56">
      <w:pPr>
        <w:pStyle w:val="a5"/>
        <w:spacing w:line="240" w:lineRule="auto"/>
        <w:rPr>
          <w:sz w:val="20"/>
          <w:szCs w:val="20"/>
        </w:rPr>
      </w:pPr>
    </w:p>
    <w:p w:rsidR="00F72F56" w:rsidRPr="00A21220" w:rsidRDefault="00F72F56" w:rsidP="00F72F56">
      <w:pPr>
        <w:tabs>
          <w:tab w:val="left" w:pos="192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21220">
        <w:rPr>
          <w:rFonts w:ascii="Times New Roman" w:hAnsi="Times New Roman"/>
          <w:b/>
          <w:sz w:val="20"/>
          <w:szCs w:val="20"/>
        </w:rPr>
        <w:t>Литература</w:t>
      </w:r>
    </w:p>
    <w:p w:rsidR="00F72F56" w:rsidRPr="00A21220" w:rsidRDefault="00F72F56" w:rsidP="00F72F56">
      <w:pPr>
        <w:numPr>
          <w:ilvl w:val="3"/>
          <w:numId w:val="1"/>
        </w:numPr>
        <w:tabs>
          <w:tab w:val="clear" w:pos="900"/>
          <w:tab w:val="num" w:pos="1148"/>
          <w:tab w:val="num" w:pos="2880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Волкова, В. Н. Теория систем</w:t>
      </w:r>
      <w:proofErr w:type="gramStart"/>
      <w:r w:rsidRPr="00A21220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A21220">
        <w:rPr>
          <w:rFonts w:ascii="Times New Roman" w:hAnsi="Times New Roman"/>
          <w:sz w:val="20"/>
          <w:szCs w:val="20"/>
        </w:rPr>
        <w:t xml:space="preserve"> учебник для студентов вузов / В. Н. Волкова, А. А. Денисов. – М.</w:t>
      </w:r>
      <w:proofErr w:type="gramStart"/>
      <w:r w:rsidRPr="00A21220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A21220">
        <w:rPr>
          <w:rFonts w:ascii="Times New Roman" w:hAnsi="Times New Roman"/>
          <w:sz w:val="20"/>
          <w:szCs w:val="20"/>
        </w:rPr>
        <w:t xml:space="preserve"> Высшая школа, 2006. – 511 с.</w:t>
      </w:r>
    </w:p>
    <w:p w:rsidR="00F72F56" w:rsidRPr="00A21220" w:rsidRDefault="00F72F56" w:rsidP="00F72F56">
      <w:pPr>
        <w:numPr>
          <w:ilvl w:val="3"/>
          <w:numId w:val="1"/>
        </w:numPr>
        <w:tabs>
          <w:tab w:val="clear" w:pos="900"/>
          <w:tab w:val="left" w:pos="1232"/>
          <w:tab w:val="num" w:pos="1372"/>
          <w:tab w:val="num" w:pos="2880"/>
        </w:tabs>
        <w:autoSpaceDE w:val="0"/>
        <w:autoSpaceDN w:val="0"/>
        <w:adjustRightInd w:val="0"/>
        <w:spacing w:after="0" w:line="240" w:lineRule="auto"/>
        <w:ind w:left="0" w:firstLine="756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Микшина, В. С. Теория принятия решений : учеб</w:t>
      </w:r>
      <w:proofErr w:type="gramStart"/>
      <w:r w:rsidRPr="00A21220">
        <w:rPr>
          <w:rFonts w:ascii="Times New Roman" w:hAnsi="Times New Roman"/>
          <w:sz w:val="20"/>
          <w:szCs w:val="20"/>
        </w:rPr>
        <w:t>.</w:t>
      </w:r>
      <w:proofErr w:type="gramEnd"/>
      <w:r w:rsidRPr="00A2122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A21220">
        <w:rPr>
          <w:rFonts w:ascii="Times New Roman" w:hAnsi="Times New Roman"/>
          <w:sz w:val="20"/>
          <w:szCs w:val="20"/>
        </w:rPr>
        <w:t>п</w:t>
      </w:r>
      <w:proofErr w:type="gramEnd"/>
      <w:r w:rsidRPr="00A21220">
        <w:rPr>
          <w:rFonts w:ascii="Times New Roman" w:hAnsi="Times New Roman"/>
          <w:sz w:val="20"/>
          <w:szCs w:val="20"/>
        </w:rPr>
        <w:t>особие для вузов / В. С. Микшина. – Сургут</w:t>
      </w:r>
      <w:proofErr w:type="gramStart"/>
      <w:r w:rsidRPr="00A21220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A21220">
        <w:rPr>
          <w:rFonts w:ascii="Times New Roman" w:hAnsi="Times New Roman"/>
          <w:sz w:val="20"/>
          <w:szCs w:val="20"/>
        </w:rPr>
        <w:t xml:space="preserve"> Изд-во </w:t>
      </w:r>
      <w:proofErr w:type="spellStart"/>
      <w:r w:rsidRPr="00A21220">
        <w:rPr>
          <w:rFonts w:ascii="Times New Roman" w:hAnsi="Times New Roman"/>
          <w:sz w:val="20"/>
          <w:szCs w:val="20"/>
        </w:rPr>
        <w:t>СурГУ</w:t>
      </w:r>
      <w:proofErr w:type="spellEnd"/>
      <w:r w:rsidRPr="00A21220">
        <w:rPr>
          <w:rFonts w:ascii="Times New Roman" w:hAnsi="Times New Roman"/>
          <w:sz w:val="20"/>
          <w:szCs w:val="20"/>
        </w:rPr>
        <w:t xml:space="preserve">, 2007. – 260 </w:t>
      </w:r>
      <w:proofErr w:type="gramStart"/>
      <w:r w:rsidRPr="00A21220">
        <w:rPr>
          <w:rFonts w:ascii="Times New Roman" w:hAnsi="Times New Roman"/>
          <w:sz w:val="20"/>
          <w:szCs w:val="20"/>
        </w:rPr>
        <w:t>с</w:t>
      </w:r>
      <w:proofErr w:type="gramEnd"/>
      <w:r w:rsidRPr="00A21220">
        <w:rPr>
          <w:rFonts w:ascii="Times New Roman" w:hAnsi="Times New Roman"/>
          <w:sz w:val="20"/>
          <w:szCs w:val="20"/>
        </w:rPr>
        <w:t>.</w:t>
      </w:r>
    </w:p>
    <w:p w:rsidR="00F72F56" w:rsidRPr="00A21220" w:rsidRDefault="00F72F56" w:rsidP="00F72F56">
      <w:pPr>
        <w:numPr>
          <w:ilvl w:val="3"/>
          <w:numId w:val="1"/>
        </w:numPr>
        <w:tabs>
          <w:tab w:val="clear" w:pos="900"/>
          <w:tab w:val="left" w:pos="1232"/>
          <w:tab w:val="num" w:pos="1372"/>
          <w:tab w:val="num" w:pos="2880"/>
        </w:tabs>
        <w:autoSpaceDE w:val="0"/>
        <w:autoSpaceDN w:val="0"/>
        <w:adjustRightInd w:val="0"/>
        <w:spacing w:after="0" w:line="240" w:lineRule="auto"/>
        <w:ind w:left="0" w:firstLine="75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21220">
        <w:rPr>
          <w:rFonts w:ascii="Times New Roman" w:hAnsi="Times New Roman"/>
          <w:sz w:val="20"/>
          <w:szCs w:val="20"/>
        </w:rPr>
        <w:t>Острейковский</w:t>
      </w:r>
      <w:proofErr w:type="spellEnd"/>
      <w:r w:rsidRPr="00A21220">
        <w:rPr>
          <w:rFonts w:ascii="Times New Roman" w:hAnsi="Times New Roman"/>
          <w:sz w:val="20"/>
          <w:szCs w:val="20"/>
        </w:rPr>
        <w:t xml:space="preserve">, В. А. Теория систем / В. А. </w:t>
      </w:r>
      <w:proofErr w:type="spellStart"/>
      <w:r w:rsidRPr="00A21220">
        <w:rPr>
          <w:rFonts w:ascii="Times New Roman" w:hAnsi="Times New Roman"/>
          <w:sz w:val="20"/>
          <w:szCs w:val="20"/>
        </w:rPr>
        <w:t>Острейковский</w:t>
      </w:r>
      <w:proofErr w:type="spellEnd"/>
      <w:r w:rsidRPr="00A21220">
        <w:rPr>
          <w:rFonts w:ascii="Times New Roman" w:hAnsi="Times New Roman"/>
          <w:sz w:val="20"/>
          <w:szCs w:val="20"/>
        </w:rPr>
        <w:t xml:space="preserve">. – М.: Высшая школа, 1997. – 240 </w:t>
      </w:r>
      <w:proofErr w:type="gramStart"/>
      <w:r w:rsidRPr="00A21220">
        <w:rPr>
          <w:rFonts w:ascii="Times New Roman" w:hAnsi="Times New Roman"/>
          <w:sz w:val="20"/>
          <w:szCs w:val="20"/>
        </w:rPr>
        <w:t>с</w:t>
      </w:r>
      <w:proofErr w:type="gramEnd"/>
      <w:r w:rsidRPr="00A21220">
        <w:rPr>
          <w:rFonts w:ascii="Times New Roman" w:hAnsi="Times New Roman"/>
          <w:sz w:val="20"/>
          <w:szCs w:val="20"/>
        </w:rPr>
        <w:t>.</w:t>
      </w:r>
    </w:p>
    <w:p w:rsidR="00686C2F" w:rsidRDefault="00686C2F"/>
    <w:sectPr w:rsidR="00686C2F" w:rsidSect="0068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A017C"/>
    <w:multiLevelType w:val="hybridMultilevel"/>
    <w:tmpl w:val="F6E2C148"/>
    <w:lvl w:ilvl="0" w:tplc="0419000F">
      <w:start w:val="1"/>
      <w:numFmt w:val="decimal"/>
      <w:lvlText w:val="%1."/>
      <w:lvlJc w:val="left"/>
      <w:pPr>
        <w:tabs>
          <w:tab w:val="num" w:pos="1023"/>
        </w:tabs>
        <w:ind w:left="102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7A0B78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2F56"/>
    <w:rsid w:val="00004C9B"/>
    <w:rsid w:val="0000516C"/>
    <w:rsid w:val="00015B22"/>
    <w:rsid w:val="00021740"/>
    <w:rsid w:val="00025B0E"/>
    <w:rsid w:val="00026113"/>
    <w:rsid w:val="00052172"/>
    <w:rsid w:val="000548E4"/>
    <w:rsid w:val="000816CD"/>
    <w:rsid w:val="000823AF"/>
    <w:rsid w:val="0009142C"/>
    <w:rsid w:val="000A5DF8"/>
    <w:rsid w:val="000B18DB"/>
    <w:rsid w:val="000C2D48"/>
    <w:rsid w:val="000C478E"/>
    <w:rsid w:val="000C6BD5"/>
    <w:rsid w:val="000D3866"/>
    <w:rsid w:val="000D3D96"/>
    <w:rsid w:val="000E088A"/>
    <w:rsid w:val="000E61D0"/>
    <w:rsid w:val="000F77E9"/>
    <w:rsid w:val="001067BB"/>
    <w:rsid w:val="001078B5"/>
    <w:rsid w:val="001307AA"/>
    <w:rsid w:val="00134134"/>
    <w:rsid w:val="00135F32"/>
    <w:rsid w:val="00155C11"/>
    <w:rsid w:val="0015665C"/>
    <w:rsid w:val="00161ED9"/>
    <w:rsid w:val="001740FA"/>
    <w:rsid w:val="001A3901"/>
    <w:rsid w:val="001A63D9"/>
    <w:rsid w:val="001A7734"/>
    <w:rsid w:val="001C2EAF"/>
    <w:rsid w:val="001E3011"/>
    <w:rsid w:val="00200037"/>
    <w:rsid w:val="002012E4"/>
    <w:rsid w:val="00206F1C"/>
    <w:rsid w:val="0021666A"/>
    <w:rsid w:val="0022047F"/>
    <w:rsid w:val="00220A52"/>
    <w:rsid w:val="00220EFB"/>
    <w:rsid w:val="00221BB0"/>
    <w:rsid w:val="00231522"/>
    <w:rsid w:val="00231CC1"/>
    <w:rsid w:val="00234CA8"/>
    <w:rsid w:val="00241C61"/>
    <w:rsid w:val="002420F5"/>
    <w:rsid w:val="00260253"/>
    <w:rsid w:val="002863A5"/>
    <w:rsid w:val="00286DE1"/>
    <w:rsid w:val="0029267D"/>
    <w:rsid w:val="002961D7"/>
    <w:rsid w:val="002A4567"/>
    <w:rsid w:val="002C5918"/>
    <w:rsid w:val="002C7632"/>
    <w:rsid w:val="002F13E6"/>
    <w:rsid w:val="002F220E"/>
    <w:rsid w:val="002F7645"/>
    <w:rsid w:val="00312DB0"/>
    <w:rsid w:val="003147A6"/>
    <w:rsid w:val="0034478C"/>
    <w:rsid w:val="00357286"/>
    <w:rsid w:val="00366A59"/>
    <w:rsid w:val="00372A35"/>
    <w:rsid w:val="00372C34"/>
    <w:rsid w:val="003760EA"/>
    <w:rsid w:val="00387245"/>
    <w:rsid w:val="003905DB"/>
    <w:rsid w:val="00391C07"/>
    <w:rsid w:val="00393049"/>
    <w:rsid w:val="003A0509"/>
    <w:rsid w:val="003A0785"/>
    <w:rsid w:val="003A2FE6"/>
    <w:rsid w:val="003B0058"/>
    <w:rsid w:val="003B5CF4"/>
    <w:rsid w:val="003C2456"/>
    <w:rsid w:val="003C6D11"/>
    <w:rsid w:val="003E2E20"/>
    <w:rsid w:val="003F23E0"/>
    <w:rsid w:val="003F597A"/>
    <w:rsid w:val="00401CF4"/>
    <w:rsid w:val="00425E24"/>
    <w:rsid w:val="0042654F"/>
    <w:rsid w:val="0044039A"/>
    <w:rsid w:val="00442E7B"/>
    <w:rsid w:val="00450024"/>
    <w:rsid w:val="00451F08"/>
    <w:rsid w:val="0046282A"/>
    <w:rsid w:val="00467143"/>
    <w:rsid w:val="0047323E"/>
    <w:rsid w:val="00473C8C"/>
    <w:rsid w:val="00480AFA"/>
    <w:rsid w:val="00481F18"/>
    <w:rsid w:val="00485AAE"/>
    <w:rsid w:val="00486B67"/>
    <w:rsid w:val="00486E38"/>
    <w:rsid w:val="00487CD5"/>
    <w:rsid w:val="00493C89"/>
    <w:rsid w:val="004A2D82"/>
    <w:rsid w:val="004B3D52"/>
    <w:rsid w:val="004C49B1"/>
    <w:rsid w:val="004E018B"/>
    <w:rsid w:val="004E24F3"/>
    <w:rsid w:val="004E5D4F"/>
    <w:rsid w:val="004F061E"/>
    <w:rsid w:val="004F6945"/>
    <w:rsid w:val="0050225A"/>
    <w:rsid w:val="005167C6"/>
    <w:rsid w:val="0052554A"/>
    <w:rsid w:val="00536625"/>
    <w:rsid w:val="00541129"/>
    <w:rsid w:val="00556F47"/>
    <w:rsid w:val="00563B31"/>
    <w:rsid w:val="0056799B"/>
    <w:rsid w:val="00576FC8"/>
    <w:rsid w:val="00577154"/>
    <w:rsid w:val="00580B12"/>
    <w:rsid w:val="00590224"/>
    <w:rsid w:val="00593634"/>
    <w:rsid w:val="005966FE"/>
    <w:rsid w:val="005A396D"/>
    <w:rsid w:val="005B1AD4"/>
    <w:rsid w:val="005B1C31"/>
    <w:rsid w:val="005D25AB"/>
    <w:rsid w:val="005D7AF3"/>
    <w:rsid w:val="005E15B0"/>
    <w:rsid w:val="005E15D2"/>
    <w:rsid w:val="005F79BD"/>
    <w:rsid w:val="00604AC6"/>
    <w:rsid w:val="00607B4B"/>
    <w:rsid w:val="006238BE"/>
    <w:rsid w:val="006246B4"/>
    <w:rsid w:val="00633047"/>
    <w:rsid w:val="00633FFF"/>
    <w:rsid w:val="00634CE2"/>
    <w:rsid w:val="006354CF"/>
    <w:rsid w:val="00641D19"/>
    <w:rsid w:val="006535E0"/>
    <w:rsid w:val="00660E23"/>
    <w:rsid w:val="0066294E"/>
    <w:rsid w:val="00686C2F"/>
    <w:rsid w:val="00697238"/>
    <w:rsid w:val="006A01D7"/>
    <w:rsid w:val="006A5D75"/>
    <w:rsid w:val="006B2281"/>
    <w:rsid w:val="006B3ED2"/>
    <w:rsid w:val="006C4490"/>
    <w:rsid w:val="006C57C9"/>
    <w:rsid w:val="006C78B5"/>
    <w:rsid w:val="006D7D06"/>
    <w:rsid w:val="006E17F9"/>
    <w:rsid w:val="006E503F"/>
    <w:rsid w:val="006F54F0"/>
    <w:rsid w:val="007209F6"/>
    <w:rsid w:val="007245F7"/>
    <w:rsid w:val="007365C4"/>
    <w:rsid w:val="0073702D"/>
    <w:rsid w:val="00753406"/>
    <w:rsid w:val="007566D5"/>
    <w:rsid w:val="00761F01"/>
    <w:rsid w:val="007661F3"/>
    <w:rsid w:val="007829C5"/>
    <w:rsid w:val="007850CA"/>
    <w:rsid w:val="00790B19"/>
    <w:rsid w:val="007A30C3"/>
    <w:rsid w:val="007B2286"/>
    <w:rsid w:val="007B5D13"/>
    <w:rsid w:val="007D171E"/>
    <w:rsid w:val="007D3C65"/>
    <w:rsid w:val="007D57EB"/>
    <w:rsid w:val="007E69BF"/>
    <w:rsid w:val="00812695"/>
    <w:rsid w:val="0082063B"/>
    <w:rsid w:val="00842AD2"/>
    <w:rsid w:val="00855A06"/>
    <w:rsid w:val="0087047E"/>
    <w:rsid w:val="00882455"/>
    <w:rsid w:val="00894541"/>
    <w:rsid w:val="00896D46"/>
    <w:rsid w:val="008A1753"/>
    <w:rsid w:val="008A2F4F"/>
    <w:rsid w:val="008B7134"/>
    <w:rsid w:val="008B78DA"/>
    <w:rsid w:val="008C49D7"/>
    <w:rsid w:val="008C630A"/>
    <w:rsid w:val="008D03F9"/>
    <w:rsid w:val="008D4ACB"/>
    <w:rsid w:val="008E14A3"/>
    <w:rsid w:val="008E1F5A"/>
    <w:rsid w:val="008E1FA4"/>
    <w:rsid w:val="008E47D9"/>
    <w:rsid w:val="008E55A5"/>
    <w:rsid w:val="008F1A9B"/>
    <w:rsid w:val="008F42A8"/>
    <w:rsid w:val="008F5D5F"/>
    <w:rsid w:val="00903C31"/>
    <w:rsid w:val="0093310C"/>
    <w:rsid w:val="00943481"/>
    <w:rsid w:val="009456B7"/>
    <w:rsid w:val="00950638"/>
    <w:rsid w:val="009514BA"/>
    <w:rsid w:val="00953B3F"/>
    <w:rsid w:val="00955C6C"/>
    <w:rsid w:val="00973D74"/>
    <w:rsid w:val="00993E50"/>
    <w:rsid w:val="009956E9"/>
    <w:rsid w:val="00997647"/>
    <w:rsid w:val="009A36C5"/>
    <w:rsid w:val="009A55DE"/>
    <w:rsid w:val="009A76B9"/>
    <w:rsid w:val="009C4446"/>
    <w:rsid w:val="009C54D9"/>
    <w:rsid w:val="009F50DA"/>
    <w:rsid w:val="00A026C7"/>
    <w:rsid w:val="00A066DA"/>
    <w:rsid w:val="00A0690C"/>
    <w:rsid w:val="00A21B4C"/>
    <w:rsid w:val="00A262DA"/>
    <w:rsid w:val="00A429D7"/>
    <w:rsid w:val="00A50B08"/>
    <w:rsid w:val="00A569B2"/>
    <w:rsid w:val="00A67129"/>
    <w:rsid w:val="00A73B8D"/>
    <w:rsid w:val="00A83B43"/>
    <w:rsid w:val="00A94BF8"/>
    <w:rsid w:val="00A94C96"/>
    <w:rsid w:val="00AA0036"/>
    <w:rsid w:val="00AA5DA3"/>
    <w:rsid w:val="00AA5EAD"/>
    <w:rsid w:val="00AB557A"/>
    <w:rsid w:val="00AB5CEF"/>
    <w:rsid w:val="00AC7B41"/>
    <w:rsid w:val="00AC7E65"/>
    <w:rsid w:val="00AD1C9D"/>
    <w:rsid w:val="00AE2878"/>
    <w:rsid w:val="00AE6BE6"/>
    <w:rsid w:val="00AE7398"/>
    <w:rsid w:val="00AF39F5"/>
    <w:rsid w:val="00B21CD4"/>
    <w:rsid w:val="00B55F78"/>
    <w:rsid w:val="00B61179"/>
    <w:rsid w:val="00B6243F"/>
    <w:rsid w:val="00B63D20"/>
    <w:rsid w:val="00B65B96"/>
    <w:rsid w:val="00B75E71"/>
    <w:rsid w:val="00B806E2"/>
    <w:rsid w:val="00B822D1"/>
    <w:rsid w:val="00B82DF3"/>
    <w:rsid w:val="00B84021"/>
    <w:rsid w:val="00B86110"/>
    <w:rsid w:val="00B86CFA"/>
    <w:rsid w:val="00BA39AB"/>
    <w:rsid w:val="00BA47BB"/>
    <w:rsid w:val="00BA724B"/>
    <w:rsid w:val="00BD3775"/>
    <w:rsid w:val="00BE5822"/>
    <w:rsid w:val="00BF0D66"/>
    <w:rsid w:val="00BF249F"/>
    <w:rsid w:val="00BF4A24"/>
    <w:rsid w:val="00C05BB3"/>
    <w:rsid w:val="00C1167C"/>
    <w:rsid w:val="00C23888"/>
    <w:rsid w:val="00C37F3D"/>
    <w:rsid w:val="00C5318B"/>
    <w:rsid w:val="00C736CE"/>
    <w:rsid w:val="00C73EB7"/>
    <w:rsid w:val="00C7409A"/>
    <w:rsid w:val="00C74D25"/>
    <w:rsid w:val="00C850C1"/>
    <w:rsid w:val="00C978ED"/>
    <w:rsid w:val="00CB6635"/>
    <w:rsid w:val="00CD4E8E"/>
    <w:rsid w:val="00CE2365"/>
    <w:rsid w:val="00CE58E1"/>
    <w:rsid w:val="00CE749E"/>
    <w:rsid w:val="00CF3F4C"/>
    <w:rsid w:val="00D016FC"/>
    <w:rsid w:val="00D11768"/>
    <w:rsid w:val="00D2099A"/>
    <w:rsid w:val="00D256FB"/>
    <w:rsid w:val="00D25BFC"/>
    <w:rsid w:val="00D34F1F"/>
    <w:rsid w:val="00D35E7C"/>
    <w:rsid w:val="00D43778"/>
    <w:rsid w:val="00D44FE8"/>
    <w:rsid w:val="00D70D74"/>
    <w:rsid w:val="00D81312"/>
    <w:rsid w:val="00D9342F"/>
    <w:rsid w:val="00D93433"/>
    <w:rsid w:val="00D94C02"/>
    <w:rsid w:val="00DC739D"/>
    <w:rsid w:val="00DD271D"/>
    <w:rsid w:val="00DD3064"/>
    <w:rsid w:val="00DD3715"/>
    <w:rsid w:val="00DD6227"/>
    <w:rsid w:val="00DF510C"/>
    <w:rsid w:val="00E422B3"/>
    <w:rsid w:val="00E435D0"/>
    <w:rsid w:val="00E44906"/>
    <w:rsid w:val="00E544A7"/>
    <w:rsid w:val="00E766B9"/>
    <w:rsid w:val="00E77C77"/>
    <w:rsid w:val="00E8222C"/>
    <w:rsid w:val="00E8370B"/>
    <w:rsid w:val="00E9096A"/>
    <w:rsid w:val="00EA23E7"/>
    <w:rsid w:val="00EB62B5"/>
    <w:rsid w:val="00EC1CD0"/>
    <w:rsid w:val="00EC1DD4"/>
    <w:rsid w:val="00EC77C9"/>
    <w:rsid w:val="00ED4787"/>
    <w:rsid w:val="00ED6957"/>
    <w:rsid w:val="00EF760C"/>
    <w:rsid w:val="00F26A95"/>
    <w:rsid w:val="00F27A1C"/>
    <w:rsid w:val="00F345E6"/>
    <w:rsid w:val="00F35DD5"/>
    <w:rsid w:val="00F440FB"/>
    <w:rsid w:val="00F55663"/>
    <w:rsid w:val="00F61F1E"/>
    <w:rsid w:val="00F72F56"/>
    <w:rsid w:val="00F74DA3"/>
    <w:rsid w:val="00F82DB3"/>
    <w:rsid w:val="00F90ED6"/>
    <w:rsid w:val="00F92ED9"/>
    <w:rsid w:val="00F97EE0"/>
    <w:rsid w:val="00FA035D"/>
    <w:rsid w:val="00FA3D42"/>
    <w:rsid w:val="00FA6BEA"/>
    <w:rsid w:val="00FA7CF4"/>
    <w:rsid w:val="00FB139F"/>
    <w:rsid w:val="00FD1A47"/>
    <w:rsid w:val="00FD2421"/>
    <w:rsid w:val="00FD41F6"/>
    <w:rsid w:val="00FD5570"/>
    <w:rsid w:val="00FD6ECE"/>
    <w:rsid w:val="00FF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0">
          <o:proxy start="" idref="#_x0000_s1049" connectloc="2"/>
        </o:r>
        <o:r id="V:Rule2" type="connector" idref="#_x0000_s105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link w:val="a4"/>
    <w:qFormat/>
    <w:rsid w:val="00F72F56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5">
    <w:name w:val="!Текст"/>
    <w:basedOn w:val="a"/>
    <w:link w:val="a6"/>
    <w:rsid w:val="00F72F56"/>
    <w:pPr>
      <w:spacing w:after="0" w:line="360" w:lineRule="auto"/>
      <w:ind w:firstLine="720"/>
      <w:jc w:val="both"/>
    </w:pPr>
    <w:rPr>
      <w:rFonts w:ascii="Times New Roman" w:eastAsia="Times New Roman" w:hAnsi="Times New Roman"/>
      <w:bCs/>
      <w:iCs/>
      <w:sz w:val="24"/>
      <w:szCs w:val="24"/>
      <w:lang/>
    </w:rPr>
  </w:style>
  <w:style w:type="character" w:customStyle="1" w:styleId="a6">
    <w:name w:val="!Текст Знак"/>
    <w:link w:val="a5"/>
    <w:rsid w:val="00F72F56"/>
    <w:rPr>
      <w:rFonts w:ascii="Times New Roman" w:eastAsia="Times New Roman" w:hAnsi="Times New Roman" w:cs="Times New Roman"/>
      <w:bCs/>
      <w:iCs/>
      <w:sz w:val="24"/>
      <w:szCs w:val="24"/>
      <w:lang/>
    </w:rPr>
  </w:style>
  <w:style w:type="character" w:customStyle="1" w:styleId="a4">
    <w:name w:val="Обычный (веб) Знак"/>
    <w:aliases w:val="Обычный (Web)1 Знак"/>
    <w:link w:val="a3"/>
    <w:rsid w:val="00F72F5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4808</Characters>
  <Application>Microsoft Office Word</Application>
  <DocSecurity>0</DocSecurity>
  <Lines>40</Lines>
  <Paragraphs>11</Paragraphs>
  <ScaleCrop>false</ScaleCrop>
  <Company>nil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2012-11-12T12:17:00Z</dcterms:created>
  <dcterms:modified xsi:type="dcterms:W3CDTF">2012-11-12T12:18:00Z</dcterms:modified>
</cp:coreProperties>
</file>