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C3" w:rsidRPr="00E45E57" w:rsidRDefault="00E45E57" w:rsidP="00E45E57">
      <w:pPr>
        <w:spacing w:after="0" w:line="360" w:lineRule="auto"/>
        <w:ind w:firstLine="567"/>
        <w:jc w:val="center"/>
        <w:rPr>
          <w:rFonts w:ascii="Times New Roman" w:hAnsi="Times New Roman" w:cs="Times New Roman"/>
          <w:b/>
          <w:sz w:val="28"/>
          <w:szCs w:val="28"/>
          <w:lang w:val="en-US"/>
        </w:rPr>
      </w:pPr>
      <w:bookmarkStart w:id="0" w:name="_GoBack"/>
      <w:bookmarkEnd w:id="0"/>
      <w:r w:rsidRPr="00E45E57">
        <w:rPr>
          <w:rFonts w:ascii="Times New Roman" w:hAnsi="Times New Roman" w:cs="Times New Roman"/>
          <w:b/>
          <w:sz w:val="28"/>
          <w:szCs w:val="28"/>
          <w:lang w:val="en-US"/>
        </w:rPr>
        <w:t xml:space="preserve">Projecting </w:t>
      </w:r>
      <w:r w:rsidR="005B2C2F" w:rsidRPr="00E45E57">
        <w:rPr>
          <w:rFonts w:ascii="Times New Roman" w:hAnsi="Times New Roman" w:cs="Times New Roman"/>
          <w:b/>
          <w:sz w:val="28"/>
          <w:szCs w:val="28"/>
          <w:lang w:val="en-US"/>
        </w:rPr>
        <w:t xml:space="preserve">Mozambique’s demographic future </w:t>
      </w:r>
    </w:p>
    <w:p w:rsidR="00AE2D04" w:rsidRPr="00E45E57" w:rsidRDefault="005B2C2F" w:rsidP="00E45E57">
      <w:pPr>
        <w:spacing w:after="0" w:line="360" w:lineRule="auto"/>
        <w:ind w:firstLine="567"/>
        <w:jc w:val="center"/>
        <w:rPr>
          <w:rFonts w:ascii="Times New Roman" w:hAnsi="Times New Roman" w:cs="Times New Roman"/>
          <w:sz w:val="28"/>
          <w:szCs w:val="28"/>
          <w:lang w:val="en-US"/>
        </w:rPr>
      </w:pPr>
      <w:r w:rsidRPr="00E45E57">
        <w:rPr>
          <w:rFonts w:ascii="Times New Roman" w:hAnsi="Times New Roman" w:cs="Times New Roman"/>
          <w:sz w:val="28"/>
          <w:szCs w:val="28"/>
          <w:lang w:val="en-US"/>
        </w:rPr>
        <w:t>Julia Zinkina</w:t>
      </w:r>
      <w:r w:rsidR="00795F08" w:rsidRPr="00E45E57">
        <w:rPr>
          <w:rFonts w:ascii="Times New Roman" w:hAnsi="Times New Roman" w:cs="Times New Roman"/>
          <w:sz w:val="28"/>
          <w:szCs w:val="28"/>
          <w:lang w:val="en-US"/>
        </w:rPr>
        <w:t>, Andrey Korotayev</w:t>
      </w:r>
      <w:r w:rsidR="004771B8" w:rsidRPr="00E45E57">
        <w:rPr>
          <w:rFonts w:ascii="Times New Roman" w:hAnsi="Times New Roman" w:cs="Times New Roman"/>
          <w:sz w:val="28"/>
          <w:szCs w:val="28"/>
          <w:lang w:val="en-US"/>
        </w:rPr>
        <w:t xml:space="preserve"> </w:t>
      </w:r>
    </w:p>
    <w:p w:rsidR="005A777C" w:rsidRPr="00E45E57" w:rsidRDefault="005A777C" w:rsidP="00E45E57">
      <w:pPr>
        <w:spacing w:after="0" w:line="360" w:lineRule="auto"/>
        <w:ind w:firstLine="567"/>
        <w:jc w:val="center"/>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International Laboratory of Political </w:t>
      </w:r>
      <w:r w:rsidRPr="00E45E57">
        <w:rPr>
          <w:rFonts w:ascii="Times New Roman" w:hAnsi="Times New Roman" w:cs="Times New Roman"/>
          <w:sz w:val="28"/>
          <w:szCs w:val="28"/>
          <w:lang w:val="en-US"/>
        </w:rPr>
        <w:br/>
        <w:t xml:space="preserve">Demography and </w:t>
      </w:r>
      <w:proofErr w:type="spellStart"/>
      <w:r w:rsidRPr="00E45E57">
        <w:rPr>
          <w:rFonts w:ascii="Times New Roman" w:hAnsi="Times New Roman" w:cs="Times New Roman"/>
          <w:sz w:val="28"/>
          <w:szCs w:val="28"/>
          <w:lang w:val="en-US"/>
        </w:rPr>
        <w:t>Macrosociological</w:t>
      </w:r>
      <w:proofErr w:type="spellEnd"/>
      <w:r w:rsidRPr="00E45E57">
        <w:rPr>
          <w:rFonts w:ascii="Times New Roman" w:hAnsi="Times New Roman" w:cs="Times New Roman"/>
          <w:sz w:val="28"/>
          <w:szCs w:val="28"/>
          <w:lang w:val="en-US"/>
        </w:rPr>
        <w:t xml:space="preserve"> Dynamics,</w:t>
      </w:r>
    </w:p>
    <w:p w:rsidR="005A777C" w:rsidRPr="00E45E57" w:rsidRDefault="005A777C" w:rsidP="00E45E57">
      <w:pPr>
        <w:spacing w:after="0" w:line="360" w:lineRule="auto"/>
        <w:ind w:firstLine="567"/>
        <w:jc w:val="center"/>
        <w:rPr>
          <w:rFonts w:ascii="Times New Roman" w:hAnsi="Times New Roman" w:cs="Times New Roman"/>
          <w:sz w:val="28"/>
          <w:szCs w:val="28"/>
          <w:lang w:val="en-US"/>
        </w:rPr>
      </w:pPr>
      <w:r w:rsidRPr="00E45E57">
        <w:rPr>
          <w:rFonts w:ascii="Times New Roman" w:hAnsi="Times New Roman" w:cs="Times New Roman"/>
          <w:sz w:val="28"/>
          <w:szCs w:val="28"/>
          <w:lang w:val="en-US"/>
        </w:rPr>
        <w:t>Russian Presidential Academy of National Economy and</w:t>
      </w:r>
    </w:p>
    <w:p w:rsidR="00E93EBA" w:rsidRDefault="005A777C" w:rsidP="00E45E57">
      <w:pPr>
        <w:spacing w:after="0" w:line="360" w:lineRule="auto"/>
        <w:ind w:firstLine="567"/>
        <w:jc w:val="center"/>
        <w:rPr>
          <w:rFonts w:ascii="Times New Roman" w:hAnsi="Times New Roman" w:cs="Times New Roman"/>
          <w:sz w:val="28"/>
          <w:szCs w:val="28"/>
        </w:rPr>
      </w:pPr>
      <w:r w:rsidRPr="00E45E57">
        <w:rPr>
          <w:rFonts w:ascii="Times New Roman" w:hAnsi="Times New Roman" w:cs="Times New Roman"/>
          <w:sz w:val="28"/>
          <w:szCs w:val="28"/>
          <w:lang w:val="en-US"/>
        </w:rPr>
        <w:t>Public Administration, Moscow, Russia</w:t>
      </w:r>
      <w:r w:rsidR="00A06A8E" w:rsidRPr="00E45E57">
        <w:rPr>
          <w:rFonts w:ascii="Times New Roman" w:hAnsi="Times New Roman" w:cs="Times New Roman"/>
          <w:sz w:val="28"/>
          <w:szCs w:val="28"/>
          <w:lang w:val="en-US"/>
        </w:rPr>
        <w:t xml:space="preserve"> </w:t>
      </w:r>
    </w:p>
    <w:p w:rsidR="00270E35" w:rsidRPr="00270E35" w:rsidRDefault="00270E35" w:rsidP="00E45E57">
      <w:pPr>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Institute for African Studies of the Russian Academy of Sciences </w:t>
      </w:r>
    </w:p>
    <w:p w:rsidR="00E93EBA" w:rsidRPr="00E45E57" w:rsidRDefault="00E93EBA" w:rsidP="00E45E57">
      <w:pPr>
        <w:spacing w:after="0" w:line="360" w:lineRule="auto"/>
        <w:ind w:firstLine="567"/>
        <w:jc w:val="both"/>
        <w:rPr>
          <w:rFonts w:ascii="Times New Roman" w:hAnsi="Times New Roman" w:cs="Times New Roman"/>
          <w:sz w:val="28"/>
          <w:szCs w:val="28"/>
          <w:lang w:val="en-US"/>
        </w:rPr>
      </w:pPr>
    </w:p>
    <w:p w:rsidR="002F0B79" w:rsidRPr="00E45E57" w:rsidRDefault="002F0B79" w:rsidP="008F1791">
      <w:pPr>
        <w:spacing w:after="0" w:line="360" w:lineRule="auto"/>
        <w:jc w:val="both"/>
        <w:rPr>
          <w:rFonts w:ascii="Times New Roman" w:hAnsi="Times New Roman" w:cs="Times New Roman"/>
          <w:b/>
          <w:sz w:val="28"/>
          <w:szCs w:val="28"/>
          <w:lang w:val="en-US"/>
        </w:rPr>
      </w:pPr>
      <w:r w:rsidRPr="00E45E57">
        <w:rPr>
          <w:rFonts w:ascii="Times New Roman" w:hAnsi="Times New Roman" w:cs="Times New Roman"/>
          <w:b/>
          <w:sz w:val="28"/>
          <w:szCs w:val="28"/>
          <w:lang w:val="en-US"/>
        </w:rPr>
        <w:t xml:space="preserve">Introduction: </w:t>
      </w:r>
    </w:p>
    <w:p w:rsidR="009C6D90" w:rsidRPr="00E45E57" w:rsidRDefault="000E505A" w:rsidP="008F1791">
      <w:pPr>
        <w:spacing w:after="0" w:line="360" w:lineRule="auto"/>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The recent decade has witnessed remarkable success in various aspects of socioeconomic development in Tropical Africa. However, contrary to the “development is the best contraceptive” expectations, fertility in many countries remains stalled, frequently at very high levels of 5 and more children per woman. This actualizes the risks of population explosions, which are particularly sharp, and can bear truly dramatic consequences for national and even regional development, in the largest countries</w:t>
      </w:r>
      <w:r w:rsidR="0085025E" w:rsidRPr="00E45E57">
        <w:rPr>
          <w:rFonts w:ascii="Times New Roman" w:hAnsi="Times New Roman" w:cs="Times New Roman"/>
          <w:sz w:val="28"/>
          <w:szCs w:val="28"/>
          <w:lang w:val="en-US"/>
        </w:rPr>
        <w:t>.</w:t>
      </w:r>
      <w:r w:rsidRPr="00E45E57">
        <w:rPr>
          <w:rFonts w:ascii="Times New Roman" w:hAnsi="Times New Roman" w:cs="Times New Roman"/>
          <w:sz w:val="28"/>
          <w:szCs w:val="28"/>
          <w:lang w:val="en-US"/>
        </w:rPr>
        <w:t xml:space="preserve"> </w:t>
      </w:r>
      <w:r w:rsidR="0062378C" w:rsidRPr="00E45E57">
        <w:rPr>
          <w:rFonts w:ascii="Times New Roman" w:hAnsi="Times New Roman" w:cs="Times New Roman"/>
          <w:sz w:val="28"/>
          <w:szCs w:val="28"/>
          <w:lang w:val="en-US"/>
        </w:rPr>
        <w:t xml:space="preserve">In order to foresee such risks, valid population projections are necessary. The only widely recognized comprehensive series of such forecasts is currently developed by the UN Population Division; however, the method underlying their forecast has a number of limitations. We offer a different method for modelling the scenarios of demographic future of a given country. We apply this method to the case of Mozambique and reveal that the population projections calculated for Mozambique by the UN Population Division in 2012 – 2013 seem to be overly optimistic. </w:t>
      </w:r>
    </w:p>
    <w:p w:rsidR="000E505A" w:rsidRPr="00E45E57" w:rsidRDefault="000E505A" w:rsidP="00E45E57">
      <w:pPr>
        <w:spacing w:after="0" w:line="360" w:lineRule="auto"/>
        <w:ind w:firstLine="567"/>
        <w:jc w:val="both"/>
        <w:rPr>
          <w:rFonts w:ascii="Times New Roman" w:hAnsi="Times New Roman" w:cs="Times New Roman"/>
          <w:sz w:val="28"/>
          <w:szCs w:val="28"/>
          <w:lang w:val="en-US"/>
        </w:rPr>
      </w:pPr>
    </w:p>
    <w:p w:rsidR="00CE377A" w:rsidRPr="00E45E57" w:rsidRDefault="00CE377A" w:rsidP="00361A73">
      <w:pPr>
        <w:spacing w:after="0" w:line="360" w:lineRule="auto"/>
        <w:jc w:val="both"/>
        <w:rPr>
          <w:rFonts w:ascii="Times New Roman" w:hAnsi="Times New Roman" w:cs="Times New Roman"/>
          <w:b/>
          <w:sz w:val="28"/>
          <w:szCs w:val="28"/>
          <w:lang w:val="en-US"/>
        </w:rPr>
      </w:pPr>
      <w:r w:rsidRPr="00E45E57">
        <w:rPr>
          <w:rFonts w:ascii="Times New Roman" w:hAnsi="Times New Roman" w:cs="Times New Roman"/>
          <w:b/>
          <w:sz w:val="28"/>
          <w:szCs w:val="28"/>
          <w:lang w:val="en-US"/>
        </w:rPr>
        <w:t>Sub-Saharan laggardness in demographic transition</w:t>
      </w:r>
    </w:p>
    <w:p w:rsidR="00CE377A" w:rsidRPr="00E45E57" w:rsidRDefault="00CE377A" w:rsidP="00E45E57">
      <w:pPr>
        <w:spacing w:after="0" w:line="360" w:lineRule="auto"/>
        <w:ind w:firstLine="567"/>
        <w:jc w:val="both"/>
        <w:rPr>
          <w:rFonts w:ascii="Times New Roman" w:hAnsi="Times New Roman" w:cs="Times New Roman"/>
          <w:sz w:val="28"/>
          <w:szCs w:val="28"/>
          <w:lang w:val="en-US"/>
        </w:rPr>
      </w:pPr>
    </w:p>
    <w:p w:rsidR="00F77DBC" w:rsidRPr="00E45E57" w:rsidRDefault="00F77DBC" w:rsidP="00361A73">
      <w:pPr>
        <w:spacing w:after="0" w:line="360" w:lineRule="auto"/>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Sub-Saharan Africa currently remains the only major region in the world which has not yet completed its demographic transition. All other regions have gone through their mortality transitions and have completed (or are very close to doing so) their fertility transitions as well, with their fertility rates approaching the </w:t>
      </w:r>
      <w:r w:rsidRPr="00E45E57">
        <w:rPr>
          <w:rFonts w:ascii="Times New Roman" w:hAnsi="Times New Roman" w:cs="Times New Roman"/>
          <w:sz w:val="28"/>
          <w:szCs w:val="28"/>
          <w:lang w:val="en-US"/>
        </w:rPr>
        <w:lastRenderedPageBreak/>
        <w:t xml:space="preserve">population replacement level of 2.1 children per woman or even falling below that; some exceptions only remain at the level of a few particular countries, </w:t>
      </w:r>
      <w:r w:rsidRPr="00E45E57">
        <w:rPr>
          <w:rFonts w:ascii="Times New Roman" w:hAnsi="Times New Roman" w:cs="Times New Roman"/>
          <w:i/>
          <w:sz w:val="28"/>
          <w:szCs w:val="28"/>
          <w:lang w:val="en-US"/>
        </w:rPr>
        <w:t>e.g.</w:t>
      </w:r>
      <w:r w:rsidRPr="00E45E57">
        <w:rPr>
          <w:rFonts w:ascii="Times New Roman" w:hAnsi="Times New Roman" w:cs="Times New Roman"/>
          <w:sz w:val="28"/>
          <w:szCs w:val="28"/>
          <w:lang w:val="en-US"/>
        </w:rPr>
        <w:t xml:space="preserve"> Afghanistan in Asia and Yemen in MENA region. </w:t>
      </w:r>
    </w:p>
    <w:p w:rsidR="00F77DBC" w:rsidRPr="00E45E57" w:rsidRDefault="00F77DBC"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On the contrast, the whole region of Tropical Africa</w:t>
      </w:r>
      <w:r w:rsidRPr="00E45E57">
        <w:rPr>
          <w:rStyle w:val="a8"/>
          <w:rFonts w:ascii="Times New Roman" w:hAnsi="Times New Roman" w:cs="Times New Roman"/>
          <w:sz w:val="28"/>
          <w:szCs w:val="28"/>
          <w:lang w:val="en-US"/>
        </w:rPr>
        <w:footnoteReference w:id="1"/>
      </w:r>
      <w:r w:rsidRPr="00E45E57">
        <w:rPr>
          <w:rFonts w:ascii="Times New Roman" w:hAnsi="Times New Roman" w:cs="Times New Roman"/>
          <w:sz w:val="28"/>
          <w:szCs w:val="28"/>
          <w:lang w:val="en-US"/>
        </w:rPr>
        <w:t xml:space="preserve"> (with the notable exception of Rwanda</w:t>
      </w:r>
      <w:r w:rsidR="009968C3" w:rsidRPr="00E45E57">
        <w:rPr>
          <w:rFonts w:ascii="Times New Roman" w:hAnsi="Times New Roman" w:cs="Times New Roman"/>
          <w:sz w:val="28"/>
          <w:szCs w:val="28"/>
          <w:lang w:val="en-US"/>
        </w:rPr>
        <w:t>, which we will further mention below</w:t>
      </w:r>
      <w:r w:rsidRPr="00E45E57">
        <w:rPr>
          <w:rFonts w:ascii="Times New Roman" w:hAnsi="Times New Roman" w:cs="Times New Roman"/>
          <w:sz w:val="28"/>
          <w:szCs w:val="28"/>
          <w:lang w:val="en-US"/>
        </w:rPr>
        <w:t>) is stuck at the early stages of fertility transition, and is proceeding very slowly</w:t>
      </w:r>
      <w:r w:rsidR="0039168A" w:rsidRPr="00E45E57">
        <w:rPr>
          <w:rFonts w:ascii="Times New Roman" w:hAnsi="Times New Roman" w:cs="Times New Roman"/>
          <w:sz w:val="28"/>
          <w:szCs w:val="28"/>
          <w:lang w:val="en-US"/>
        </w:rPr>
        <w:t xml:space="preserve">: </w:t>
      </w:r>
      <w:r w:rsidRPr="00E45E57">
        <w:rPr>
          <w:rFonts w:ascii="Times New Roman" w:hAnsi="Times New Roman" w:cs="Times New Roman"/>
          <w:sz w:val="28"/>
          <w:szCs w:val="28"/>
          <w:lang w:val="en-US"/>
        </w:rPr>
        <w:t>“the recent pace of fertility decline in Africa is slower than the pace observed in Asia and Latin America in the 1970s … the median pace of change in sub-Saharan Africa (0.03 per year) is less than one-third the pace in the other regions (0.12 and 0.13, respectively)” (</w:t>
      </w:r>
      <w:proofErr w:type="spellStart"/>
      <w:r w:rsidRPr="00E45E57">
        <w:rPr>
          <w:rFonts w:ascii="Times New Roman" w:hAnsi="Times New Roman" w:cs="Times New Roman"/>
          <w:sz w:val="28"/>
          <w:szCs w:val="28"/>
          <w:lang w:val="en-US"/>
        </w:rPr>
        <w:t>Bongaarts</w:t>
      </w:r>
      <w:proofErr w:type="spellEnd"/>
      <w:r w:rsidRPr="00E45E57">
        <w:rPr>
          <w:rFonts w:ascii="Times New Roman" w:hAnsi="Times New Roman" w:cs="Times New Roman"/>
          <w:sz w:val="28"/>
          <w:szCs w:val="28"/>
          <w:lang w:val="en-US"/>
        </w:rPr>
        <w:t xml:space="preserve">, </w:t>
      </w:r>
      <w:proofErr w:type="spellStart"/>
      <w:r w:rsidRPr="00E45E57">
        <w:rPr>
          <w:rFonts w:ascii="Times New Roman" w:hAnsi="Times New Roman" w:cs="Times New Roman"/>
          <w:sz w:val="28"/>
          <w:szCs w:val="28"/>
          <w:lang w:val="en-US"/>
        </w:rPr>
        <w:t>Casterline</w:t>
      </w:r>
      <w:proofErr w:type="spellEnd"/>
      <w:r w:rsidRPr="00E45E57">
        <w:rPr>
          <w:rFonts w:ascii="Times New Roman" w:hAnsi="Times New Roman" w:cs="Times New Roman"/>
          <w:sz w:val="28"/>
          <w:szCs w:val="28"/>
          <w:lang w:val="en-US"/>
        </w:rPr>
        <w:t xml:space="preserve"> 2012: 155).</w:t>
      </w:r>
    </w:p>
    <w:p w:rsidR="00F77DBC" w:rsidRPr="00E45E57" w:rsidRDefault="00DC12F0"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Moreover, </w:t>
      </w:r>
      <w:r w:rsidR="009968C3" w:rsidRPr="00E45E57">
        <w:rPr>
          <w:rFonts w:ascii="Times New Roman" w:hAnsi="Times New Roman" w:cs="Times New Roman"/>
          <w:sz w:val="28"/>
          <w:szCs w:val="28"/>
          <w:lang w:val="en-US"/>
        </w:rPr>
        <w:t xml:space="preserve">in </w:t>
      </w:r>
      <w:r w:rsidR="0031375C" w:rsidRPr="00E45E57">
        <w:rPr>
          <w:rFonts w:ascii="Times New Roman" w:hAnsi="Times New Roman" w:cs="Times New Roman"/>
          <w:sz w:val="28"/>
          <w:szCs w:val="28"/>
          <w:lang w:val="en-US"/>
        </w:rPr>
        <w:t>a</w:t>
      </w:r>
      <w:r w:rsidRPr="00E45E57">
        <w:rPr>
          <w:rFonts w:ascii="Times New Roman" w:hAnsi="Times New Roman" w:cs="Times New Roman"/>
          <w:sz w:val="28"/>
          <w:szCs w:val="28"/>
          <w:lang w:val="en-US"/>
        </w:rPr>
        <w:t xml:space="preserve"> large proportion of </w:t>
      </w:r>
      <w:r w:rsidR="009968C3" w:rsidRPr="00E45E57">
        <w:rPr>
          <w:rFonts w:ascii="Times New Roman" w:hAnsi="Times New Roman" w:cs="Times New Roman"/>
          <w:sz w:val="28"/>
          <w:szCs w:val="28"/>
          <w:lang w:val="en-US"/>
        </w:rPr>
        <w:t xml:space="preserve">Tropical African </w:t>
      </w:r>
      <w:r w:rsidRPr="00E45E57">
        <w:rPr>
          <w:rFonts w:ascii="Times New Roman" w:hAnsi="Times New Roman" w:cs="Times New Roman"/>
          <w:sz w:val="28"/>
          <w:szCs w:val="28"/>
          <w:lang w:val="en-US"/>
        </w:rPr>
        <w:t xml:space="preserve">countries </w:t>
      </w:r>
      <w:r w:rsidR="009968C3" w:rsidRPr="00E45E57">
        <w:rPr>
          <w:rFonts w:ascii="Times New Roman" w:hAnsi="Times New Roman" w:cs="Times New Roman"/>
          <w:sz w:val="28"/>
          <w:szCs w:val="28"/>
          <w:lang w:val="en-US"/>
        </w:rPr>
        <w:t>fertility got stalled (at levels commonly higher than 5 children per woman) and saw no decline since</w:t>
      </w:r>
      <w:r w:rsidRPr="00E45E57">
        <w:rPr>
          <w:rFonts w:ascii="Times New Roman" w:hAnsi="Times New Roman" w:cs="Times New Roman"/>
          <w:sz w:val="28"/>
          <w:szCs w:val="28"/>
          <w:lang w:val="en-US"/>
        </w:rPr>
        <w:t xml:space="preserve"> the mid-1990s </w:t>
      </w:r>
      <w:r w:rsidR="009968C3" w:rsidRPr="00E45E57">
        <w:rPr>
          <w:rFonts w:ascii="Times New Roman" w:hAnsi="Times New Roman" w:cs="Times New Roman"/>
          <w:sz w:val="28"/>
          <w:szCs w:val="28"/>
          <w:lang w:val="en-US"/>
        </w:rPr>
        <w:t>until at least</w:t>
      </w:r>
      <w:r w:rsidRPr="00E45E57">
        <w:rPr>
          <w:rFonts w:ascii="Times New Roman" w:hAnsi="Times New Roman" w:cs="Times New Roman"/>
          <w:sz w:val="28"/>
          <w:szCs w:val="28"/>
          <w:lang w:val="en-US"/>
        </w:rPr>
        <w:t xml:space="preserve"> the mid-2000s. The phenomenon was quite widespread: thus, </w:t>
      </w:r>
      <w:proofErr w:type="spellStart"/>
      <w:r w:rsidRPr="00E45E57">
        <w:rPr>
          <w:rFonts w:ascii="Times New Roman" w:hAnsi="Times New Roman" w:cs="Times New Roman"/>
          <w:color w:val="000000" w:themeColor="text1"/>
          <w:sz w:val="28"/>
          <w:szCs w:val="28"/>
          <w:lang w:val="en-US"/>
        </w:rPr>
        <w:t>Bongaarts</w:t>
      </w:r>
      <w:proofErr w:type="spellEnd"/>
      <w:r w:rsidRPr="00E45E57">
        <w:rPr>
          <w:rFonts w:ascii="Times New Roman" w:hAnsi="Times New Roman" w:cs="Times New Roman"/>
          <w:color w:val="000000" w:themeColor="text1"/>
          <w:sz w:val="28"/>
          <w:szCs w:val="28"/>
          <w:lang w:val="en-US"/>
        </w:rPr>
        <w:t xml:space="preserve"> (2008) revealed 16 cases of fertility stalls within a set of 29 sub-Saharan African countries </w:t>
      </w:r>
      <w:r w:rsidR="00F77DBC" w:rsidRPr="00E45E57">
        <w:rPr>
          <w:rFonts w:ascii="Times New Roman" w:hAnsi="Times New Roman" w:cs="Times New Roman"/>
          <w:color w:val="000000" w:themeColor="text1"/>
          <w:sz w:val="28"/>
          <w:szCs w:val="28"/>
          <w:lang w:val="en-US"/>
        </w:rPr>
        <w:t>(see</w:t>
      </w:r>
      <w:r w:rsidRPr="00E45E57">
        <w:rPr>
          <w:rFonts w:ascii="Times New Roman" w:hAnsi="Times New Roman" w:cs="Times New Roman"/>
          <w:color w:val="000000" w:themeColor="text1"/>
          <w:sz w:val="28"/>
          <w:szCs w:val="28"/>
          <w:lang w:val="en-US"/>
        </w:rPr>
        <w:t xml:space="preserve"> also</w:t>
      </w:r>
      <w:r w:rsidR="00F77DBC" w:rsidRPr="00E45E57">
        <w:rPr>
          <w:rFonts w:ascii="Times New Roman" w:hAnsi="Times New Roman" w:cs="Times New Roman"/>
          <w:color w:val="000000" w:themeColor="text1"/>
          <w:sz w:val="28"/>
          <w:szCs w:val="28"/>
          <w:lang w:val="en-US"/>
        </w:rPr>
        <w:t xml:space="preserve"> Shapiro, </w:t>
      </w:r>
      <w:proofErr w:type="spellStart"/>
      <w:r w:rsidR="00F77DBC" w:rsidRPr="00E45E57">
        <w:rPr>
          <w:rFonts w:ascii="Times New Roman" w:hAnsi="Times New Roman" w:cs="Times New Roman"/>
          <w:color w:val="000000" w:themeColor="text1"/>
          <w:sz w:val="28"/>
          <w:szCs w:val="28"/>
          <w:lang w:val="en-US"/>
        </w:rPr>
        <w:t>Gebreselassie</w:t>
      </w:r>
      <w:proofErr w:type="spellEnd"/>
      <w:r w:rsidR="00F77DBC" w:rsidRPr="00E45E57">
        <w:rPr>
          <w:rFonts w:ascii="Times New Roman" w:hAnsi="Times New Roman" w:cs="Times New Roman"/>
          <w:color w:val="000000" w:themeColor="text1"/>
          <w:sz w:val="28"/>
          <w:szCs w:val="28"/>
          <w:lang w:val="en-US"/>
        </w:rPr>
        <w:t xml:space="preserve"> 2008; </w:t>
      </w:r>
      <w:proofErr w:type="spellStart"/>
      <w:r w:rsidR="00F77DBC" w:rsidRPr="00E45E57">
        <w:rPr>
          <w:rFonts w:ascii="Times New Roman" w:hAnsi="Times New Roman" w:cs="Times New Roman"/>
          <w:bCs/>
          <w:color w:val="000000" w:themeColor="text1"/>
          <w:sz w:val="28"/>
          <w:szCs w:val="28"/>
          <w:lang w:val="en-US"/>
        </w:rPr>
        <w:t>Kreider</w:t>
      </w:r>
      <w:proofErr w:type="spellEnd"/>
      <w:r w:rsidR="00F77DBC" w:rsidRPr="00E45E57">
        <w:rPr>
          <w:rFonts w:ascii="Times New Roman" w:hAnsi="Times New Roman" w:cs="Times New Roman"/>
          <w:bCs/>
          <w:color w:val="000000" w:themeColor="text1"/>
          <w:sz w:val="28"/>
          <w:szCs w:val="28"/>
          <w:lang w:val="en-US"/>
        </w:rPr>
        <w:t xml:space="preserve">, Shapiro </w:t>
      </w:r>
      <w:r w:rsidR="00F77DBC" w:rsidRPr="00E45E57">
        <w:rPr>
          <w:rFonts w:ascii="Times New Roman" w:hAnsi="Times New Roman" w:cs="Times New Roman"/>
          <w:bCs/>
          <w:i/>
          <w:color w:val="000000" w:themeColor="text1"/>
          <w:sz w:val="28"/>
          <w:szCs w:val="28"/>
          <w:lang w:val="en-US"/>
        </w:rPr>
        <w:t>et al.</w:t>
      </w:r>
      <w:r w:rsidR="00F77DBC" w:rsidRPr="00E45E57">
        <w:rPr>
          <w:rFonts w:ascii="Times New Roman" w:hAnsi="Times New Roman" w:cs="Times New Roman"/>
          <w:bCs/>
          <w:color w:val="000000" w:themeColor="text1"/>
          <w:sz w:val="28"/>
          <w:szCs w:val="28"/>
          <w:lang w:val="en-US"/>
        </w:rPr>
        <w:t xml:space="preserve"> 2009; </w:t>
      </w:r>
      <w:proofErr w:type="spellStart"/>
      <w:r w:rsidR="00F77DBC" w:rsidRPr="00E45E57">
        <w:rPr>
          <w:rFonts w:ascii="Times New Roman" w:hAnsi="Times New Roman" w:cs="Times New Roman"/>
          <w:color w:val="000000" w:themeColor="text1"/>
          <w:sz w:val="28"/>
          <w:szCs w:val="28"/>
          <w:lang w:val="en-US"/>
        </w:rPr>
        <w:t>Ezeh</w:t>
      </w:r>
      <w:proofErr w:type="spellEnd"/>
      <w:r w:rsidR="00F77DBC" w:rsidRPr="00E45E57">
        <w:rPr>
          <w:rFonts w:ascii="Times New Roman" w:hAnsi="Times New Roman" w:cs="Times New Roman"/>
          <w:color w:val="000000" w:themeColor="text1"/>
          <w:sz w:val="28"/>
          <w:szCs w:val="28"/>
          <w:lang w:val="en-US"/>
        </w:rPr>
        <w:t xml:space="preserve">, </w:t>
      </w:r>
      <w:proofErr w:type="spellStart"/>
      <w:r w:rsidR="009968C3" w:rsidRPr="00E45E57">
        <w:rPr>
          <w:rFonts w:ascii="Times New Roman" w:hAnsi="Times New Roman" w:cs="Times New Roman"/>
          <w:color w:val="000000" w:themeColor="text1"/>
          <w:sz w:val="28"/>
          <w:szCs w:val="28"/>
          <w:lang w:val="en-US"/>
        </w:rPr>
        <w:t>Mberu</w:t>
      </w:r>
      <w:proofErr w:type="spellEnd"/>
      <w:r w:rsidR="009968C3" w:rsidRPr="00E45E57">
        <w:rPr>
          <w:rFonts w:ascii="Times New Roman" w:hAnsi="Times New Roman" w:cs="Times New Roman"/>
          <w:color w:val="000000" w:themeColor="text1"/>
          <w:sz w:val="28"/>
          <w:szCs w:val="28"/>
          <w:lang w:val="en-US"/>
        </w:rPr>
        <w:t xml:space="preserve">, </w:t>
      </w:r>
      <w:proofErr w:type="spellStart"/>
      <w:r w:rsidR="009968C3" w:rsidRPr="00E45E57">
        <w:rPr>
          <w:rFonts w:ascii="Times New Roman" w:hAnsi="Times New Roman" w:cs="Times New Roman"/>
          <w:color w:val="000000" w:themeColor="text1"/>
          <w:sz w:val="28"/>
          <w:szCs w:val="28"/>
          <w:lang w:val="en-US"/>
        </w:rPr>
        <w:t>Emina</w:t>
      </w:r>
      <w:proofErr w:type="spellEnd"/>
      <w:r w:rsidR="009968C3" w:rsidRPr="00E45E57">
        <w:rPr>
          <w:rFonts w:ascii="Times New Roman" w:hAnsi="Times New Roman" w:cs="Times New Roman"/>
          <w:color w:val="000000" w:themeColor="text1"/>
          <w:sz w:val="28"/>
          <w:szCs w:val="28"/>
          <w:lang w:val="en-US"/>
        </w:rPr>
        <w:t xml:space="preserve"> 2009). </w:t>
      </w:r>
      <w:r w:rsidR="0031375C" w:rsidRPr="00E45E57">
        <w:rPr>
          <w:rFonts w:ascii="Times New Roman" w:hAnsi="Times New Roman" w:cs="Times New Roman"/>
          <w:sz w:val="28"/>
          <w:szCs w:val="28"/>
          <w:lang w:val="en-US"/>
        </w:rPr>
        <w:t xml:space="preserve">In many </w:t>
      </w:r>
      <w:r w:rsidR="009968C3" w:rsidRPr="00E45E57">
        <w:rPr>
          <w:rFonts w:ascii="Times New Roman" w:hAnsi="Times New Roman" w:cs="Times New Roman"/>
          <w:sz w:val="28"/>
          <w:szCs w:val="28"/>
          <w:lang w:val="en-US"/>
        </w:rPr>
        <w:t>countries of the region</w:t>
      </w:r>
      <w:r w:rsidR="0031375C" w:rsidRPr="00E45E57">
        <w:rPr>
          <w:rFonts w:ascii="Times New Roman" w:hAnsi="Times New Roman" w:cs="Times New Roman"/>
          <w:sz w:val="28"/>
          <w:szCs w:val="28"/>
          <w:lang w:val="en-US"/>
        </w:rPr>
        <w:t>, fertility is still stalled or even rising</w:t>
      </w:r>
      <w:r w:rsidR="009968C3" w:rsidRPr="00E45E57">
        <w:rPr>
          <w:rFonts w:ascii="Times New Roman" w:hAnsi="Times New Roman" w:cs="Times New Roman"/>
          <w:sz w:val="28"/>
          <w:szCs w:val="28"/>
          <w:lang w:val="en-US"/>
        </w:rPr>
        <w:t>:</w:t>
      </w:r>
      <w:r w:rsidR="0031375C" w:rsidRPr="00E45E57">
        <w:rPr>
          <w:rFonts w:ascii="Times New Roman" w:hAnsi="Times New Roman" w:cs="Times New Roman"/>
          <w:sz w:val="28"/>
          <w:szCs w:val="28"/>
          <w:lang w:val="en-US"/>
        </w:rPr>
        <w:t xml:space="preserve"> </w:t>
      </w:r>
      <w:r w:rsidR="00F77DBC" w:rsidRPr="00E45E57">
        <w:rPr>
          <w:rFonts w:ascii="Times New Roman" w:hAnsi="Times New Roman" w:cs="Times New Roman"/>
          <w:color w:val="000000" w:themeColor="text1"/>
          <w:sz w:val="28"/>
          <w:szCs w:val="28"/>
          <w:lang w:val="en-US"/>
        </w:rPr>
        <w:t>“</w:t>
      </w:r>
      <w:r w:rsidR="00F77DBC" w:rsidRPr="00E45E57">
        <w:rPr>
          <w:rFonts w:ascii="Times New Roman" w:hAnsi="Times New Roman" w:cs="Times New Roman"/>
          <w:sz w:val="28"/>
          <w:szCs w:val="28"/>
          <w:lang w:val="en-US"/>
        </w:rPr>
        <w:t>the estimated TFR</w:t>
      </w:r>
      <w:r w:rsidR="00F50B65">
        <w:rPr>
          <w:rStyle w:val="a8"/>
          <w:rFonts w:ascii="Times New Roman" w:hAnsi="Times New Roman" w:cs="Times New Roman"/>
          <w:sz w:val="28"/>
          <w:szCs w:val="28"/>
          <w:lang w:val="en-US"/>
        </w:rPr>
        <w:footnoteReference w:id="2"/>
      </w:r>
      <w:r w:rsidR="00F77DBC" w:rsidRPr="00E45E57">
        <w:rPr>
          <w:rFonts w:ascii="Times New Roman" w:hAnsi="Times New Roman" w:cs="Times New Roman"/>
          <w:sz w:val="28"/>
          <w:szCs w:val="28"/>
          <w:lang w:val="en-US"/>
        </w:rPr>
        <w:t xml:space="preserve"> was unchanged or rose between the two most recent surveys in 9 of the 20 African countries where fertility had already fallen by at least 10 percent” (</w:t>
      </w:r>
      <w:proofErr w:type="spellStart"/>
      <w:r w:rsidR="00F77DBC" w:rsidRPr="00E45E57">
        <w:rPr>
          <w:rFonts w:ascii="Times New Roman" w:hAnsi="Times New Roman" w:cs="Times New Roman"/>
          <w:sz w:val="28"/>
          <w:szCs w:val="28"/>
          <w:lang w:val="en-US"/>
        </w:rPr>
        <w:t>Bongaarts</w:t>
      </w:r>
      <w:proofErr w:type="spellEnd"/>
      <w:r w:rsidR="00F77DBC" w:rsidRPr="00E45E57">
        <w:rPr>
          <w:rFonts w:ascii="Times New Roman" w:hAnsi="Times New Roman" w:cs="Times New Roman"/>
          <w:sz w:val="28"/>
          <w:szCs w:val="28"/>
          <w:lang w:val="en-US"/>
        </w:rPr>
        <w:t xml:space="preserve">, </w:t>
      </w:r>
      <w:proofErr w:type="spellStart"/>
      <w:r w:rsidR="00F77DBC" w:rsidRPr="00E45E57">
        <w:rPr>
          <w:rFonts w:ascii="Times New Roman" w:hAnsi="Times New Roman" w:cs="Times New Roman"/>
          <w:sz w:val="28"/>
          <w:szCs w:val="28"/>
          <w:lang w:val="en-US"/>
        </w:rPr>
        <w:t>Casterline</w:t>
      </w:r>
      <w:proofErr w:type="spellEnd"/>
      <w:r w:rsidR="00F77DBC" w:rsidRPr="00E45E57">
        <w:rPr>
          <w:rFonts w:ascii="Times New Roman" w:hAnsi="Times New Roman" w:cs="Times New Roman"/>
          <w:sz w:val="28"/>
          <w:szCs w:val="28"/>
          <w:lang w:val="en-US"/>
        </w:rPr>
        <w:t xml:space="preserve"> 2012: 155).</w:t>
      </w:r>
    </w:p>
    <w:p w:rsidR="00FE4453" w:rsidRPr="00E45E57" w:rsidRDefault="009B24BF" w:rsidP="00E45E57">
      <w:pPr>
        <w:autoSpaceDE w:val="0"/>
        <w:autoSpaceDN w:val="0"/>
        <w:adjustRightInd w:val="0"/>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The decade-long (or even longer) absence of fertility decline with TFR stalled at 5 or more children per woman</w:t>
      </w:r>
      <w:r w:rsidR="00350DE6" w:rsidRPr="00E45E57">
        <w:rPr>
          <w:rFonts w:ascii="Times New Roman" w:hAnsi="Times New Roman" w:cs="Times New Roman"/>
          <w:sz w:val="28"/>
          <w:szCs w:val="28"/>
          <w:lang w:val="en-US"/>
        </w:rPr>
        <w:t xml:space="preserve"> engendered a colossal demographic inertia, which</w:t>
      </w:r>
      <w:r w:rsidRPr="00E45E57">
        <w:rPr>
          <w:rFonts w:ascii="Times New Roman" w:hAnsi="Times New Roman" w:cs="Times New Roman"/>
          <w:sz w:val="28"/>
          <w:szCs w:val="28"/>
          <w:lang w:val="en-US"/>
        </w:rPr>
        <w:t xml:space="preserve"> led the UN Population Division to significantly increase their population projections for many African countries (see Fig. 1). </w:t>
      </w:r>
    </w:p>
    <w:p w:rsidR="00FE4453" w:rsidRPr="00E45E57" w:rsidRDefault="00FE4453" w:rsidP="00E45E57">
      <w:pPr>
        <w:autoSpaceDE w:val="0"/>
        <w:autoSpaceDN w:val="0"/>
        <w:adjustRightInd w:val="0"/>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color w:val="000000" w:themeColor="text1"/>
          <w:sz w:val="28"/>
          <w:szCs w:val="28"/>
          <w:lang w:val="en-US"/>
        </w:rPr>
        <w:lastRenderedPageBreak/>
        <w:t xml:space="preserve">Here it is reasonable to describe in some more detail the method used by the UN Population Division for producing population projections. Basically, it is a deterministic method based the cohort component projection or Leslie matrix method, quite “classic” in demographic forecasting. As regards projecting the fertility dynamics, the experts presume that all countries follow the same general pattern of fertility transition, with the pace of decline reaching its peak </w:t>
      </w:r>
      <w:r w:rsidRPr="00E45E57">
        <w:rPr>
          <w:rFonts w:ascii="Times New Roman" w:hAnsi="Times New Roman" w:cs="Times New Roman"/>
          <w:sz w:val="28"/>
          <w:szCs w:val="28"/>
          <w:lang w:val="en-US"/>
        </w:rPr>
        <w:t xml:space="preserve">about half way through the transition; the TFR is held constant once it reaches 1.85 children. The specific parameters to be used for each given country (such as the exact pace of transition) are chosen by the UN analyst for that country from a list of three pre-determined patterns. High and low variants are produced by increasing or decreasing the total fertility rate in each future period by 0.5 children per woman (for a full description see </w:t>
      </w:r>
      <w:proofErr w:type="spellStart"/>
      <w:r w:rsidRPr="00E45E57">
        <w:rPr>
          <w:rFonts w:ascii="Times New Roman" w:hAnsi="Times New Roman" w:cs="Times New Roman"/>
          <w:color w:val="000000" w:themeColor="text1"/>
          <w:sz w:val="28"/>
          <w:szCs w:val="28"/>
          <w:lang w:val="en-US"/>
        </w:rPr>
        <w:t>Raftery</w:t>
      </w:r>
      <w:proofErr w:type="spellEnd"/>
      <w:r w:rsidRPr="00E45E57">
        <w:rPr>
          <w:rFonts w:ascii="Times New Roman" w:hAnsi="Times New Roman" w:cs="Times New Roman"/>
          <w:color w:val="000000" w:themeColor="text1"/>
          <w:sz w:val="28"/>
          <w:szCs w:val="28"/>
          <w:lang w:val="en-US"/>
        </w:rPr>
        <w:t xml:space="preserve">, </w:t>
      </w:r>
      <w:proofErr w:type="spellStart"/>
      <w:r w:rsidRPr="00E45E57">
        <w:rPr>
          <w:rFonts w:ascii="Times New Roman" w:hAnsi="Times New Roman" w:cs="Times New Roman"/>
          <w:color w:val="000000" w:themeColor="text1"/>
          <w:sz w:val="28"/>
          <w:szCs w:val="28"/>
          <w:lang w:val="en-US"/>
        </w:rPr>
        <w:t>Alkema</w:t>
      </w:r>
      <w:proofErr w:type="spellEnd"/>
      <w:r w:rsidRPr="00E45E57">
        <w:rPr>
          <w:rFonts w:ascii="Times New Roman" w:hAnsi="Times New Roman" w:cs="Times New Roman"/>
          <w:color w:val="000000" w:themeColor="text1"/>
          <w:sz w:val="28"/>
          <w:szCs w:val="28"/>
          <w:lang w:val="en-US"/>
        </w:rPr>
        <w:t xml:space="preserve">, </w:t>
      </w:r>
      <w:proofErr w:type="spellStart"/>
      <w:r w:rsidRPr="00E45E57">
        <w:rPr>
          <w:rFonts w:ascii="Times New Roman" w:hAnsi="Times New Roman" w:cs="Times New Roman"/>
          <w:color w:val="000000" w:themeColor="text1"/>
          <w:sz w:val="28"/>
          <w:szCs w:val="28"/>
          <w:lang w:val="en-US"/>
        </w:rPr>
        <w:t>Gerland</w:t>
      </w:r>
      <w:proofErr w:type="spellEnd"/>
      <w:r w:rsidRPr="00E45E57">
        <w:rPr>
          <w:rFonts w:ascii="Times New Roman" w:hAnsi="Times New Roman" w:cs="Times New Roman"/>
          <w:color w:val="000000" w:themeColor="text1"/>
          <w:sz w:val="28"/>
          <w:szCs w:val="28"/>
          <w:lang w:val="en-US"/>
        </w:rPr>
        <w:t xml:space="preserve"> 2014</w:t>
      </w:r>
      <w:r w:rsidRPr="00E45E57">
        <w:rPr>
          <w:rFonts w:ascii="Times New Roman" w:hAnsi="Times New Roman" w:cs="Times New Roman"/>
          <w:sz w:val="28"/>
          <w:szCs w:val="28"/>
          <w:lang w:val="en-US"/>
        </w:rPr>
        <w:t>).</w:t>
      </w:r>
    </w:p>
    <w:p w:rsidR="00B570E4" w:rsidRPr="00E45E57" w:rsidRDefault="00B570E4" w:rsidP="00E45E57">
      <w:pPr>
        <w:spacing w:after="0" w:line="360" w:lineRule="auto"/>
        <w:ind w:firstLine="567"/>
        <w:jc w:val="both"/>
        <w:rPr>
          <w:rFonts w:ascii="Times New Roman" w:hAnsi="Times New Roman" w:cs="Times New Roman"/>
          <w:color w:val="000000" w:themeColor="text1"/>
          <w:sz w:val="28"/>
          <w:szCs w:val="28"/>
          <w:lang w:val="en-US"/>
        </w:rPr>
      </w:pPr>
      <w:r w:rsidRPr="00E45E57">
        <w:rPr>
          <w:rFonts w:ascii="Times New Roman" w:hAnsi="Times New Roman" w:cs="Times New Roman"/>
          <w:sz w:val="28"/>
          <w:szCs w:val="28"/>
          <w:lang w:val="en-US"/>
        </w:rPr>
        <w:t xml:space="preserve">According to the 2013 series of “medium” population projections by the UN Population Division, the population of such relatively middle-sized East African countries as Kenya and Uganda will exceed the population of Russia in the second half of the century. Tanzania will reach Russia in terms of population by 2050 and is projected to have twice the Russian population by 2100. Nigeria’s population will be five times bigger than the current population of Russia by the end of the century (UN Population Division 2013). </w:t>
      </w:r>
      <w:r w:rsidRPr="00E45E57">
        <w:rPr>
          <w:rFonts w:ascii="Times New Roman" w:hAnsi="Times New Roman" w:cs="Times New Roman"/>
          <w:color w:val="000000" w:themeColor="text1"/>
          <w:sz w:val="28"/>
          <w:szCs w:val="28"/>
          <w:lang w:val="en-US"/>
        </w:rPr>
        <w:t>Population increase from the current level forecasted by the UN Population Division in Sub-Saharan countries by 2050 and 2100 is</w:t>
      </w:r>
      <w:r w:rsidR="00BB092A" w:rsidRPr="00E45E57">
        <w:rPr>
          <w:rFonts w:ascii="Times New Roman" w:hAnsi="Times New Roman" w:cs="Times New Roman"/>
          <w:color w:val="000000" w:themeColor="text1"/>
          <w:sz w:val="28"/>
          <w:szCs w:val="28"/>
          <w:lang w:val="en-US"/>
        </w:rPr>
        <w:t xml:space="preserve"> presented in Figs 2</w:t>
      </w:r>
      <w:r w:rsidRPr="00E45E57">
        <w:rPr>
          <w:rFonts w:ascii="Times New Roman" w:hAnsi="Times New Roman" w:cs="Times New Roman"/>
          <w:color w:val="000000" w:themeColor="text1"/>
          <w:sz w:val="28"/>
          <w:szCs w:val="28"/>
          <w:lang w:val="en-US"/>
        </w:rPr>
        <w:t xml:space="preserve"> and </w:t>
      </w:r>
      <w:r w:rsidR="00BB092A" w:rsidRPr="00E45E57">
        <w:rPr>
          <w:rFonts w:ascii="Times New Roman" w:hAnsi="Times New Roman" w:cs="Times New Roman"/>
          <w:color w:val="000000" w:themeColor="text1"/>
          <w:sz w:val="28"/>
          <w:szCs w:val="28"/>
          <w:lang w:val="en-US"/>
        </w:rPr>
        <w:t>3</w:t>
      </w:r>
      <w:r w:rsidRPr="00E45E57">
        <w:rPr>
          <w:rFonts w:ascii="Times New Roman" w:hAnsi="Times New Roman" w:cs="Times New Roman"/>
          <w:color w:val="000000" w:themeColor="text1"/>
          <w:sz w:val="28"/>
          <w:szCs w:val="28"/>
          <w:lang w:val="en-US"/>
        </w:rPr>
        <w:t>. It should be emphasized that</w:t>
      </w:r>
      <w:r w:rsidRPr="00E45E57">
        <w:rPr>
          <w:rFonts w:ascii="Times New Roman" w:hAnsi="Times New Roman" w:cs="Times New Roman"/>
          <w:sz w:val="28"/>
          <w:szCs w:val="28"/>
          <w:lang w:val="en-US"/>
        </w:rPr>
        <w:t xml:space="preserve"> medium UN forecast is in no way inertial – in other words, it is not based on a simple continuation of the current demographic trends. On the contrary, it implies a very significant acceleration in fertility decline as compared to the recent years</w:t>
      </w:r>
      <w:r w:rsidRPr="00E45E57">
        <w:rPr>
          <w:rFonts w:ascii="Times New Roman" w:hAnsi="Times New Roman" w:cs="Times New Roman"/>
          <w:color w:val="000000" w:themeColor="text1"/>
          <w:sz w:val="28"/>
          <w:szCs w:val="28"/>
          <w:lang w:val="en-US"/>
        </w:rPr>
        <w:t xml:space="preserve">. </w:t>
      </w:r>
    </w:p>
    <w:p w:rsidR="00B570E4" w:rsidRPr="00E45E57" w:rsidRDefault="00B570E4" w:rsidP="00E45E57">
      <w:pPr>
        <w:autoSpaceDE w:val="0"/>
        <w:autoSpaceDN w:val="0"/>
        <w:adjustRightInd w:val="0"/>
        <w:spacing w:after="0" w:line="360" w:lineRule="auto"/>
        <w:ind w:firstLine="567"/>
        <w:jc w:val="both"/>
        <w:rPr>
          <w:rFonts w:ascii="Times New Roman" w:hAnsi="Times New Roman" w:cs="Times New Roman"/>
          <w:sz w:val="28"/>
          <w:szCs w:val="28"/>
          <w:lang w:val="en-US"/>
        </w:rPr>
      </w:pPr>
    </w:p>
    <w:p w:rsidR="00FE4453" w:rsidRPr="00E45E57" w:rsidRDefault="00FE4453" w:rsidP="00E45E57">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en-US"/>
        </w:rPr>
      </w:pPr>
    </w:p>
    <w:p w:rsidR="009B24BF" w:rsidRPr="00E45E57" w:rsidRDefault="009B24BF" w:rsidP="00E45E57">
      <w:pPr>
        <w:autoSpaceDE w:val="0"/>
        <w:autoSpaceDN w:val="0"/>
        <w:adjustRightInd w:val="0"/>
        <w:spacing w:after="0" w:line="360" w:lineRule="auto"/>
        <w:ind w:firstLine="567"/>
        <w:jc w:val="both"/>
        <w:rPr>
          <w:rFonts w:ascii="Times New Roman" w:hAnsi="Times New Roman" w:cs="Times New Roman"/>
          <w:sz w:val="28"/>
          <w:szCs w:val="28"/>
          <w:lang w:val="en-US"/>
        </w:rPr>
      </w:pPr>
    </w:p>
    <w:p w:rsidR="00CF33D9" w:rsidRPr="00E45E57" w:rsidRDefault="00CF33D9" w:rsidP="00E45E57">
      <w:pPr>
        <w:pStyle w:val="22"/>
        <w:spacing w:after="0" w:line="360" w:lineRule="auto"/>
        <w:ind w:left="0" w:firstLine="567"/>
        <w:jc w:val="both"/>
        <w:rPr>
          <w:b/>
          <w:sz w:val="28"/>
          <w:szCs w:val="28"/>
        </w:rPr>
      </w:pPr>
    </w:p>
    <w:p w:rsidR="002F0B79" w:rsidRPr="00E45E57" w:rsidRDefault="002F0B79" w:rsidP="00E45E57">
      <w:pPr>
        <w:spacing w:after="0" w:line="360" w:lineRule="auto"/>
        <w:ind w:firstLine="567"/>
        <w:rPr>
          <w:rFonts w:ascii="Times New Roman" w:eastAsia="Times New Roman" w:hAnsi="Times New Roman" w:cs="Times New Roman"/>
          <w:sz w:val="28"/>
          <w:szCs w:val="28"/>
          <w:lang w:val="en-US" w:eastAsia="ar-SA"/>
        </w:rPr>
      </w:pPr>
      <w:r w:rsidRPr="00E45E57">
        <w:rPr>
          <w:rFonts w:ascii="Times New Roman" w:hAnsi="Times New Roman" w:cs="Times New Roman"/>
          <w:sz w:val="28"/>
          <w:szCs w:val="28"/>
          <w:lang w:val="en-US"/>
        </w:rPr>
        <w:br w:type="page"/>
      </w:r>
    </w:p>
    <w:p w:rsidR="009B24BF" w:rsidRPr="00E45E57" w:rsidRDefault="002F0B79" w:rsidP="00361A73">
      <w:pPr>
        <w:pStyle w:val="22"/>
        <w:spacing w:after="0" w:line="360" w:lineRule="auto"/>
        <w:ind w:left="0"/>
        <w:jc w:val="both"/>
        <w:rPr>
          <w:sz w:val="28"/>
          <w:szCs w:val="28"/>
        </w:rPr>
      </w:pPr>
      <w:proofErr w:type="gramStart"/>
      <w:r w:rsidRPr="00E45E57">
        <w:rPr>
          <w:sz w:val="28"/>
          <w:szCs w:val="28"/>
        </w:rPr>
        <w:lastRenderedPageBreak/>
        <w:t>Fig.</w:t>
      </w:r>
      <w:r w:rsidR="009B24BF" w:rsidRPr="00E45E57">
        <w:rPr>
          <w:sz w:val="28"/>
          <w:szCs w:val="28"/>
        </w:rPr>
        <w:t> 1.</w:t>
      </w:r>
      <w:proofErr w:type="gramEnd"/>
      <w:r w:rsidR="009B24BF" w:rsidRPr="00E45E57">
        <w:rPr>
          <w:sz w:val="28"/>
          <w:szCs w:val="28"/>
        </w:rPr>
        <w:t xml:space="preserve"> Comparison of the population projections (as calculated by UN Population Division in 2000 and 2012) for some African countries (thousands of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4771"/>
      </w:tblGrid>
      <w:tr w:rsidR="009B24BF" w:rsidRPr="00E45E57" w:rsidTr="00CF33D9">
        <w:tc>
          <w:tcPr>
            <w:tcW w:w="4686" w:type="dxa"/>
          </w:tcPr>
          <w:p w:rsidR="009B24BF" w:rsidRPr="00E45E57" w:rsidRDefault="009B24BF" w:rsidP="00361A73">
            <w:pPr>
              <w:pStyle w:val="22"/>
              <w:spacing w:after="0" w:line="360" w:lineRule="auto"/>
              <w:ind w:left="0"/>
              <w:jc w:val="both"/>
              <w:rPr>
                <w:b/>
                <w:sz w:val="28"/>
                <w:szCs w:val="28"/>
              </w:rPr>
            </w:pPr>
            <w:r w:rsidRPr="00E45E57">
              <w:rPr>
                <w:sz w:val="28"/>
                <w:szCs w:val="28"/>
              </w:rPr>
              <w:br w:type="page"/>
            </w:r>
            <w:r w:rsidRPr="00E45E57">
              <w:rPr>
                <w:b/>
                <w:sz w:val="28"/>
                <w:szCs w:val="28"/>
              </w:rPr>
              <w:t>Nigeria</w:t>
            </w:r>
          </w:p>
        </w:tc>
        <w:tc>
          <w:tcPr>
            <w:tcW w:w="4659" w:type="dxa"/>
          </w:tcPr>
          <w:p w:rsidR="009B24BF" w:rsidRPr="00E45E57" w:rsidRDefault="009B24BF" w:rsidP="00361A73">
            <w:pPr>
              <w:pStyle w:val="22"/>
              <w:spacing w:after="0" w:line="360" w:lineRule="auto"/>
              <w:ind w:left="0"/>
              <w:jc w:val="both"/>
              <w:rPr>
                <w:b/>
                <w:sz w:val="28"/>
                <w:szCs w:val="28"/>
              </w:rPr>
            </w:pPr>
            <w:r w:rsidRPr="00E45E57">
              <w:rPr>
                <w:b/>
                <w:sz w:val="28"/>
                <w:szCs w:val="28"/>
              </w:rPr>
              <w:t>Tanzania</w:t>
            </w:r>
          </w:p>
        </w:tc>
      </w:tr>
      <w:tr w:rsidR="009B24BF" w:rsidRPr="00E45E57" w:rsidTr="00CF33D9">
        <w:tc>
          <w:tcPr>
            <w:tcW w:w="4686" w:type="dxa"/>
          </w:tcPr>
          <w:p w:rsidR="009B24BF" w:rsidRPr="00E45E57" w:rsidRDefault="009B24BF" w:rsidP="00361A73">
            <w:pPr>
              <w:pStyle w:val="22"/>
              <w:spacing w:after="0" w:line="360" w:lineRule="auto"/>
              <w:ind w:left="0"/>
              <w:jc w:val="both"/>
              <w:rPr>
                <w:sz w:val="28"/>
                <w:szCs w:val="28"/>
                <w:lang w:val="ru-RU"/>
              </w:rPr>
            </w:pPr>
            <w:r w:rsidRPr="00E45E57">
              <w:rPr>
                <w:noProof/>
                <w:sz w:val="28"/>
                <w:szCs w:val="28"/>
                <w:lang w:val="ru-RU" w:eastAsia="ru-RU"/>
              </w:rPr>
              <w:drawing>
                <wp:inline distT="0" distB="0" distL="0" distR="0" wp14:anchorId="6912A074" wp14:editId="0AA2662C">
                  <wp:extent cx="3048000" cy="2952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59" w:type="dxa"/>
          </w:tcPr>
          <w:p w:rsidR="009B24BF" w:rsidRPr="00E45E57" w:rsidRDefault="009B24BF" w:rsidP="00361A73">
            <w:pPr>
              <w:pStyle w:val="22"/>
              <w:spacing w:after="0" w:line="360" w:lineRule="auto"/>
              <w:ind w:left="0"/>
              <w:jc w:val="both"/>
              <w:rPr>
                <w:sz w:val="28"/>
                <w:szCs w:val="28"/>
                <w:lang w:val="ru-RU"/>
              </w:rPr>
            </w:pPr>
            <w:r w:rsidRPr="00E45E57">
              <w:rPr>
                <w:noProof/>
                <w:sz w:val="28"/>
                <w:szCs w:val="28"/>
                <w:lang w:val="ru-RU" w:eastAsia="ru-RU"/>
              </w:rPr>
              <w:drawing>
                <wp:inline distT="0" distB="0" distL="0" distR="0" wp14:anchorId="13366C45" wp14:editId="29E45514">
                  <wp:extent cx="3048000" cy="2971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B24BF" w:rsidRPr="00E45E57" w:rsidTr="00CF33D9">
        <w:tc>
          <w:tcPr>
            <w:tcW w:w="4686" w:type="dxa"/>
          </w:tcPr>
          <w:p w:rsidR="009B24BF" w:rsidRPr="00E45E57" w:rsidRDefault="009B24BF" w:rsidP="00361A73">
            <w:pPr>
              <w:pStyle w:val="22"/>
              <w:spacing w:after="0" w:line="360" w:lineRule="auto"/>
              <w:ind w:left="0"/>
              <w:jc w:val="both"/>
              <w:rPr>
                <w:b/>
                <w:sz w:val="28"/>
                <w:szCs w:val="28"/>
                <w:lang w:val="ru-RU"/>
              </w:rPr>
            </w:pPr>
            <w:r w:rsidRPr="00E45E57">
              <w:rPr>
                <w:b/>
                <w:sz w:val="28"/>
                <w:szCs w:val="28"/>
              </w:rPr>
              <w:t>Zambia</w:t>
            </w:r>
            <w:r w:rsidRPr="00E45E57">
              <w:rPr>
                <w:b/>
                <w:sz w:val="28"/>
                <w:szCs w:val="28"/>
                <w:lang w:val="ru-RU"/>
              </w:rPr>
              <w:t xml:space="preserve"> </w:t>
            </w:r>
          </w:p>
        </w:tc>
        <w:tc>
          <w:tcPr>
            <w:tcW w:w="4659" w:type="dxa"/>
          </w:tcPr>
          <w:p w:rsidR="009B24BF" w:rsidRPr="00E45E57" w:rsidRDefault="009B24BF" w:rsidP="00361A73">
            <w:pPr>
              <w:pStyle w:val="22"/>
              <w:spacing w:after="0" w:line="360" w:lineRule="auto"/>
              <w:ind w:left="0"/>
              <w:jc w:val="both"/>
              <w:rPr>
                <w:b/>
                <w:sz w:val="28"/>
                <w:szCs w:val="28"/>
              </w:rPr>
            </w:pPr>
            <w:r w:rsidRPr="00E45E57">
              <w:rPr>
                <w:b/>
                <w:sz w:val="28"/>
                <w:szCs w:val="28"/>
              </w:rPr>
              <w:t>Mozambique</w:t>
            </w:r>
          </w:p>
        </w:tc>
      </w:tr>
      <w:tr w:rsidR="009B24BF" w:rsidRPr="00E45E57" w:rsidTr="00CF33D9">
        <w:tc>
          <w:tcPr>
            <w:tcW w:w="4686" w:type="dxa"/>
          </w:tcPr>
          <w:p w:rsidR="009B24BF" w:rsidRPr="00E45E57" w:rsidRDefault="009B24BF" w:rsidP="00361A73">
            <w:pPr>
              <w:pStyle w:val="22"/>
              <w:spacing w:after="0" w:line="360" w:lineRule="auto"/>
              <w:ind w:left="0"/>
              <w:jc w:val="both"/>
              <w:rPr>
                <w:sz w:val="28"/>
                <w:szCs w:val="28"/>
                <w:lang w:val="ru-RU"/>
              </w:rPr>
            </w:pPr>
            <w:r w:rsidRPr="00E45E57">
              <w:rPr>
                <w:noProof/>
                <w:sz w:val="28"/>
                <w:szCs w:val="28"/>
                <w:lang w:val="ru-RU" w:eastAsia="ru-RU"/>
              </w:rPr>
              <w:drawing>
                <wp:inline distT="0" distB="0" distL="0" distR="0" wp14:anchorId="37A0BB14" wp14:editId="2C35CDCD">
                  <wp:extent cx="3064510" cy="3009900"/>
                  <wp:effectExtent l="0" t="0" r="25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59" w:type="dxa"/>
          </w:tcPr>
          <w:p w:rsidR="009B24BF" w:rsidRPr="00E45E57" w:rsidRDefault="009B24BF" w:rsidP="00361A73">
            <w:pPr>
              <w:pStyle w:val="22"/>
              <w:spacing w:after="0" w:line="360" w:lineRule="auto"/>
              <w:ind w:left="0"/>
              <w:jc w:val="both"/>
              <w:rPr>
                <w:sz w:val="28"/>
                <w:szCs w:val="28"/>
                <w:lang w:val="ru-RU"/>
              </w:rPr>
            </w:pPr>
            <w:r w:rsidRPr="00E45E57">
              <w:rPr>
                <w:noProof/>
                <w:sz w:val="28"/>
                <w:szCs w:val="28"/>
                <w:lang w:val="ru-RU" w:eastAsia="ru-RU"/>
              </w:rPr>
              <w:drawing>
                <wp:inline distT="0" distB="0" distL="0" distR="0" wp14:anchorId="2724FBA7" wp14:editId="50D708C3">
                  <wp:extent cx="3048000" cy="3022600"/>
                  <wp:effectExtent l="0" t="0" r="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9B24BF" w:rsidRPr="00E45E57" w:rsidRDefault="009B24BF" w:rsidP="00361A73">
      <w:pPr>
        <w:spacing w:after="0" w:line="360" w:lineRule="auto"/>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Data source</w:t>
      </w:r>
      <w:r w:rsidRPr="00E45E57">
        <w:rPr>
          <w:rFonts w:ascii="Times New Roman" w:hAnsi="Times New Roman" w:cs="Times New Roman"/>
          <w:sz w:val="28"/>
          <w:szCs w:val="28"/>
          <w:lang w:val="fr-FR"/>
        </w:rPr>
        <w:t xml:space="preserve">: UN Population Division 2000, </w:t>
      </w:r>
      <w:r w:rsidRPr="00E45E57">
        <w:rPr>
          <w:rFonts w:ascii="Times New Roman" w:hAnsi="Times New Roman" w:cs="Times New Roman"/>
          <w:sz w:val="28"/>
          <w:szCs w:val="28"/>
          <w:lang w:val="en-US"/>
        </w:rPr>
        <w:t xml:space="preserve">2013. </w:t>
      </w:r>
    </w:p>
    <w:p w:rsidR="00CF33D9" w:rsidRPr="00E45E57" w:rsidRDefault="00CF33D9" w:rsidP="00361A73">
      <w:pPr>
        <w:autoSpaceDE w:val="0"/>
        <w:autoSpaceDN w:val="0"/>
        <w:adjustRightInd w:val="0"/>
        <w:spacing w:after="0" w:line="360" w:lineRule="auto"/>
        <w:jc w:val="both"/>
        <w:rPr>
          <w:rFonts w:ascii="Times New Roman" w:hAnsi="Times New Roman" w:cs="Times New Roman"/>
          <w:b/>
          <w:sz w:val="28"/>
          <w:szCs w:val="28"/>
          <w:lang w:val="en-US"/>
        </w:rPr>
      </w:pPr>
    </w:p>
    <w:p w:rsidR="00604572" w:rsidRPr="00E45E57" w:rsidRDefault="00604572" w:rsidP="00361A73">
      <w:pPr>
        <w:spacing w:after="0" w:line="360" w:lineRule="auto"/>
        <w:ind w:right="-143"/>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br w:type="page"/>
      </w:r>
    </w:p>
    <w:p w:rsidR="00604572" w:rsidRPr="00E45E57" w:rsidRDefault="00A700E3" w:rsidP="00E45E57">
      <w:pPr>
        <w:spacing w:after="0" w:line="360" w:lineRule="auto"/>
        <w:ind w:right="-143" w:firstLine="567"/>
        <w:rPr>
          <w:rFonts w:ascii="Times New Roman" w:hAnsi="Times New Roman" w:cs="Times New Roman"/>
          <w:color w:val="000000" w:themeColor="text1"/>
          <w:sz w:val="28"/>
          <w:szCs w:val="28"/>
          <w:lang w:val="en-US"/>
        </w:rPr>
      </w:pPr>
      <w:proofErr w:type="gramStart"/>
      <w:r w:rsidRPr="00E45E57">
        <w:rPr>
          <w:rFonts w:ascii="Times New Roman" w:hAnsi="Times New Roman" w:cs="Times New Roman"/>
          <w:color w:val="000000" w:themeColor="text1"/>
          <w:sz w:val="28"/>
          <w:szCs w:val="28"/>
          <w:lang w:val="en-US"/>
        </w:rPr>
        <w:lastRenderedPageBreak/>
        <w:t>Fig</w:t>
      </w:r>
      <w:r w:rsidR="00604572" w:rsidRPr="00E45E57">
        <w:rPr>
          <w:rFonts w:ascii="Times New Roman" w:hAnsi="Times New Roman" w:cs="Times New Roman"/>
          <w:color w:val="000000" w:themeColor="text1"/>
          <w:sz w:val="28"/>
          <w:szCs w:val="28"/>
          <w:lang w:val="en-US"/>
        </w:rPr>
        <w:t xml:space="preserve">. </w:t>
      </w:r>
      <w:r w:rsidR="00BB092A" w:rsidRPr="00E45E57">
        <w:rPr>
          <w:rFonts w:ascii="Times New Roman" w:hAnsi="Times New Roman" w:cs="Times New Roman"/>
          <w:color w:val="000000" w:themeColor="text1"/>
          <w:sz w:val="28"/>
          <w:szCs w:val="28"/>
          <w:lang w:val="en-US"/>
        </w:rPr>
        <w:t>2</w:t>
      </w:r>
      <w:r w:rsidR="00604572" w:rsidRPr="00E45E57">
        <w:rPr>
          <w:rFonts w:ascii="Times New Roman" w:hAnsi="Times New Roman" w:cs="Times New Roman"/>
          <w:color w:val="000000" w:themeColor="text1"/>
          <w:sz w:val="28"/>
          <w:szCs w:val="28"/>
          <w:lang w:val="en-US"/>
        </w:rPr>
        <w:t>.</w:t>
      </w:r>
      <w:proofErr w:type="gramEnd"/>
      <w:r w:rsidR="00604572" w:rsidRPr="00E45E57">
        <w:rPr>
          <w:rFonts w:ascii="Times New Roman" w:hAnsi="Times New Roman" w:cs="Times New Roman"/>
          <w:color w:val="000000" w:themeColor="text1"/>
          <w:sz w:val="28"/>
          <w:szCs w:val="28"/>
          <w:lang w:val="en-US"/>
        </w:rPr>
        <w:t xml:space="preserve"> </w:t>
      </w:r>
      <w:r w:rsidRPr="00E45E57">
        <w:rPr>
          <w:rFonts w:ascii="Times New Roman" w:hAnsi="Times New Roman" w:cs="Times New Roman"/>
          <w:color w:val="000000" w:themeColor="text1"/>
          <w:sz w:val="28"/>
          <w:szCs w:val="28"/>
          <w:lang w:val="en-US"/>
        </w:rPr>
        <w:t>Population increase in Sub-Saharan countries forecasted by 2050 according to the medium UN scenario, compared to the current level</w:t>
      </w:r>
      <w:r w:rsidR="007D02F6" w:rsidRPr="00E45E57">
        <w:rPr>
          <w:rFonts w:ascii="Times New Roman" w:hAnsi="Times New Roman" w:cs="Times New Roman"/>
          <w:color w:val="000000" w:themeColor="text1"/>
          <w:sz w:val="28"/>
          <w:szCs w:val="28"/>
          <w:lang w:val="en-US"/>
        </w:rPr>
        <w:t xml:space="preserve"> (= 1</w:t>
      </w:r>
      <w:proofErr w:type="gramStart"/>
      <w:r w:rsidR="007D02F6" w:rsidRPr="00E45E57">
        <w:rPr>
          <w:rFonts w:ascii="Times New Roman" w:hAnsi="Times New Roman" w:cs="Times New Roman"/>
          <w:color w:val="000000" w:themeColor="text1"/>
          <w:sz w:val="28"/>
          <w:szCs w:val="28"/>
          <w:lang w:val="en-US"/>
        </w:rPr>
        <w:t>,00</w:t>
      </w:r>
      <w:proofErr w:type="gramEnd"/>
      <w:r w:rsidR="007D02F6" w:rsidRPr="00E45E57">
        <w:rPr>
          <w:rFonts w:ascii="Times New Roman" w:hAnsi="Times New Roman" w:cs="Times New Roman"/>
          <w:color w:val="000000" w:themeColor="text1"/>
          <w:sz w:val="28"/>
          <w:szCs w:val="28"/>
          <w:lang w:val="en-US"/>
        </w:rPr>
        <w:t>)</w:t>
      </w:r>
      <w:r w:rsidRPr="00E45E57">
        <w:rPr>
          <w:rFonts w:ascii="Times New Roman" w:hAnsi="Times New Roman" w:cs="Times New Roman"/>
          <w:color w:val="000000" w:themeColor="text1"/>
          <w:sz w:val="28"/>
          <w:szCs w:val="28"/>
          <w:lang w:val="en-US"/>
        </w:rPr>
        <w:t xml:space="preserve"> </w:t>
      </w:r>
    </w:p>
    <w:p w:rsidR="00604572" w:rsidRPr="00E45E57" w:rsidRDefault="0099259A" w:rsidP="00361A73">
      <w:pPr>
        <w:spacing w:after="0" w:line="360" w:lineRule="auto"/>
        <w:ind w:right="-143"/>
        <w:rPr>
          <w:rFonts w:ascii="Times New Roman" w:hAnsi="Times New Roman" w:cs="Times New Roman"/>
          <w:color w:val="000000" w:themeColor="text1"/>
          <w:sz w:val="28"/>
          <w:szCs w:val="28"/>
        </w:rPr>
      </w:pPr>
      <w:r w:rsidRPr="00E45E57">
        <w:rPr>
          <w:rFonts w:ascii="Times New Roman" w:hAnsi="Times New Roman" w:cs="Times New Roman"/>
          <w:noProof/>
          <w:color w:val="000000" w:themeColor="text1"/>
          <w:sz w:val="28"/>
          <w:szCs w:val="28"/>
        </w:rPr>
        <w:drawing>
          <wp:inline distT="0" distB="0" distL="0" distR="0">
            <wp:extent cx="5781675" cy="69056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4572" w:rsidRPr="00E45E57" w:rsidRDefault="00A700E3" w:rsidP="00E45E57">
      <w:pPr>
        <w:spacing w:after="0" w:line="360" w:lineRule="auto"/>
        <w:ind w:right="-143" w:firstLine="567"/>
        <w:rPr>
          <w:rFonts w:ascii="Times New Roman" w:hAnsi="Times New Roman" w:cs="Times New Roman"/>
          <w:color w:val="000000" w:themeColor="text1"/>
          <w:sz w:val="28"/>
          <w:szCs w:val="28"/>
          <w:lang w:val="fr-FR"/>
        </w:rPr>
      </w:pPr>
      <w:r w:rsidRPr="00E45E57">
        <w:rPr>
          <w:rFonts w:ascii="Times New Roman" w:hAnsi="Times New Roman" w:cs="Times New Roman"/>
          <w:color w:val="000000" w:themeColor="text1"/>
          <w:sz w:val="28"/>
          <w:szCs w:val="28"/>
          <w:lang w:val="fr-FR"/>
        </w:rPr>
        <w:t>Data source</w:t>
      </w:r>
      <w:r w:rsidR="00BC7B8E" w:rsidRPr="00E45E57">
        <w:rPr>
          <w:rFonts w:ascii="Times New Roman" w:hAnsi="Times New Roman" w:cs="Times New Roman"/>
          <w:color w:val="000000" w:themeColor="text1"/>
          <w:sz w:val="28"/>
          <w:szCs w:val="28"/>
          <w:lang w:val="fr-FR"/>
        </w:rPr>
        <w:t>: UN Population Division</w:t>
      </w:r>
      <w:r w:rsidRPr="00E45E57">
        <w:rPr>
          <w:rFonts w:ascii="Times New Roman" w:hAnsi="Times New Roman" w:cs="Times New Roman"/>
          <w:color w:val="000000" w:themeColor="text1"/>
          <w:sz w:val="28"/>
          <w:szCs w:val="28"/>
          <w:lang w:val="fr-FR"/>
        </w:rPr>
        <w:t xml:space="preserve"> 201</w:t>
      </w:r>
      <w:r w:rsidR="007D02F6" w:rsidRPr="00E45E57">
        <w:rPr>
          <w:rFonts w:ascii="Times New Roman" w:hAnsi="Times New Roman" w:cs="Times New Roman"/>
          <w:color w:val="000000" w:themeColor="text1"/>
          <w:sz w:val="28"/>
          <w:szCs w:val="28"/>
          <w:lang w:val="fr-FR"/>
        </w:rPr>
        <w:t>3</w:t>
      </w:r>
      <w:r w:rsidR="00BC7B8E" w:rsidRPr="00E45E57">
        <w:rPr>
          <w:rFonts w:ascii="Times New Roman" w:hAnsi="Times New Roman" w:cs="Times New Roman"/>
          <w:color w:val="000000" w:themeColor="text1"/>
          <w:sz w:val="28"/>
          <w:szCs w:val="28"/>
          <w:lang w:val="fr-FR"/>
        </w:rPr>
        <w:t>.</w:t>
      </w:r>
      <w:r w:rsidR="00604572" w:rsidRPr="00E45E57">
        <w:rPr>
          <w:rFonts w:ascii="Times New Roman" w:hAnsi="Times New Roman" w:cs="Times New Roman"/>
          <w:color w:val="000000" w:themeColor="text1"/>
          <w:sz w:val="28"/>
          <w:szCs w:val="28"/>
          <w:lang w:val="fr-FR"/>
        </w:rPr>
        <w:br w:type="page"/>
      </w:r>
    </w:p>
    <w:p w:rsidR="00604572" w:rsidRPr="00E45E57" w:rsidRDefault="00A700E3" w:rsidP="00E45E57">
      <w:pPr>
        <w:spacing w:after="0" w:line="360" w:lineRule="auto"/>
        <w:ind w:right="-143" w:firstLine="567"/>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fr-FR"/>
        </w:rPr>
        <w:lastRenderedPageBreak/>
        <w:t xml:space="preserve">Fig. </w:t>
      </w:r>
      <w:r w:rsidR="00BB092A" w:rsidRPr="00E45E57">
        <w:rPr>
          <w:rFonts w:ascii="Times New Roman" w:hAnsi="Times New Roman" w:cs="Times New Roman"/>
          <w:color w:val="000000" w:themeColor="text1"/>
          <w:sz w:val="28"/>
          <w:szCs w:val="28"/>
          <w:lang w:val="fr-FR"/>
        </w:rPr>
        <w:t>3</w:t>
      </w:r>
      <w:r w:rsidRPr="00E45E57">
        <w:rPr>
          <w:rFonts w:ascii="Times New Roman" w:hAnsi="Times New Roman" w:cs="Times New Roman"/>
          <w:color w:val="000000" w:themeColor="text1"/>
          <w:sz w:val="28"/>
          <w:szCs w:val="28"/>
          <w:lang w:val="fr-FR"/>
        </w:rPr>
        <w:t xml:space="preserve">. </w:t>
      </w:r>
      <w:r w:rsidRPr="00E45E57">
        <w:rPr>
          <w:rFonts w:ascii="Times New Roman" w:hAnsi="Times New Roman" w:cs="Times New Roman"/>
          <w:color w:val="000000" w:themeColor="text1"/>
          <w:sz w:val="28"/>
          <w:szCs w:val="28"/>
          <w:lang w:val="en-US"/>
        </w:rPr>
        <w:t>Population increase in Sub-Saharan countries forecasted by 2100 according to the medium UN scenario, compared to the current level</w:t>
      </w:r>
      <w:r w:rsidR="007D02F6" w:rsidRPr="00E45E57">
        <w:rPr>
          <w:rFonts w:ascii="Times New Roman" w:hAnsi="Times New Roman" w:cs="Times New Roman"/>
          <w:color w:val="000000" w:themeColor="text1"/>
          <w:sz w:val="28"/>
          <w:szCs w:val="28"/>
          <w:lang w:val="en-US"/>
        </w:rPr>
        <w:t xml:space="preserve"> (= 1</w:t>
      </w:r>
      <w:proofErr w:type="gramStart"/>
      <w:r w:rsidR="007D02F6" w:rsidRPr="00E45E57">
        <w:rPr>
          <w:rFonts w:ascii="Times New Roman" w:hAnsi="Times New Roman" w:cs="Times New Roman"/>
          <w:color w:val="000000" w:themeColor="text1"/>
          <w:sz w:val="28"/>
          <w:szCs w:val="28"/>
          <w:lang w:val="en-US"/>
        </w:rPr>
        <w:t>,00</w:t>
      </w:r>
      <w:proofErr w:type="gramEnd"/>
      <w:r w:rsidR="007D02F6" w:rsidRPr="00E45E57">
        <w:rPr>
          <w:rFonts w:ascii="Times New Roman" w:hAnsi="Times New Roman" w:cs="Times New Roman"/>
          <w:color w:val="000000" w:themeColor="text1"/>
          <w:sz w:val="28"/>
          <w:szCs w:val="28"/>
          <w:lang w:val="en-US"/>
        </w:rPr>
        <w:t xml:space="preserve">) </w:t>
      </w:r>
    </w:p>
    <w:p w:rsidR="00604572" w:rsidRPr="00E45E57" w:rsidRDefault="0099259A" w:rsidP="00E45E57">
      <w:pPr>
        <w:spacing w:after="0" w:line="360" w:lineRule="auto"/>
        <w:ind w:right="-143" w:firstLine="567"/>
        <w:rPr>
          <w:rFonts w:ascii="Times New Roman" w:hAnsi="Times New Roman" w:cs="Times New Roman"/>
          <w:color w:val="000000" w:themeColor="text1"/>
          <w:sz w:val="28"/>
          <w:szCs w:val="28"/>
        </w:rPr>
      </w:pPr>
      <w:r w:rsidRPr="00E45E57">
        <w:rPr>
          <w:rFonts w:ascii="Times New Roman" w:hAnsi="Times New Roman" w:cs="Times New Roman"/>
          <w:noProof/>
          <w:color w:val="000000" w:themeColor="text1"/>
          <w:sz w:val="28"/>
          <w:szCs w:val="28"/>
        </w:rPr>
        <w:drawing>
          <wp:inline distT="0" distB="0" distL="0" distR="0">
            <wp:extent cx="5734050" cy="661987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7B8E" w:rsidRPr="00E45E57" w:rsidRDefault="00A700E3" w:rsidP="00E45E57">
      <w:pPr>
        <w:autoSpaceDE w:val="0"/>
        <w:autoSpaceDN w:val="0"/>
        <w:adjustRightInd w:val="0"/>
        <w:spacing w:after="0" w:line="360" w:lineRule="auto"/>
        <w:ind w:right="-143" w:firstLine="567"/>
        <w:jc w:val="both"/>
        <w:rPr>
          <w:rFonts w:ascii="Times New Roman" w:hAnsi="Times New Roman" w:cs="Times New Roman"/>
          <w:color w:val="000000" w:themeColor="text1"/>
          <w:sz w:val="28"/>
          <w:szCs w:val="28"/>
          <w:lang w:val="fr-FR"/>
        </w:rPr>
      </w:pPr>
      <w:r w:rsidRPr="00E45E57">
        <w:rPr>
          <w:rFonts w:ascii="Times New Roman" w:hAnsi="Times New Roman" w:cs="Times New Roman"/>
          <w:color w:val="000000" w:themeColor="text1"/>
          <w:sz w:val="28"/>
          <w:szCs w:val="28"/>
          <w:lang w:val="fr-FR"/>
        </w:rPr>
        <w:t>Data source</w:t>
      </w:r>
      <w:r w:rsidR="007D02F6" w:rsidRPr="00E45E57">
        <w:rPr>
          <w:rFonts w:ascii="Times New Roman" w:hAnsi="Times New Roman" w:cs="Times New Roman"/>
          <w:color w:val="000000" w:themeColor="text1"/>
          <w:sz w:val="28"/>
          <w:szCs w:val="28"/>
          <w:lang w:val="fr-FR"/>
        </w:rPr>
        <w:t>: UN Population Division 2013</w:t>
      </w:r>
      <w:r w:rsidR="00BC7B8E" w:rsidRPr="00E45E57">
        <w:rPr>
          <w:rFonts w:ascii="Times New Roman" w:hAnsi="Times New Roman" w:cs="Times New Roman"/>
          <w:color w:val="000000" w:themeColor="text1"/>
          <w:sz w:val="28"/>
          <w:szCs w:val="28"/>
          <w:lang w:val="fr-FR"/>
        </w:rPr>
        <w:t>.</w:t>
      </w:r>
    </w:p>
    <w:p w:rsidR="00A700E3" w:rsidRPr="00E45E57" w:rsidRDefault="00A700E3" w:rsidP="00E45E57">
      <w:pPr>
        <w:spacing w:after="0" w:line="360" w:lineRule="auto"/>
        <w:ind w:firstLine="567"/>
        <w:rPr>
          <w:rFonts w:ascii="Times New Roman" w:hAnsi="Times New Roman" w:cs="Times New Roman"/>
          <w:i/>
          <w:color w:val="000000" w:themeColor="text1"/>
          <w:sz w:val="28"/>
          <w:szCs w:val="28"/>
          <w:lang w:val="fr-FR"/>
        </w:rPr>
      </w:pPr>
      <w:r w:rsidRPr="00E45E57">
        <w:rPr>
          <w:rFonts w:ascii="Times New Roman" w:hAnsi="Times New Roman" w:cs="Times New Roman"/>
          <w:i/>
          <w:color w:val="000000" w:themeColor="text1"/>
          <w:sz w:val="28"/>
          <w:szCs w:val="28"/>
          <w:lang w:val="fr-FR"/>
        </w:rPr>
        <w:br w:type="page"/>
      </w:r>
    </w:p>
    <w:p w:rsidR="00CE377A" w:rsidRPr="00E45E57" w:rsidRDefault="00CE377A" w:rsidP="00361A73">
      <w:pPr>
        <w:autoSpaceDE w:val="0"/>
        <w:autoSpaceDN w:val="0"/>
        <w:adjustRightInd w:val="0"/>
        <w:spacing w:after="0" w:line="360" w:lineRule="auto"/>
        <w:ind w:right="-143"/>
        <w:jc w:val="both"/>
        <w:rPr>
          <w:rFonts w:ascii="Times New Roman" w:hAnsi="Times New Roman" w:cs="Times New Roman"/>
          <w:i/>
          <w:color w:val="000000" w:themeColor="text1"/>
          <w:sz w:val="28"/>
          <w:szCs w:val="28"/>
          <w:lang w:val="en-US"/>
        </w:rPr>
      </w:pPr>
      <w:r w:rsidRPr="00E45E57">
        <w:rPr>
          <w:rFonts w:ascii="Times New Roman" w:hAnsi="Times New Roman" w:cs="Times New Roman"/>
          <w:i/>
          <w:color w:val="000000" w:themeColor="text1"/>
          <w:sz w:val="28"/>
          <w:szCs w:val="28"/>
          <w:lang w:val="en-US"/>
        </w:rPr>
        <w:lastRenderedPageBreak/>
        <w:t xml:space="preserve">Is Mozambique’s risk of population explosion really lower than among its northern neighbors? </w:t>
      </w:r>
    </w:p>
    <w:p w:rsidR="00CE377A" w:rsidRPr="00E45E57" w:rsidRDefault="00CE377A" w:rsidP="00E45E57">
      <w:pPr>
        <w:autoSpaceDE w:val="0"/>
        <w:autoSpaceDN w:val="0"/>
        <w:adjustRightInd w:val="0"/>
        <w:spacing w:after="0" w:line="360" w:lineRule="auto"/>
        <w:ind w:right="-143" w:firstLine="567"/>
        <w:jc w:val="both"/>
        <w:rPr>
          <w:rFonts w:ascii="Times New Roman" w:hAnsi="Times New Roman" w:cs="Times New Roman"/>
          <w:color w:val="000000" w:themeColor="text1"/>
          <w:sz w:val="28"/>
          <w:szCs w:val="28"/>
          <w:lang w:val="en-US"/>
        </w:rPr>
      </w:pPr>
    </w:p>
    <w:p w:rsidR="00532B46" w:rsidRPr="00E45E57" w:rsidRDefault="005E5164"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Figs </w:t>
      </w:r>
      <w:r w:rsidR="00BB092A" w:rsidRPr="00E45E57">
        <w:rPr>
          <w:rFonts w:ascii="Times New Roman" w:hAnsi="Times New Roman" w:cs="Times New Roman"/>
          <w:color w:val="000000" w:themeColor="text1"/>
          <w:sz w:val="28"/>
          <w:szCs w:val="28"/>
          <w:lang w:val="en-US"/>
        </w:rPr>
        <w:t>2 and 3</w:t>
      </w:r>
      <w:r w:rsidRPr="00E45E57">
        <w:rPr>
          <w:rFonts w:ascii="Times New Roman" w:hAnsi="Times New Roman" w:cs="Times New Roman"/>
          <w:color w:val="000000" w:themeColor="text1"/>
          <w:sz w:val="28"/>
          <w:szCs w:val="28"/>
          <w:lang w:val="en-US"/>
        </w:rPr>
        <w:t xml:space="preserve"> reveal that explosive population growth is forecasted for the majority of Sub-Saharan countries; however, in some countries it may well be </w:t>
      </w:r>
      <w:r w:rsidR="007C467C" w:rsidRPr="00E45E57">
        <w:rPr>
          <w:rFonts w:ascii="Times New Roman" w:hAnsi="Times New Roman" w:cs="Times New Roman"/>
          <w:color w:val="000000" w:themeColor="text1"/>
          <w:sz w:val="28"/>
          <w:szCs w:val="28"/>
          <w:lang w:val="en-US"/>
        </w:rPr>
        <w:t>deemed</w:t>
      </w:r>
      <w:r w:rsidR="00904889" w:rsidRPr="00E45E57">
        <w:rPr>
          <w:rFonts w:ascii="Times New Roman" w:hAnsi="Times New Roman" w:cs="Times New Roman"/>
          <w:color w:val="000000" w:themeColor="text1"/>
          <w:sz w:val="28"/>
          <w:szCs w:val="28"/>
          <w:lang w:val="en-US"/>
        </w:rPr>
        <w:t xml:space="preserve"> a </w:t>
      </w:r>
      <w:r w:rsidR="007C467C" w:rsidRPr="00E45E57">
        <w:rPr>
          <w:rFonts w:ascii="Times New Roman" w:hAnsi="Times New Roman" w:cs="Times New Roman"/>
          <w:color w:val="000000" w:themeColor="text1"/>
          <w:sz w:val="28"/>
          <w:szCs w:val="28"/>
          <w:lang w:val="en-US"/>
        </w:rPr>
        <w:t>looming</w:t>
      </w:r>
      <w:r w:rsidR="00904889" w:rsidRPr="00E45E57">
        <w:rPr>
          <w:rFonts w:ascii="Times New Roman" w:hAnsi="Times New Roman" w:cs="Times New Roman"/>
          <w:color w:val="000000" w:themeColor="text1"/>
          <w:sz w:val="28"/>
          <w:szCs w:val="28"/>
          <w:lang w:val="en-US"/>
        </w:rPr>
        <w:t xml:space="preserve"> demographic catastrophe, as their population is bound to grow by a whole order of magnitude by the end of the century – this is observed for Zambia, Niger, Malawi, Somalia, and Tanzania. </w:t>
      </w:r>
    </w:p>
    <w:p w:rsidR="00904889" w:rsidRPr="00E45E57" w:rsidRDefault="00904889" w:rsidP="00E45E57">
      <w:pPr>
        <w:autoSpaceDE w:val="0"/>
        <w:autoSpaceDN w:val="0"/>
        <w:adjustRightInd w:val="0"/>
        <w:spacing w:after="0" w:line="360" w:lineRule="auto"/>
        <w:ind w:right="-143" w:firstLine="567"/>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In this regard Mozambique draws particular attention, as its forecast greatly differs from its northern and north-western neighbors. Indeed, three countries bordering Mozambique, </w:t>
      </w:r>
      <w:r w:rsidR="00273652" w:rsidRPr="00E45E57">
        <w:rPr>
          <w:rFonts w:ascii="Times New Roman" w:hAnsi="Times New Roman" w:cs="Times New Roman"/>
          <w:color w:val="000000" w:themeColor="text1"/>
          <w:sz w:val="28"/>
          <w:szCs w:val="28"/>
          <w:lang w:val="en-US"/>
        </w:rPr>
        <w:t xml:space="preserve">namely </w:t>
      </w:r>
      <w:r w:rsidRPr="00E45E57">
        <w:rPr>
          <w:rFonts w:ascii="Times New Roman" w:hAnsi="Times New Roman" w:cs="Times New Roman"/>
          <w:color w:val="000000" w:themeColor="text1"/>
          <w:sz w:val="28"/>
          <w:szCs w:val="28"/>
          <w:lang w:val="en-US"/>
        </w:rPr>
        <w:t xml:space="preserve">Zambia, Malawi, and Tanzania, are in the highest risk group among all Sub-Saharan countries in terms of forecasted population increase, </w:t>
      </w:r>
      <w:r w:rsidR="007D02F6" w:rsidRPr="00E45E57">
        <w:rPr>
          <w:rFonts w:ascii="Times New Roman" w:hAnsi="Times New Roman" w:cs="Times New Roman"/>
          <w:color w:val="000000" w:themeColor="text1"/>
          <w:sz w:val="28"/>
          <w:szCs w:val="28"/>
          <w:lang w:val="en-US"/>
        </w:rPr>
        <w:t>and their population is projected</w:t>
      </w:r>
      <w:r w:rsidR="00273652" w:rsidRPr="00E45E57">
        <w:rPr>
          <w:rFonts w:ascii="Times New Roman" w:hAnsi="Times New Roman" w:cs="Times New Roman"/>
          <w:color w:val="000000" w:themeColor="text1"/>
          <w:sz w:val="28"/>
          <w:szCs w:val="28"/>
          <w:lang w:val="en-US"/>
        </w:rPr>
        <w:t xml:space="preserve"> to more than triple by 2050 and increase by 7 </w:t>
      </w:r>
      <w:r w:rsidR="007C467C" w:rsidRPr="00E45E57">
        <w:rPr>
          <w:rFonts w:ascii="Times New Roman" w:hAnsi="Times New Roman" w:cs="Times New Roman"/>
          <w:color w:val="000000" w:themeColor="text1"/>
          <w:sz w:val="28"/>
          <w:szCs w:val="28"/>
          <w:lang w:val="en-US"/>
        </w:rPr>
        <w:t>to</w:t>
      </w:r>
      <w:r w:rsidR="00273652" w:rsidRPr="00E45E57">
        <w:rPr>
          <w:rFonts w:ascii="Times New Roman" w:hAnsi="Times New Roman" w:cs="Times New Roman"/>
          <w:color w:val="000000" w:themeColor="text1"/>
          <w:sz w:val="28"/>
          <w:szCs w:val="28"/>
          <w:lang w:val="en-US"/>
        </w:rPr>
        <w:t xml:space="preserve"> 9 times by 2100 (by 11 times in Zambia!). Meanwhile, Mozambique is placed among the medium-risk group consisting mainly of West African countries, and its population increase</w:t>
      </w:r>
      <w:r w:rsidR="007C467C" w:rsidRPr="00E45E57">
        <w:rPr>
          <w:rFonts w:ascii="Times New Roman" w:hAnsi="Times New Roman" w:cs="Times New Roman"/>
          <w:color w:val="000000" w:themeColor="text1"/>
          <w:sz w:val="28"/>
          <w:szCs w:val="28"/>
          <w:lang w:val="en-US"/>
        </w:rPr>
        <w:t xml:space="preserve"> projections (population doubling by 2050 and tripling by 2100) are</w:t>
      </w:r>
      <w:r w:rsidR="00273652" w:rsidRPr="00E45E57">
        <w:rPr>
          <w:rFonts w:ascii="Times New Roman" w:hAnsi="Times New Roman" w:cs="Times New Roman"/>
          <w:color w:val="000000" w:themeColor="text1"/>
          <w:sz w:val="28"/>
          <w:szCs w:val="28"/>
          <w:lang w:val="en-US"/>
        </w:rPr>
        <w:t xml:space="preserve"> much more modest</w:t>
      </w:r>
      <w:r w:rsidR="00273652" w:rsidRPr="00E45E57">
        <w:rPr>
          <w:rStyle w:val="a8"/>
          <w:rFonts w:ascii="Times New Roman" w:hAnsi="Times New Roman" w:cs="Times New Roman"/>
          <w:color w:val="000000" w:themeColor="text1"/>
          <w:sz w:val="28"/>
          <w:szCs w:val="28"/>
        </w:rPr>
        <w:footnoteReference w:id="3"/>
      </w:r>
      <w:r w:rsidR="00273652" w:rsidRPr="00E45E57">
        <w:rPr>
          <w:rFonts w:ascii="Times New Roman" w:hAnsi="Times New Roman" w:cs="Times New Roman"/>
          <w:color w:val="000000" w:themeColor="text1"/>
          <w:sz w:val="28"/>
          <w:szCs w:val="28"/>
          <w:lang w:val="en-US"/>
        </w:rPr>
        <w:t xml:space="preserve"> than </w:t>
      </w:r>
      <w:r w:rsidR="007C467C" w:rsidRPr="00E45E57">
        <w:rPr>
          <w:rFonts w:ascii="Times New Roman" w:hAnsi="Times New Roman" w:cs="Times New Roman"/>
          <w:color w:val="000000" w:themeColor="text1"/>
          <w:sz w:val="28"/>
          <w:szCs w:val="28"/>
          <w:lang w:val="en-US"/>
        </w:rPr>
        <w:t>those for</w:t>
      </w:r>
      <w:r w:rsidR="00273652" w:rsidRPr="00E45E57">
        <w:rPr>
          <w:rFonts w:ascii="Times New Roman" w:hAnsi="Times New Roman" w:cs="Times New Roman"/>
          <w:color w:val="000000" w:themeColor="text1"/>
          <w:sz w:val="28"/>
          <w:szCs w:val="28"/>
          <w:lang w:val="en-US"/>
        </w:rPr>
        <w:t xml:space="preserve"> its </w:t>
      </w:r>
      <w:r w:rsidR="007C467C" w:rsidRPr="00E45E57">
        <w:rPr>
          <w:rFonts w:ascii="Times New Roman" w:hAnsi="Times New Roman" w:cs="Times New Roman"/>
          <w:color w:val="000000" w:themeColor="text1"/>
          <w:sz w:val="28"/>
          <w:szCs w:val="28"/>
          <w:lang w:val="en-US"/>
        </w:rPr>
        <w:t>three</w:t>
      </w:r>
      <w:r w:rsidR="00273652" w:rsidRPr="00E45E57">
        <w:rPr>
          <w:rFonts w:ascii="Times New Roman" w:hAnsi="Times New Roman" w:cs="Times New Roman"/>
          <w:color w:val="000000" w:themeColor="text1"/>
          <w:sz w:val="28"/>
          <w:szCs w:val="28"/>
          <w:lang w:val="en-US"/>
        </w:rPr>
        <w:t xml:space="preserve"> neighbors. </w:t>
      </w:r>
    </w:p>
    <w:p w:rsidR="00904889" w:rsidRPr="00E45E57" w:rsidRDefault="00A66A0B" w:rsidP="00E45E57">
      <w:pPr>
        <w:autoSpaceDE w:val="0"/>
        <w:autoSpaceDN w:val="0"/>
        <w:adjustRightInd w:val="0"/>
        <w:spacing w:after="0" w:line="360" w:lineRule="auto"/>
        <w:ind w:right="-143" w:firstLine="567"/>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This difference is caused by the fact that UN Population Division </w:t>
      </w:r>
      <w:r w:rsidR="007C467C" w:rsidRPr="00E45E57">
        <w:rPr>
          <w:rFonts w:ascii="Times New Roman" w:hAnsi="Times New Roman" w:cs="Times New Roman"/>
          <w:color w:val="000000" w:themeColor="text1"/>
          <w:sz w:val="28"/>
          <w:szCs w:val="28"/>
          <w:lang w:val="en-US"/>
        </w:rPr>
        <w:t>regards</w:t>
      </w:r>
      <w:r w:rsidRPr="00E45E57">
        <w:rPr>
          <w:rFonts w:ascii="Times New Roman" w:hAnsi="Times New Roman" w:cs="Times New Roman"/>
          <w:color w:val="000000" w:themeColor="text1"/>
          <w:sz w:val="28"/>
          <w:szCs w:val="28"/>
          <w:lang w:val="en-US"/>
        </w:rPr>
        <w:t xml:space="preserve"> Mozambique as a country much further advanced in terms of fertility decline than </w:t>
      </w:r>
      <w:r w:rsidR="007C467C" w:rsidRPr="00E45E57">
        <w:rPr>
          <w:rFonts w:ascii="Times New Roman" w:hAnsi="Times New Roman" w:cs="Times New Roman"/>
          <w:color w:val="000000" w:themeColor="text1"/>
          <w:sz w:val="28"/>
          <w:szCs w:val="28"/>
          <w:lang w:val="en-US"/>
        </w:rPr>
        <w:t xml:space="preserve">the three other </w:t>
      </w:r>
      <w:r w:rsidRPr="00E45E57">
        <w:rPr>
          <w:rFonts w:ascii="Times New Roman" w:hAnsi="Times New Roman" w:cs="Times New Roman"/>
          <w:color w:val="000000" w:themeColor="text1"/>
          <w:sz w:val="28"/>
          <w:szCs w:val="28"/>
          <w:lang w:val="en-US"/>
        </w:rPr>
        <w:t xml:space="preserve">countries. Indeed, UN estimates the TFR in Mozambique at 4.7 children per woman in 2010 – 2015 compared with 5.5 in Tanzania, 5.97 in Malawi, and 6.3 in Zambia. Moreover, </w:t>
      </w:r>
      <w:r w:rsidR="005C5CFA" w:rsidRPr="00E45E57">
        <w:rPr>
          <w:rFonts w:ascii="Times New Roman" w:hAnsi="Times New Roman" w:cs="Times New Roman"/>
          <w:color w:val="000000" w:themeColor="text1"/>
          <w:sz w:val="28"/>
          <w:szCs w:val="28"/>
          <w:lang w:val="en-US"/>
        </w:rPr>
        <w:t xml:space="preserve">fertility decline in Mozambique is projected to proceed at a faster rate than in the three other countries. Thus, according to the UN total fertility forecast, Mozambique is bound to reach the population replacement level of fertility </w:t>
      </w:r>
      <w:r w:rsidR="007C467C" w:rsidRPr="00E45E57">
        <w:rPr>
          <w:rFonts w:ascii="Times New Roman" w:hAnsi="Times New Roman" w:cs="Times New Roman"/>
          <w:color w:val="000000" w:themeColor="text1"/>
          <w:sz w:val="28"/>
          <w:szCs w:val="28"/>
          <w:lang w:val="en-US"/>
        </w:rPr>
        <w:t>(</w:t>
      </w:r>
      <w:r w:rsidR="005C5CFA" w:rsidRPr="00E45E57">
        <w:rPr>
          <w:rFonts w:ascii="Times New Roman" w:hAnsi="Times New Roman" w:cs="Times New Roman"/>
          <w:color w:val="000000" w:themeColor="text1"/>
          <w:sz w:val="28"/>
          <w:szCs w:val="28"/>
          <w:lang w:val="en-US"/>
        </w:rPr>
        <w:t>2.1 children per woman) by the late 2070s. None of its three neighbors will be able to reach this result even by the end of the century: UN forecasts the TFR to reach 2.8 in Zambia, 2.55 in Malawi, and 2.3</w:t>
      </w:r>
      <w:r w:rsidR="00C8369B" w:rsidRPr="00E45E57">
        <w:rPr>
          <w:rFonts w:ascii="Times New Roman" w:hAnsi="Times New Roman" w:cs="Times New Roman"/>
          <w:color w:val="000000" w:themeColor="text1"/>
          <w:sz w:val="28"/>
          <w:szCs w:val="28"/>
          <w:lang w:val="en-US"/>
        </w:rPr>
        <w:t xml:space="preserve"> in Tanzania by 2100 (see fig. 4</w:t>
      </w:r>
      <w:r w:rsidR="005C5CFA" w:rsidRPr="00E45E57">
        <w:rPr>
          <w:rFonts w:ascii="Times New Roman" w:hAnsi="Times New Roman" w:cs="Times New Roman"/>
          <w:color w:val="000000" w:themeColor="text1"/>
          <w:sz w:val="28"/>
          <w:szCs w:val="28"/>
          <w:lang w:val="en-US"/>
        </w:rPr>
        <w:t xml:space="preserve">).  </w:t>
      </w:r>
    </w:p>
    <w:p w:rsidR="00BC7B8E" w:rsidRPr="00E45E57" w:rsidRDefault="005C5CFA"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lang w:val="en-US"/>
        </w:rPr>
      </w:pPr>
      <w:proofErr w:type="gramStart"/>
      <w:r w:rsidRPr="00E45E57">
        <w:rPr>
          <w:rFonts w:ascii="Times New Roman" w:hAnsi="Times New Roman" w:cs="Times New Roman"/>
          <w:color w:val="000000" w:themeColor="text1"/>
          <w:sz w:val="28"/>
          <w:szCs w:val="28"/>
          <w:lang w:val="en-US"/>
        </w:rPr>
        <w:lastRenderedPageBreak/>
        <w:t>Fig</w:t>
      </w:r>
      <w:r w:rsidR="00C8369B" w:rsidRPr="00E45E57">
        <w:rPr>
          <w:rFonts w:ascii="Times New Roman" w:hAnsi="Times New Roman" w:cs="Times New Roman"/>
          <w:color w:val="000000" w:themeColor="text1"/>
          <w:sz w:val="28"/>
          <w:szCs w:val="28"/>
          <w:lang w:val="en-US"/>
        </w:rPr>
        <w:t>. 4</w:t>
      </w:r>
      <w:r w:rsidR="00BC7B8E" w:rsidRPr="00E45E57">
        <w:rPr>
          <w:rFonts w:ascii="Times New Roman" w:hAnsi="Times New Roman" w:cs="Times New Roman"/>
          <w:color w:val="000000" w:themeColor="text1"/>
          <w:sz w:val="28"/>
          <w:szCs w:val="28"/>
          <w:lang w:val="en-US"/>
        </w:rPr>
        <w:t>.</w:t>
      </w:r>
      <w:proofErr w:type="gramEnd"/>
      <w:r w:rsidR="00BC7B8E" w:rsidRPr="00E45E57">
        <w:rPr>
          <w:rFonts w:ascii="Times New Roman" w:hAnsi="Times New Roman" w:cs="Times New Roman"/>
          <w:color w:val="000000" w:themeColor="text1"/>
          <w:sz w:val="28"/>
          <w:szCs w:val="28"/>
          <w:lang w:val="en-US"/>
        </w:rPr>
        <w:t xml:space="preserve"> </w:t>
      </w:r>
      <w:r w:rsidRPr="00E45E57">
        <w:rPr>
          <w:rFonts w:ascii="Times New Roman" w:hAnsi="Times New Roman" w:cs="Times New Roman"/>
          <w:color w:val="000000" w:themeColor="text1"/>
          <w:sz w:val="28"/>
          <w:szCs w:val="28"/>
          <w:lang w:val="en-US"/>
        </w:rPr>
        <w:t>Total fertility forecast for Mozambique, Malawi, Tanzania, and Zambia according to the UN medium scenario</w:t>
      </w:r>
    </w:p>
    <w:p w:rsidR="00BC7B8E" w:rsidRPr="00E45E57" w:rsidRDefault="000F3F82"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rPr>
      </w:pPr>
      <w:r w:rsidRPr="00E45E57">
        <w:rPr>
          <w:rFonts w:ascii="Times New Roman" w:hAnsi="Times New Roman" w:cs="Times New Roman"/>
          <w:noProof/>
          <w:color w:val="000000" w:themeColor="text1"/>
          <w:sz w:val="28"/>
          <w:szCs w:val="28"/>
        </w:rPr>
        <w:drawing>
          <wp:inline distT="0" distB="0" distL="0" distR="0">
            <wp:extent cx="5524500" cy="36861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7B8E" w:rsidRPr="00E45E57" w:rsidRDefault="005C5CFA"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lang w:val="fr-FR"/>
        </w:rPr>
      </w:pPr>
      <w:r w:rsidRPr="00E45E57">
        <w:rPr>
          <w:rFonts w:ascii="Times New Roman" w:hAnsi="Times New Roman" w:cs="Times New Roman"/>
          <w:color w:val="000000" w:themeColor="text1"/>
          <w:sz w:val="28"/>
          <w:szCs w:val="28"/>
          <w:lang w:val="fr-FR"/>
        </w:rPr>
        <w:t>Data source</w:t>
      </w:r>
      <w:r w:rsidR="007D02F6" w:rsidRPr="00E45E57">
        <w:rPr>
          <w:rFonts w:ascii="Times New Roman" w:hAnsi="Times New Roman" w:cs="Times New Roman"/>
          <w:color w:val="000000" w:themeColor="text1"/>
          <w:sz w:val="28"/>
          <w:szCs w:val="28"/>
          <w:lang w:val="fr-FR"/>
        </w:rPr>
        <w:t>: UN Population Division 2013</w:t>
      </w:r>
      <w:r w:rsidR="00BC7B8E" w:rsidRPr="00E45E57">
        <w:rPr>
          <w:rFonts w:ascii="Times New Roman" w:hAnsi="Times New Roman" w:cs="Times New Roman"/>
          <w:color w:val="000000" w:themeColor="text1"/>
          <w:sz w:val="28"/>
          <w:szCs w:val="28"/>
          <w:lang w:val="fr-FR"/>
        </w:rPr>
        <w:t>.</w:t>
      </w:r>
    </w:p>
    <w:p w:rsidR="00BC7B8E" w:rsidRPr="00E45E57" w:rsidRDefault="00BC7B8E" w:rsidP="00E45E57">
      <w:pPr>
        <w:autoSpaceDE w:val="0"/>
        <w:autoSpaceDN w:val="0"/>
        <w:adjustRightInd w:val="0"/>
        <w:spacing w:after="0" w:line="360" w:lineRule="auto"/>
        <w:ind w:right="-143" w:firstLine="567"/>
        <w:jc w:val="both"/>
        <w:rPr>
          <w:rFonts w:ascii="Times New Roman" w:hAnsi="Times New Roman" w:cs="Times New Roman"/>
          <w:color w:val="000000" w:themeColor="text1"/>
          <w:sz w:val="28"/>
          <w:szCs w:val="28"/>
          <w:lang w:val="fr-FR"/>
        </w:rPr>
      </w:pPr>
    </w:p>
    <w:p w:rsidR="00BC7B8E" w:rsidRPr="00E45E57" w:rsidRDefault="00DB53F8"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However, our analysis reveals the necessity for the Mozambique fertility forecast and population projections to be reconsidered, as the UN medium scenario does not account for the important recent changes in the demographic dynamics of Mozambique. Indeed, several data sources indicate that the real fertility rate dynamics in recent years was substantially different from that projected by the UN model, and the difference was in no way optimistic. </w:t>
      </w:r>
    </w:p>
    <w:p w:rsidR="00BC7B8E" w:rsidRPr="00E45E57" w:rsidRDefault="00BC7B8E" w:rsidP="00E45E57">
      <w:pPr>
        <w:autoSpaceDE w:val="0"/>
        <w:autoSpaceDN w:val="0"/>
        <w:adjustRightInd w:val="0"/>
        <w:spacing w:after="0" w:line="360" w:lineRule="auto"/>
        <w:ind w:right="-143" w:firstLine="567"/>
        <w:jc w:val="both"/>
        <w:rPr>
          <w:rFonts w:ascii="Times New Roman" w:hAnsi="Times New Roman" w:cs="Times New Roman"/>
          <w:color w:val="000000" w:themeColor="text1"/>
          <w:sz w:val="28"/>
          <w:szCs w:val="28"/>
          <w:lang w:val="en-US"/>
        </w:rPr>
      </w:pPr>
    </w:p>
    <w:p w:rsidR="00BC7B8E" w:rsidRPr="00E45E57" w:rsidRDefault="00DB53F8" w:rsidP="00361A73">
      <w:pPr>
        <w:autoSpaceDE w:val="0"/>
        <w:autoSpaceDN w:val="0"/>
        <w:adjustRightInd w:val="0"/>
        <w:spacing w:after="0" w:line="360" w:lineRule="auto"/>
        <w:ind w:right="-143"/>
        <w:jc w:val="both"/>
        <w:rPr>
          <w:rFonts w:ascii="Times New Roman" w:hAnsi="Times New Roman" w:cs="Times New Roman"/>
          <w:i/>
          <w:color w:val="000000" w:themeColor="text1"/>
          <w:sz w:val="28"/>
          <w:szCs w:val="28"/>
          <w:lang w:val="en-US"/>
        </w:rPr>
      </w:pPr>
      <w:r w:rsidRPr="00E45E57">
        <w:rPr>
          <w:rFonts w:ascii="Times New Roman" w:hAnsi="Times New Roman" w:cs="Times New Roman"/>
          <w:i/>
          <w:color w:val="000000" w:themeColor="text1"/>
          <w:sz w:val="28"/>
          <w:szCs w:val="28"/>
          <w:lang w:val="en-US"/>
        </w:rPr>
        <w:t xml:space="preserve">Recent fertility dynamics in Mozambique </w:t>
      </w:r>
    </w:p>
    <w:p w:rsidR="00BC7B8E" w:rsidRPr="00E45E57" w:rsidRDefault="00BC7B8E" w:rsidP="00E45E57">
      <w:pPr>
        <w:autoSpaceDE w:val="0"/>
        <w:autoSpaceDN w:val="0"/>
        <w:adjustRightInd w:val="0"/>
        <w:spacing w:after="0" w:line="360" w:lineRule="auto"/>
        <w:ind w:right="-143" w:firstLine="567"/>
        <w:jc w:val="both"/>
        <w:rPr>
          <w:rFonts w:ascii="Times New Roman" w:hAnsi="Times New Roman" w:cs="Times New Roman"/>
          <w:color w:val="000000" w:themeColor="text1"/>
          <w:sz w:val="28"/>
          <w:szCs w:val="28"/>
          <w:lang w:val="en-US"/>
        </w:rPr>
      </w:pPr>
    </w:p>
    <w:p w:rsidR="00B4647D" w:rsidRPr="00E45E57" w:rsidRDefault="00D43ECA" w:rsidP="00361A73">
      <w:pPr>
        <w:spacing w:after="0" w:line="360" w:lineRule="auto"/>
        <w:ind w:right="-143"/>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Let us first regard the general trends of fertility dynamics in Mozambique in the recent decades. The second phase of demographic transition started here about the mid-1970s (according to the UN estimations) from a very high fertility level of 6.6 births per woman. However, fertility decline proceeded very slowly, and TFR only went down by less than 1 birth per woman during 20 years, reaching 5.6 – 5.8 birth </w:t>
      </w:r>
      <w:r w:rsidRPr="00E45E57">
        <w:rPr>
          <w:rFonts w:ascii="Times New Roman" w:hAnsi="Times New Roman" w:cs="Times New Roman"/>
          <w:color w:val="000000" w:themeColor="text1"/>
          <w:sz w:val="28"/>
          <w:szCs w:val="28"/>
          <w:lang w:val="en-US"/>
        </w:rPr>
        <w:lastRenderedPageBreak/>
        <w:t xml:space="preserve">per woman by the late 1990s. At this point Mozambique along with the majority of East African countries encountered a rather lengthy period of fertility stall </w:t>
      </w:r>
      <w:r w:rsidR="00E50587" w:rsidRPr="00E45E57">
        <w:rPr>
          <w:rFonts w:ascii="Times New Roman" w:hAnsi="Times New Roman" w:cs="Times New Roman"/>
          <w:sz w:val="28"/>
          <w:szCs w:val="28"/>
          <w:lang w:val="en-US"/>
        </w:rPr>
        <w:t xml:space="preserve">(see, </w:t>
      </w:r>
      <w:r w:rsidR="00E50587" w:rsidRPr="00E45E57">
        <w:rPr>
          <w:rFonts w:ascii="Times New Roman" w:hAnsi="Times New Roman" w:cs="Times New Roman"/>
          <w:i/>
          <w:sz w:val="28"/>
          <w:szCs w:val="28"/>
          <w:lang w:val="en-US"/>
        </w:rPr>
        <w:t>e.g.</w:t>
      </w:r>
      <w:r w:rsidR="00E50587" w:rsidRPr="00E45E57">
        <w:rPr>
          <w:rFonts w:ascii="Times New Roman" w:hAnsi="Times New Roman" w:cs="Times New Roman"/>
          <w:sz w:val="28"/>
          <w:szCs w:val="28"/>
          <w:lang w:val="en-US"/>
        </w:rPr>
        <w:t xml:space="preserve">, </w:t>
      </w:r>
      <w:proofErr w:type="spellStart"/>
      <w:r w:rsidR="00E50587" w:rsidRPr="00E45E57">
        <w:rPr>
          <w:rFonts w:ascii="Times New Roman" w:hAnsi="Times New Roman" w:cs="Times New Roman"/>
          <w:color w:val="000000" w:themeColor="text1"/>
          <w:sz w:val="28"/>
          <w:szCs w:val="28"/>
          <w:lang w:val="en-US"/>
        </w:rPr>
        <w:t>Bongaarts</w:t>
      </w:r>
      <w:proofErr w:type="spellEnd"/>
      <w:r w:rsidR="00E50587" w:rsidRPr="00E45E57">
        <w:rPr>
          <w:rFonts w:ascii="Times New Roman" w:hAnsi="Times New Roman" w:cs="Times New Roman"/>
          <w:color w:val="000000" w:themeColor="text1"/>
          <w:sz w:val="28"/>
          <w:szCs w:val="28"/>
          <w:lang w:val="en-US"/>
        </w:rPr>
        <w:t xml:space="preserve"> 2008;</w:t>
      </w:r>
      <w:r w:rsidR="00E50587" w:rsidRPr="00E45E57">
        <w:rPr>
          <w:rFonts w:ascii="Times New Roman" w:hAnsi="Times New Roman" w:cs="Times New Roman"/>
          <w:sz w:val="28"/>
          <w:szCs w:val="28"/>
          <w:lang w:val="en-US"/>
        </w:rPr>
        <w:t xml:space="preserve"> </w:t>
      </w:r>
      <w:r w:rsidR="00E50587" w:rsidRPr="00E45E57">
        <w:rPr>
          <w:rFonts w:ascii="Times New Roman" w:hAnsi="Times New Roman" w:cs="Times New Roman"/>
          <w:color w:val="000000" w:themeColor="text1"/>
          <w:sz w:val="28"/>
          <w:szCs w:val="28"/>
          <w:lang w:val="en-US"/>
        </w:rPr>
        <w:t xml:space="preserve">Shapiro, </w:t>
      </w:r>
      <w:proofErr w:type="spellStart"/>
      <w:r w:rsidR="00E50587" w:rsidRPr="00E45E57">
        <w:rPr>
          <w:rFonts w:ascii="Times New Roman" w:hAnsi="Times New Roman" w:cs="Times New Roman"/>
          <w:color w:val="000000" w:themeColor="text1"/>
          <w:sz w:val="28"/>
          <w:szCs w:val="28"/>
          <w:lang w:val="en-US"/>
        </w:rPr>
        <w:t>Gebreselassie</w:t>
      </w:r>
      <w:proofErr w:type="spellEnd"/>
      <w:r w:rsidR="00E50587" w:rsidRPr="00E45E57">
        <w:rPr>
          <w:rFonts w:ascii="Times New Roman" w:hAnsi="Times New Roman" w:cs="Times New Roman"/>
          <w:color w:val="000000" w:themeColor="text1"/>
          <w:sz w:val="28"/>
          <w:szCs w:val="28"/>
          <w:lang w:val="en-US"/>
        </w:rPr>
        <w:t xml:space="preserve"> 2008; </w:t>
      </w:r>
      <w:proofErr w:type="spellStart"/>
      <w:r w:rsidR="00E50587" w:rsidRPr="00E45E57">
        <w:rPr>
          <w:rFonts w:ascii="Times New Roman" w:hAnsi="Times New Roman" w:cs="Times New Roman"/>
          <w:bCs/>
          <w:color w:val="000000" w:themeColor="text1"/>
          <w:sz w:val="28"/>
          <w:szCs w:val="28"/>
          <w:lang w:val="en-US"/>
        </w:rPr>
        <w:t>Kreider</w:t>
      </w:r>
      <w:proofErr w:type="spellEnd"/>
      <w:r w:rsidR="00E50587" w:rsidRPr="00E45E57">
        <w:rPr>
          <w:rFonts w:ascii="Times New Roman" w:hAnsi="Times New Roman" w:cs="Times New Roman"/>
          <w:bCs/>
          <w:color w:val="000000" w:themeColor="text1"/>
          <w:sz w:val="28"/>
          <w:szCs w:val="28"/>
          <w:lang w:val="en-US"/>
        </w:rPr>
        <w:t xml:space="preserve">, Shapiro </w:t>
      </w:r>
      <w:r w:rsidR="00E50587" w:rsidRPr="00E45E57">
        <w:rPr>
          <w:rFonts w:ascii="Times New Roman" w:hAnsi="Times New Roman" w:cs="Times New Roman"/>
          <w:bCs/>
          <w:i/>
          <w:color w:val="000000" w:themeColor="text1"/>
          <w:sz w:val="28"/>
          <w:szCs w:val="28"/>
          <w:lang w:val="en-US"/>
        </w:rPr>
        <w:t>et al.</w:t>
      </w:r>
      <w:r w:rsidR="00E50587" w:rsidRPr="00E45E57">
        <w:rPr>
          <w:rFonts w:ascii="Times New Roman" w:hAnsi="Times New Roman" w:cs="Times New Roman"/>
          <w:bCs/>
          <w:color w:val="000000" w:themeColor="text1"/>
          <w:sz w:val="28"/>
          <w:szCs w:val="28"/>
          <w:lang w:val="en-US"/>
        </w:rPr>
        <w:t xml:space="preserve"> 2009 </w:t>
      </w:r>
      <w:r w:rsidR="00E50587" w:rsidRPr="00E45E57">
        <w:rPr>
          <w:rFonts w:ascii="Times New Roman" w:hAnsi="Times New Roman" w:cs="Times New Roman"/>
          <w:bCs/>
          <w:i/>
          <w:color w:val="000000" w:themeColor="text1"/>
          <w:sz w:val="28"/>
          <w:szCs w:val="28"/>
          <w:lang w:val="en-US"/>
        </w:rPr>
        <w:t>etc</w:t>
      </w:r>
      <w:r w:rsidR="00E50587" w:rsidRPr="00E45E57">
        <w:rPr>
          <w:rFonts w:ascii="Times New Roman" w:hAnsi="Times New Roman" w:cs="Times New Roman"/>
          <w:bCs/>
          <w:color w:val="000000" w:themeColor="text1"/>
          <w:sz w:val="28"/>
          <w:szCs w:val="28"/>
          <w:lang w:val="en-US"/>
        </w:rPr>
        <w:t>.</w:t>
      </w:r>
      <w:r w:rsidR="00E50587" w:rsidRPr="00E45E57">
        <w:rPr>
          <w:rFonts w:ascii="Times New Roman" w:hAnsi="Times New Roman" w:cs="Times New Roman"/>
          <w:sz w:val="28"/>
          <w:szCs w:val="28"/>
          <w:lang w:val="en-US"/>
        </w:rPr>
        <w:t>)</w:t>
      </w:r>
      <w:r w:rsidR="00B4647D" w:rsidRPr="00E45E57">
        <w:rPr>
          <w:rFonts w:ascii="Times New Roman" w:hAnsi="Times New Roman" w:cs="Times New Roman"/>
          <w:color w:val="000000" w:themeColor="text1"/>
          <w:sz w:val="28"/>
          <w:szCs w:val="28"/>
          <w:lang w:val="en-US"/>
        </w:rPr>
        <w:t xml:space="preserve">. </w:t>
      </w:r>
    </w:p>
    <w:p w:rsidR="00802BC7" w:rsidRPr="00E45E57" w:rsidRDefault="001666F2" w:rsidP="00E45E57">
      <w:pPr>
        <w:spacing w:after="0" w:line="360" w:lineRule="auto"/>
        <w:ind w:right="-143" w:firstLine="567"/>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sz w:val="28"/>
          <w:szCs w:val="28"/>
          <w:lang w:val="en-US"/>
        </w:rPr>
        <w:t xml:space="preserve">The most important features of the fertility stall phenomenon to be noted in Mozambican case are as follows.  First, fertility stalled at an exceptionally high level (close to 6 children per woman), at the very beginning of the second phase of the demographic transition.  Second, only a small number of countries managed to restore fast fertility decline rates after the stall; in the majority of stalled countries fertility either has recently been declining much slower than before the stall or still remains stalled. </w:t>
      </w:r>
      <w:r w:rsidR="006253EB" w:rsidRPr="00E45E57">
        <w:rPr>
          <w:rFonts w:ascii="Times New Roman" w:hAnsi="Times New Roman" w:cs="Times New Roman"/>
          <w:color w:val="000000"/>
          <w:sz w:val="28"/>
          <w:szCs w:val="28"/>
          <w:lang w:val="en-US"/>
        </w:rPr>
        <w:t xml:space="preserve">The latter turns out to be true for Mozambique, where fertility decline </w:t>
      </w:r>
      <w:r w:rsidR="00E50587" w:rsidRPr="00E45E57">
        <w:rPr>
          <w:rFonts w:ascii="Times New Roman" w:hAnsi="Times New Roman" w:cs="Times New Roman"/>
          <w:color w:val="000000"/>
          <w:sz w:val="28"/>
          <w:szCs w:val="28"/>
          <w:lang w:val="en-US"/>
        </w:rPr>
        <w:t>has not resolved</w:t>
      </w:r>
      <w:r w:rsidR="006253EB" w:rsidRPr="00E45E57">
        <w:rPr>
          <w:rFonts w:ascii="Times New Roman" w:hAnsi="Times New Roman" w:cs="Times New Roman"/>
          <w:color w:val="000000"/>
          <w:sz w:val="28"/>
          <w:szCs w:val="28"/>
          <w:lang w:val="en-US"/>
        </w:rPr>
        <w:t xml:space="preserve"> yet. We checked this assumption </w:t>
      </w:r>
      <w:r w:rsidR="00E50587" w:rsidRPr="00E45E57">
        <w:rPr>
          <w:rFonts w:ascii="Times New Roman" w:hAnsi="Times New Roman" w:cs="Times New Roman"/>
          <w:color w:val="000000"/>
          <w:sz w:val="28"/>
          <w:szCs w:val="28"/>
          <w:lang w:val="en-US"/>
        </w:rPr>
        <w:t>on the data from two</w:t>
      </w:r>
      <w:r w:rsidR="006253EB" w:rsidRPr="00E45E57">
        <w:rPr>
          <w:rFonts w:ascii="Times New Roman" w:hAnsi="Times New Roman" w:cs="Times New Roman"/>
          <w:color w:val="000000"/>
          <w:sz w:val="28"/>
          <w:szCs w:val="28"/>
          <w:lang w:val="en-US"/>
        </w:rPr>
        <w:t xml:space="preserve"> population censu</w:t>
      </w:r>
      <w:r w:rsidR="00E50587" w:rsidRPr="00E45E57">
        <w:rPr>
          <w:rFonts w:ascii="Times New Roman" w:hAnsi="Times New Roman" w:cs="Times New Roman"/>
          <w:color w:val="000000"/>
          <w:sz w:val="28"/>
          <w:szCs w:val="28"/>
          <w:lang w:val="en-US"/>
        </w:rPr>
        <w:t>ses carried out in 1997 and 2007,</w:t>
      </w:r>
      <w:r w:rsidR="006253EB" w:rsidRPr="00E45E57">
        <w:rPr>
          <w:rFonts w:ascii="Times New Roman" w:hAnsi="Times New Roman" w:cs="Times New Roman"/>
          <w:color w:val="000000"/>
          <w:sz w:val="28"/>
          <w:szCs w:val="28"/>
          <w:lang w:val="en-US"/>
        </w:rPr>
        <w:t xml:space="preserve"> </w:t>
      </w:r>
      <w:r w:rsidR="00E50587" w:rsidRPr="00E45E57">
        <w:rPr>
          <w:rFonts w:ascii="Times New Roman" w:hAnsi="Times New Roman" w:cs="Times New Roman"/>
          <w:color w:val="000000"/>
          <w:sz w:val="28"/>
          <w:szCs w:val="28"/>
          <w:lang w:val="en-US"/>
        </w:rPr>
        <w:t>as well as from three</w:t>
      </w:r>
      <w:r w:rsidR="006253EB" w:rsidRPr="00E45E57">
        <w:rPr>
          <w:rFonts w:ascii="Times New Roman" w:hAnsi="Times New Roman" w:cs="Times New Roman"/>
          <w:color w:val="000000"/>
          <w:sz w:val="28"/>
          <w:szCs w:val="28"/>
          <w:lang w:val="en-US"/>
        </w:rPr>
        <w:t xml:space="preserve"> latest Demographic and Health Surveys carried out in 1997, 2003, and 2011 respectively. For the convenience of analysis we compiled the data on total fertility rate presented in these sources into a single table together with the</w:t>
      </w:r>
      <w:r w:rsidR="007D02F6" w:rsidRPr="00E45E57">
        <w:rPr>
          <w:rFonts w:ascii="Times New Roman" w:hAnsi="Times New Roman" w:cs="Times New Roman"/>
          <w:color w:val="000000"/>
          <w:sz w:val="28"/>
          <w:szCs w:val="28"/>
          <w:lang w:val="en-US"/>
        </w:rPr>
        <w:t xml:space="preserve"> UN projections data (see Table </w:t>
      </w:r>
      <w:r w:rsidR="006253EB" w:rsidRPr="00E45E57">
        <w:rPr>
          <w:rFonts w:ascii="Times New Roman" w:hAnsi="Times New Roman" w:cs="Times New Roman"/>
          <w:color w:val="000000"/>
          <w:sz w:val="28"/>
          <w:szCs w:val="28"/>
          <w:lang w:val="en-US"/>
        </w:rPr>
        <w:t xml:space="preserve">1). This allowed </w:t>
      </w:r>
      <w:proofErr w:type="gramStart"/>
      <w:r w:rsidR="003C0A71" w:rsidRPr="00E45E57">
        <w:rPr>
          <w:rFonts w:ascii="Times New Roman" w:hAnsi="Times New Roman" w:cs="Times New Roman"/>
          <w:color w:val="000000"/>
          <w:sz w:val="28"/>
          <w:szCs w:val="28"/>
          <w:lang w:val="en-US"/>
        </w:rPr>
        <w:t xml:space="preserve">to </w:t>
      </w:r>
      <w:r w:rsidR="006253EB" w:rsidRPr="00E45E57">
        <w:rPr>
          <w:rFonts w:ascii="Times New Roman" w:hAnsi="Times New Roman" w:cs="Times New Roman"/>
          <w:color w:val="000000"/>
          <w:sz w:val="28"/>
          <w:szCs w:val="28"/>
          <w:lang w:val="en-US"/>
        </w:rPr>
        <w:t>reveal</w:t>
      </w:r>
      <w:proofErr w:type="gramEnd"/>
      <w:r w:rsidR="006253EB" w:rsidRPr="00E45E57">
        <w:rPr>
          <w:rFonts w:ascii="Times New Roman" w:hAnsi="Times New Roman" w:cs="Times New Roman"/>
          <w:color w:val="000000"/>
          <w:sz w:val="28"/>
          <w:szCs w:val="28"/>
          <w:lang w:val="en-US"/>
        </w:rPr>
        <w:t xml:space="preserve"> a very important discrepancy.</w:t>
      </w:r>
      <w:r w:rsidR="004D4A6C" w:rsidRPr="00E45E57">
        <w:rPr>
          <w:rFonts w:ascii="Times New Roman" w:hAnsi="Times New Roman" w:cs="Times New Roman"/>
          <w:color w:val="000000" w:themeColor="text1"/>
          <w:sz w:val="28"/>
          <w:szCs w:val="28"/>
          <w:lang w:val="en-US"/>
        </w:rPr>
        <w:t xml:space="preserve"> </w:t>
      </w:r>
    </w:p>
    <w:p w:rsidR="007D02F6" w:rsidRPr="00E45E57" w:rsidRDefault="007D02F6" w:rsidP="00E45E57">
      <w:pPr>
        <w:spacing w:after="0" w:line="360" w:lineRule="auto"/>
        <w:ind w:firstLine="567"/>
        <w:rPr>
          <w:rFonts w:ascii="Times New Roman" w:hAnsi="Times New Roman" w:cs="Times New Roman"/>
          <w:color w:val="000000" w:themeColor="text1"/>
          <w:sz w:val="28"/>
          <w:szCs w:val="28"/>
          <w:lang w:val="en-US"/>
        </w:rPr>
      </w:pPr>
    </w:p>
    <w:p w:rsidR="003F3B8C" w:rsidRPr="00E45E57" w:rsidRDefault="00E50587" w:rsidP="00361A73">
      <w:pPr>
        <w:spacing w:after="0" w:line="360" w:lineRule="auto"/>
        <w:jc w:val="both"/>
        <w:rPr>
          <w:rFonts w:ascii="Times New Roman" w:hAnsi="Times New Roman" w:cs="Times New Roman"/>
          <w:color w:val="000000" w:themeColor="text1"/>
          <w:sz w:val="28"/>
          <w:szCs w:val="28"/>
          <w:lang w:val="en-US"/>
        </w:rPr>
      </w:pPr>
      <w:proofErr w:type="gramStart"/>
      <w:r w:rsidRPr="00E45E57">
        <w:rPr>
          <w:rFonts w:ascii="Times New Roman" w:hAnsi="Times New Roman" w:cs="Times New Roman"/>
          <w:color w:val="000000" w:themeColor="text1"/>
          <w:sz w:val="28"/>
          <w:szCs w:val="28"/>
          <w:lang w:val="en-US"/>
        </w:rPr>
        <w:t>Table</w:t>
      </w:r>
      <w:r w:rsidR="00952E75" w:rsidRPr="00E45E57">
        <w:rPr>
          <w:rFonts w:ascii="Times New Roman" w:hAnsi="Times New Roman" w:cs="Times New Roman"/>
          <w:color w:val="000000" w:themeColor="text1"/>
          <w:sz w:val="28"/>
          <w:szCs w:val="28"/>
          <w:lang w:val="en-US"/>
        </w:rPr>
        <w:t xml:space="preserve"> 1.</w:t>
      </w:r>
      <w:proofErr w:type="gramEnd"/>
      <w:r w:rsidR="00952E75" w:rsidRPr="00E45E57">
        <w:rPr>
          <w:rFonts w:ascii="Times New Roman" w:hAnsi="Times New Roman" w:cs="Times New Roman"/>
          <w:color w:val="000000" w:themeColor="text1"/>
          <w:sz w:val="28"/>
          <w:szCs w:val="28"/>
          <w:lang w:val="en-US"/>
        </w:rPr>
        <w:t xml:space="preserve"> </w:t>
      </w:r>
      <w:r w:rsidRPr="00E45E57">
        <w:rPr>
          <w:rFonts w:ascii="Times New Roman" w:hAnsi="Times New Roman" w:cs="Times New Roman"/>
          <w:color w:val="000000" w:themeColor="text1"/>
          <w:sz w:val="28"/>
          <w:szCs w:val="28"/>
          <w:lang w:val="en-US"/>
        </w:rPr>
        <w:t xml:space="preserve">Mozambique TFR values as projected by the UN medium scenario and stated in Population and Housing Census 2007 and three latest DHS, children per woman </w:t>
      </w:r>
    </w:p>
    <w:tbl>
      <w:tblPr>
        <w:tblStyle w:val="a9"/>
        <w:tblW w:w="9606" w:type="dxa"/>
        <w:tblLook w:val="04A0" w:firstRow="1" w:lastRow="0" w:firstColumn="1" w:lastColumn="0" w:noHBand="0" w:noVBand="1"/>
      </w:tblPr>
      <w:tblGrid>
        <w:gridCol w:w="1526"/>
        <w:gridCol w:w="1701"/>
        <w:gridCol w:w="2126"/>
        <w:gridCol w:w="2126"/>
        <w:gridCol w:w="2127"/>
      </w:tblGrid>
      <w:tr w:rsidR="009D7F5E" w:rsidRPr="00270E35" w:rsidTr="009D7F5E">
        <w:tc>
          <w:tcPr>
            <w:tcW w:w="1526" w:type="dxa"/>
          </w:tcPr>
          <w:p w:rsidR="00952E75" w:rsidRPr="00361A73" w:rsidRDefault="00937F05" w:rsidP="00361A73">
            <w:pPr>
              <w:spacing w:line="360" w:lineRule="auto"/>
              <w:ind w:right="-143"/>
              <w:jc w:val="both"/>
              <w:rPr>
                <w:rFonts w:ascii="Times New Roman" w:hAnsi="Times New Roman" w:cs="Times New Roman"/>
                <w:color w:val="000000" w:themeColor="text1"/>
                <w:sz w:val="24"/>
                <w:szCs w:val="24"/>
                <w:lang w:val="en-US"/>
              </w:rPr>
            </w:pPr>
            <w:r w:rsidRPr="00361A73">
              <w:rPr>
                <w:rFonts w:ascii="Times New Roman" w:hAnsi="Times New Roman" w:cs="Times New Roman"/>
                <w:color w:val="000000" w:themeColor="text1"/>
                <w:sz w:val="24"/>
                <w:szCs w:val="24"/>
                <w:lang w:val="en-US"/>
              </w:rPr>
              <w:t>Years</w:t>
            </w:r>
          </w:p>
        </w:tc>
        <w:tc>
          <w:tcPr>
            <w:tcW w:w="1701" w:type="dxa"/>
          </w:tcPr>
          <w:p w:rsidR="00952E75" w:rsidRPr="00361A73" w:rsidRDefault="009D7F5E" w:rsidP="00361A73">
            <w:pPr>
              <w:spacing w:line="360" w:lineRule="auto"/>
              <w:jc w:val="both"/>
              <w:rPr>
                <w:rFonts w:ascii="Times New Roman" w:hAnsi="Times New Roman" w:cs="Times New Roman"/>
                <w:color w:val="000000" w:themeColor="text1"/>
                <w:sz w:val="24"/>
                <w:szCs w:val="24"/>
                <w:lang w:val="en-US"/>
              </w:rPr>
            </w:pPr>
            <w:r w:rsidRPr="00361A73">
              <w:rPr>
                <w:rFonts w:ascii="Times New Roman" w:hAnsi="Times New Roman" w:cs="Times New Roman"/>
                <w:color w:val="000000" w:themeColor="text1"/>
                <w:sz w:val="24"/>
                <w:szCs w:val="24"/>
                <w:lang w:val="en-US"/>
              </w:rPr>
              <w:t>Projected TFR value, UN medium scenario</w:t>
            </w:r>
          </w:p>
        </w:tc>
        <w:tc>
          <w:tcPr>
            <w:tcW w:w="2126" w:type="dxa"/>
          </w:tcPr>
          <w:p w:rsidR="00952E75" w:rsidRPr="00361A73" w:rsidRDefault="009D7F5E" w:rsidP="00361A73">
            <w:pPr>
              <w:spacing w:line="360" w:lineRule="auto"/>
              <w:jc w:val="both"/>
              <w:rPr>
                <w:rFonts w:ascii="Times New Roman" w:hAnsi="Times New Roman" w:cs="Times New Roman"/>
                <w:color w:val="000000" w:themeColor="text1"/>
                <w:sz w:val="24"/>
                <w:szCs w:val="24"/>
                <w:lang w:val="en-US"/>
              </w:rPr>
            </w:pPr>
            <w:r w:rsidRPr="00361A73">
              <w:rPr>
                <w:rFonts w:ascii="Times New Roman" w:hAnsi="Times New Roman" w:cs="Times New Roman"/>
                <w:color w:val="000000" w:themeColor="text1"/>
                <w:sz w:val="24"/>
                <w:szCs w:val="24"/>
                <w:lang w:val="en-US"/>
              </w:rPr>
              <w:t>Real TFR value, whole population</w:t>
            </w:r>
          </w:p>
        </w:tc>
        <w:tc>
          <w:tcPr>
            <w:tcW w:w="2126" w:type="dxa"/>
          </w:tcPr>
          <w:p w:rsidR="00952E75" w:rsidRPr="00361A73" w:rsidRDefault="009D7F5E" w:rsidP="00361A73">
            <w:pPr>
              <w:spacing w:line="360" w:lineRule="auto"/>
              <w:jc w:val="both"/>
              <w:rPr>
                <w:rFonts w:ascii="Times New Roman" w:hAnsi="Times New Roman" w:cs="Times New Roman"/>
                <w:color w:val="000000" w:themeColor="text1"/>
                <w:sz w:val="24"/>
                <w:szCs w:val="24"/>
                <w:lang w:val="en-US"/>
              </w:rPr>
            </w:pPr>
            <w:r w:rsidRPr="00361A73">
              <w:rPr>
                <w:rFonts w:ascii="Times New Roman" w:hAnsi="Times New Roman" w:cs="Times New Roman"/>
                <w:color w:val="000000" w:themeColor="text1"/>
                <w:sz w:val="24"/>
                <w:szCs w:val="24"/>
                <w:lang w:val="en-US"/>
              </w:rPr>
              <w:t>Real TFR value, urban population</w:t>
            </w:r>
          </w:p>
        </w:tc>
        <w:tc>
          <w:tcPr>
            <w:tcW w:w="2127" w:type="dxa"/>
          </w:tcPr>
          <w:p w:rsidR="00952E75" w:rsidRPr="00361A73" w:rsidRDefault="009D7F5E" w:rsidP="00361A73">
            <w:pPr>
              <w:spacing w:line="360" w:lineRule="auto"/>
              <w:ind w:right="34"/>
              <w:jc w:val="both"/>
              <w:rPr>
                <w:rFonts w:ascii="Times New Roman" w:hAnsi="Times New Roman" w:cs="Times New Roman"/>
                <w:color w:val="000000" w:themeColor="text1"/>
                <w:sz w:val="24"/>
                <w:szCs w:val="24"/>
                <w:lang w:val="en-US"/>
              </w:rPr>
            </w:pPr>
            <w:r w:rsidRPr="00361A73">
              <w:rPr>
                <w:rFonts w:ascii="Times New Roman" w:hAnsi="Times New Roman" w:cs="Times New Roman"/>
                <w:color w:val="000000" w:themeColor="text1"/>
                <w:sz w:val="24"/>
                <w:szCs w:val="24"/>
                <w:lang w:val="en-US"/>
              </w:rPr>
              <w:t>Real TFR value, rural population</w:t>
            </w:r>
          </w:p>
        </w:tc>
      </w:tr>
      <w:tr w:rsidR="009D7F5E" w:rsidRPr="00361A73" w:rsidTr="009D7F5E">
        <w:tc>
          <w:tcPr>
            <w:tcW w:w="1526" w:type="dxa"/>
          </w:tcPr>
          <w:p w:rsidR="00F93A63" w:rsidRPr="00361A73" w:rsidRDefault="00F93A63" w:rsidP="00361A73">
            <w:pPr>
              <w:spacing w:line="360" w:lineRule="auto"/>
              <w:ind w:right="-143"/>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1995–2000</w:t>
            </w:r>
          </w:p>
        </w:tc>
        <w:tc>
          <w:tcPr>
            <w:tcW w:w="1701" w:type="dxa"/>
          </w:tcPr>
          <w:p w:rsidR="00F93A63" w:rsidRPr="00361A73" w:rsidRDefault="00F93A63"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5</w:t>
            </w:r>
            <w:r w:rsidR="009D7F5E" w:rsidRPr="00361A73">
              <w:rPr>
                <w:rFonts w:ascii="Times New Roman" w:hAnsi="Times New Roman" w:cs="Times New Roman"/>
                <w:color w:val="000000"/>
                <w:sz w:val="24"/>
                <w:szCs w:val="24"/>
              </w:rPr>
              <w:t>.</w:t>
            </w:r>
            <w:r w:rsidRPr="00361A73">
              <w:rPr>
                <w:rFonts w:ascii="Times New Roman" w:hAnsi="Times New Roman" w:cs="Times New Roman"/>
                <w:color w:val="000000"/>
                <w:sz w:val="24"/>
                <w:szCs w:val="24"/>
              </w:rPr>
              <w:t>85</w:t>
            </w:r>
          </w:p>
        </w:tc>
        <w:tc>
          <w:tcPr>
            <w:tcW w:w="2126" w:type="dxa"/>
          </w:tcPr>
          <w:p w:rsidR="00F93A63" w:rsidRPr="00361A73" w:rsidRDefault="00937F05" w:rsidP="00361A73">
            <w:pPr>
              <w:spacing w:line="360" w:lineRule="auto"/>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5</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6 (</w:t>
            </w:r>
            <w:r w:rsidRPr="00361A73">
              <w:rPr>
                <w:rFonts w:ascii="Times New Roman" w:hAnsi="Times New Roman" w:cs="Times New Roman"/>
                <w:color w:val="000000" w:themeColor="text1"/>
                <w:sz w:val="24"/>
                <w:szCs w:val="24"/>
                <w:lang w:val="en-US"/>
              </w:rPr>
              <w:t>DHS</w:t>
            </w:r>
            <w:r w:rsidR="00952E75" w:rsidRPr="00361A73">
              <w:rPr>
                <w:rFonts w:ascii="Times New Roman" w:hAnsi="Times New Roman" w:cs="Times New Roman"/>
                <w:color w:val="000000" w:themeColor="text1"/>
                <w:sz w:val="24"/>
                <w:szCs w:val="24"/>
              </w:rPr>
              <w:t xml:space="preserve"> 1997)</w:t>
            </w:r>
          </w:p>
        </w:tc>
        <w:tc>
          <w:tcPr>
            <w:tcW w:w="2126" w:type="dxa"/>
          </w:tcPr>
          <w:p w:rsidR="00AE2D04" w:rsidRPr="00361A73" w:rsidRDefault="003C72F4" w:rsidP="00361A73">
            <w:pPr>
              <w:spacing w:line="360" w:lineRule="auto"/>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5</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1</w:t>
            </w:r>
            <w:r w:rsidR="00052726" w:rsidRPr="00361A73">
              <w:rPr>
                <w:rFonts w:ascii="Times New Roman" w:hAnsi="Times New Roman" w:cs="Times New Roman"/>
                <w:color w:val="000000" w:themeColor="text1"/>
                <w:sz w:val="24"/>
                <w:szCs w:val="24"/>
              </w:rPr>
              <w:t xml:space="preserve"> </w:t>
            </w:r>
            <w:r w:rsidR="00937F05" w:rsidRPr="00361A73">
              <w:rPr>
                <w:rFonts w:ascii="Times New Roman" w:hAnsi="Times New Roman" w:cs="Times New Roman"/>
                <w:color w:val="000000" w:themeColor="text1"/>
                <w:sz w:val="24"/>
                <w:szCs w:val="24"/>
              </w:rPr>
              <w:t>(</w:t>
            </w:r>
            <w:r w:rsidR="00937F05" w:rsidRPr="00361A73">
              <w:rPr>
                <w:rFonts w:ascii="Times New Roman" w:hAnsi="Times New Roman" w:cs="Times New Roman"/>
                <w:color w:val="000000" w:themeColor="text1"/>
                <w:sz w:val="24"/>
                <w:szCs w:val="24"/>
                <w:lang w:val="en-US"/>
              </w:rPr>
              <w:t>DHS</w:t>
            </w:r>
            <w:r w:rsidR="00AE2D04" w:rsidRPr="00361A73">
              <w:rPr>
                <w:rFonts w:ascii="Times New Roman" w:hAnsi="Times New Roman" w:cs="Times New Roman"/>
                <w:color w:val="000000" w:themeColor="text1"/>
                <w:sz w:val="24"/>
                <w:szCs w:val="24"/>
              </w:rPr>
              <w:t xml:space="preserve"> 1997)</w:t>
            </w:r>
          </w:p>
          <w:p w:rsidR="00F93A63" w:rsidRPr="00361A73" w:rsidRDefault="00052726" w:rsidP="00361A73">
            <w:pPr>
              <w:spacing w:line="360" w:lineRule="auto"/>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5</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2</w:t>
            </w:r>
            <w:r w:rsidR="009D7F5E" w:rsidRPr="00361A73">
              <w:rPr>
                <w:rFonts w:ascii="Times New Roman" w:hAnsi="Times New Roman" w:cs="Times New Roman"/>
                <w:color w:val="000000" w:themeColor="text1"/>
                <w:sz w:val="24"/>
                <w:szCs w:val="24"/>
                <w:lang w:val="en-US"/>
              </w:rPr>
              <w:t xml:space="preserve"> (Census 1997</w:t>
            </w:r>
            <w:r w:rsidRPr="00361A73">
              <w:rPr>
                <w:rFonts w:ascii="Times New Roman" w:hAnsi="Times New Roman" w:cs="Times New Roman"/>
                <w:color w:val="000000" w:themeColor="text1"/>
                <w:sz w:val="24"/>
                <w:szCs w:val="24"/>
              </w:rPr>
              <w:t>)</w:t>
            </w:r>
          </w:p>
        </w:tc>
        <w:tc>
          <w:tcPr>
            <w:tcW w:w="2127" w:type="dxa"/>
          </w:tcPr>
          <w:p w:rsidR="00AE2D04" w:rsidRPr="00361A73" w:rsidRDefault="003C72F4" w:rsidP="00361A73">
            <w:pPr>
              <w:spacing w:line="360" w:lineRule="auto"/>
              <w:ind w:right="34"/>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5</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8</w:t>
            </w:r>
            <w:r w:rsidR="00052726" w:rsidRPr="00361A73">
              <w:rPr>
                <w:rFonts w:ascii="Times New Roman" w:hAnsi="Times New Roman" w:cs="Times New Roman"/>
                <w:color w:val="000000" w:themeColor="text1"/>
                <w:sz w:val="24"/>
                <w:szCs w:val="24"/>
              </w:rPr>
              <w:t xml:space="preserve"> </w:t>
            </w:r>
            <w:r w:rsidR="00AE2D04" w:rsidRPr="00361A73">
              <w:rPr>
                <w:rFonts w:ascii="Times New Roman" w:hAnsi="Times New Roman" w:cs="Times New Roman"/>
                <w:color w:val="000000" w:themeColor="text1"/>
                <w:sz w:val="24"/>
                <w:szCs w:val="24"/>
              </w:rPr>
              <w:t>(</w:t>
            </w:r>
            <w:r w:rsidR="00937F05" w:rsidRPr="00361A73">
              <w:rPr>
                <w:rFonts w:ascii="Times New Roman" w:hAnsi="Times New Roman" w:cs="Times New Roman"/>
                <w:color w:val="000000" w:themeColor="text1"/>
                <w:sz w:val="24"/>
                <w:szCs w:val="24"/>
              </w:rPr>
              <w:t>DHS</w:t>
            </w:r>
            <w:r w:rsidR="00AE2D04" w:rsidRPr="00361A73">
              <w:rPr>
                <w:rFonts w:ascii="Times New Roman" w:hAnsi="Times New Roman" w:cs="Times New Roman"/>
                <w:color w:val="000000" w:themeColor="text1"/>
                <w:sz w:val="24"/>
                <w:szCs w:val="24"/>
              </w:rPr>
              <w:t xml:space="preserve"> 1997)</w:t>
            </w:r>
          </w:p>
          <w:p w:rsidR="00F93A63" w:rsidRPr="00361A73" w:rsidRDefault="00052726" w:rsidP="00361A73">
            <w:pPr>
              <w:spacing w:line="360" w:lineRule="auto"/>
              <w:ind w:right="34"/>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6</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 xml:space="preserve">2 </w:t>
            </w:r>
            <w:r w:rsidR="009D7F5E" w:rsidRPr="00361A73">
              <w:rPr>
                <w:rFonts w:ascii="Times New Roman" w:hAnsi="Times New Roman" w:cs="Times New Roman"/>
                <w:color w:val="000000" w:themeColor="text1"/>
                <w:sz w:val="24"/>
                <w:szCs w:val="24"/>
                <w:lang w:val="en-US"/>
              </w:rPr>
              <w:t>(Census 1997</w:t>
            </w:r>
            <w:r w:rsidR="009D7F5E" w:rsidRPr="00361A73">
              <w:rPr>
                <w:rFonts w:ascii="Times New Roman" w:hAnsi="Times New Roman" w:cs="Times New Roman"/>
                <w:color w:val="000000" w:themeColor="text1"/>
                <w:sz w:val="24"/>
                <w:szCs w:val="24"/>
              </w:rPr>
              <w:t>)</w:t>
            </w:r>
          </w:p>
        </w:tc>
      </w:tr>
      <w:tr w:rsidR="009D7F5E" w:rsidRPr="00361A73" w:rsidTr="009D7F5E">
        <w:tc>
          <w:tcPr>
            <w:tcW w:w="1526" w:type="dxa"/>
          </w:tcPr>
          <w:p w:rsidR="00F93A63" w:rsidRPr="00361A73" w:rsidRDefault="00F93A63" w:rsidP="00361A73">
            <w:pPr>
              <w:spacing w:line="360" w:lineRule="auto"/>
              <w:ind w:right="-143"/>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2000–2005</w:t>
            </w:r>
          </w:p>
        </w:tc>
        <w:tc>
          <w:tcPr>
            <w:tcW w:w="1701" w:type="dxa"/>
          </w:tcPr>
          <w:p w:rsidR="00F93A63" w:rsidRPr="00361A73" w:rsidRDefault="00F93A63"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lang w:val="en-US"/>
              </w:rPr>
              <w:t>5</w:t>
            </w:r>
            <w:r w:rsidR="009D7F5E" w:rsidRPr="00361A73">
              <w:rPr>
                <w:rFonts w:ascii="Times New Roman" w:hAnsi="Times New Roman" w:cs="Times New Roman"/>
                <w:color w:val="000000"/>
                <w:sz w:val="24"/>
                <w:szCs w:val="24"/>
                <w:lang w:val="en-US"/>
              </w:rPr>
              <w:t>.</w:t>
            </w:r>
            <w:r w:rsidRPr="00361A73">
              <w:rPr>
                <w:rFonts w:ascii="Times New Roman" w:hAnsi="Times New Roman" w:cs="Times New Roman"/>
                <w:color w:val="000000"/>
                <w:sz w:val="24"/>
                <w:szCs w:val="24"/>
                <w:lang w:val="en-US"/>
              </w:rPr>
              <w:t>52</w:t>
            </w:r>
          </w:p>
        </w:tc>
        <w:tc>
          <w:tcPr>
            <w:tcW w:w="2126" w:type="dxa"/>
          </w:tcPr>
          <w:p w:rsidR="00F93A63" w:rsidRPr="00361A73" w:rsidRDefault="003C72F4" w:rsidP="00361A73">
            <w:pPr>
              <w:spacing w:line="360" w:lineRule="auto"/>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5</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5 (</w:t>
            </w:r>
            <w:r w:rsidR="00937F05" w:rsidRPr="00361A73">
              <w:rPr>
                <w:rFonts w:ascii="Times New Roman" w:hAnsi="Times New Roman" w:cs="Times New Roman"/>
                <w:color w:val="000000" w:themeColor="text1"/>
                <w:sz w:val="24"/>
                <w:szCs w:val="24"/>
              </w:rPr>
              <w:t>DHS</w:t>
            </w:r>
            <w:r w:rsidRPr="00361A73">
              <w:rPr>
                <w:rFonts w:ascii="Times New Roman" w:hAnsi="Times New Roman" w:cs="Times New Roman"/>
                <w:color w:val="000000" w:themeColor="text1"/>
                <w:sz w:val="24"/>
                <w:szCs w:val="24"/>
              </w:rPr>
              <w:t xml:space="preserve"> 2003)</w:t>
            </w:r>
          </w:p>
        </w:tc>
        <w:tc>
          <w:tcPr>
            <w:tcW w:w="2126" w:type="dxa"/>
          </w:tcPr>
          <w:p w:rsidR="00F93A63" w:rsidRPr="00361A73" w:rsidRDefault="003C72F4" w:rsidP="00361A73">
            <w:pPr>
              <w:spacing w:line="360" w:lineRule="auto"/>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4</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4</w:t>
            </w:r>
            <w:r w:rsidR="00AE2D04" w:rsidRPr="00361A73">
              <w:rPr>
                <w:rFonts w:ascii="Times New Roman" w:hAnsi="Times New Roman" w:cs="Times New Roman"/>
                <w:color w:val="000000" w:themeColor="text1"/>
                <w:sz w:val="24"/>
                <w:szCs w:val="24"/>
              </w:rPr>
              <w:t xml:space="preserve"> (</w:t>
            </w:r>
            <w:r w:rsidR="00937F05" w:rsidRPr="00361A73">
              <w:rPr>
                <w:rFonts w:ascii="Times New Roman" w:hAnsi="Times New Roman" w:cs="Times New Roman"/>
                <w:color w:val="000000" w:themeColor="text1"/>
                <w:sz w:val="24"/>
                <w:szCs w:val="24"/>
              </w:rPr>
              <w:t>DHS</w:t>
            </w:r>
            <w:r w:rsidR="00AE2D04" w:rsidRPr="00361A73">
              <w:rPr>
                <w:rFonts w:ascii="Times New Roman" w:hAnsi="Times New Roman" w:cs="Times New Roman"/>
                <w:color w:val="000000" w:themeColor="text1"/>
                <w:sz w:val="24"/>
                <w:szCs w:val="24"/>
              </w:rPr>
              <w:t xml:space="preserve"> 2003)</w:t>
            </w:r>
          </w:p>
        </w:tc>
        <w:tc>
          <w:tcPr>
            <w:tcW w:w="2127" w:type="dxa"/>
          </w:tcPr>
          <w:p w:rsidR="00F93A63" w:rsidRPr="00361A73" w:rsidRDefault="003C72F4" w:rsidP="00361A73">
            <w:pPr>
              <w:spacing w:line="360" w:lineRule="auto"/>
              <w:ind w:right="34"/>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6</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1</w:t>
            </w:r>
            <w:r w:rsidR="00AE2D04" w:rsidRPr="00361A73">
              <w:rPr>
                <w:rFonts w:ascii="Times New Roman" w:hAnsi="Times New Roman" w:cs="Times New Roman"/>
                <w:color w:val="000000" w:themeColor="text1"/>
                <w:sz w:val="24"/>
                <w:szCs w:val="24"/>
              </w:rPr>
              <w:t xml:space="preserve"> (</w:t>
            </w:r>
            <w:r w:rsidR="00937F05" w:rsidRPr="00361A73">
              <w:rPr>
                <w:rFonts w:ascii="Times New Roman" w:hAnsi="Times New Roman" w:cs="Times New Roman"/>
                <w:color w:val="000000" w:themeColor="text1"/>
                <w:sz w:val="24"/>
                <w:szCs w:val="24"/>
              </w:rPr>
              <w:t>DHS</w:t>
            </w:r>
            <w:r w:rsidR="00AE2D04" w:rsidRPr="00361A73">
              <w:rPr>
                <w:rFonts w:ascii="Times New Roman" w:hAnsi="Times New Roman" w:cs="Times New Roman"/>
                <w:color w:val="000000" w:themeColor="text1"/>
                <w:sz w:val="24"/>
                <w:szCs w:val="24"/>
              </w:rPr>
              <w:t xml:space="preserve"> 2003)</w:t>
            </w:r>
          </w:p>
        </w:tc>
      </w:tr>
      <w:tr w:rsidR="009D7F5E" w:rsidRPr="00361A73" w:rsidTr="009D7F5E">
        <w:tc>
          <w:tcPr>
            <w:tcW w:w="1526" w:type="dxa"/>
          </w:tcPr>
          <w:p w:rsidR="00F93A63" w:rsidRPr="00361A73" w:rsidRDefault="00F93A63" w:rsidP="00361A73">
            <w:pPr>
              <w:spacing w:line="360" w:lineRule="auto"/>
              <w:ind w:right="-143"/>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 xml:space="preserve">2005–2010 </w:t>
            </w:r>
          </w:p>
        </w:tc>
        <w:tc>
          <w:tcPr>
            <w:tcW w:w="1701" w:type="dxa"/>
          </w:tcPr>
          <w:p w:rsidR="00F93A63" w:rsidRPr="00361A73" w:rsidRDefault="00F93A63"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lang w:val="en-US"/>
              </w:rPr>
              <w:t>5</w:t>
            </w:r>
            <w:r w:rsidR="009D7F5E" w:rsidRPr="00361A73">
              <w:rPr>
                <w:rFonts w:ascii="Times New Roman" w:hAnsi="Times New Roman" w:cs="Times New Roman"/>
                <w:color w:val="000000"/>
                <w:sz w:val="24"/>
                <w:szCs w:val="24"/>
                <w:lang w:val="en-US"/>
              </w:rPr>
              <w:t>.</w:t>
            </w:r>
            <w:r w:rsidRPr="00361A73">
              <w:rPr>
                <w:rFonts w:ascii="Times New Roman" w:hAnsi="Times New Roman" w:cs="Times New Roman"/>
                <w:color w:val="000000"/>
                <w:sz w:val="24"/>
                <w:szCs w:val="24"/>
                <w:lang w:val="en-US"/>
              </w:rPr>
              <w:t>11</w:t>
            </w:r>
          </w:p>
        </w:tc>
        <w:tc>
          <w:tcPr>
            <w:tcW w:w="2126" w:type="dxa"/>
          </w:tcPr>
          <w:p w:rsidR="00F93A63" w:rsidRPr="00361A73" w:rsidRDefault="00052726" w:rsidP="00361A73">
            <w:pPr>
              <w:spacing w:line="360" w:lineRule="auto"/>
              <w:jc w:val="both"/>
              <w:rPr>
                <w:rFonts w:ascii="Times New Roman" w:hAnsi="Times New Roman" w:cs="Times New Roman"/>
                <w:i/>
                <w:color w:val="000000" w:themeColor="text1"/>
                <w:sz w:val="24"/>
                <w:szCs w:val="24"/>
              </w:rPr>
            </w:pPr>
            <w:r w:rsidRPr="00361A73">
              <w:rPr>
                <w:rFonts w:ascii="Times New Roman" w:hAnsi="Times New Roman" w:cs="Times New Roman"/>
                <w:i/>
                <w:color w:val="000000" w:themeColor="text1"/>
                <w:sz w:val="24"/>
                <w:szCs w:val="24"/>
              </w:rPr>
              <w:t>5</w:t>
            </w:r>
            <w:r w:rsidR="009D7F5E" w:rsidRPr="00361A73">
              <w:rPr>
                <w:rFonts w:ascii="Times New Roman" w:hAnsi="Times New Roman" w:cs="Times New Roman"/>
                <w:i/>
                <w:color w:val="000000" w:themeColor="text1"/>
                <w:sz w:val="24"/>
                <w:szCs w:val="24"/>
              </w:rPr>
              <w:t>.</w:t>
            </w:r>
            <w:r w:rsidRPr="00361A73">
              <w:rPr>
                <w:rFonts w:ascii="Times New Roman" w:hAnsi="Times New Roman" w:cs="Times New Roman"/>
                <w:i/>
                <w:color w:val="000000" w:themeColor="text1"/>
                <w:sz w:val="24"/>
                <w:szCs w:val="24"/>
              </w:rPr>
              <w:t xml:space="preserve">7 </w:t>
            </w:r>
            <w:r w:rsidR="00AE2D04" w:rsidRPr="00361A73">
              <w:rPr>
                <w:rFonts w:ascii="Times New Roman" w:hAnsi="Times New Roman" w:cs="Times New Roman"/>
                <w:color w:val="000000" w:themeColor="text1"/>
                <w:sz w:val="24"/>
                <w:szCs w:val="24"/>
              </w:rPr>
              <w:t>(</w:t>
            </w:r>
            <w:r w:rsidR="009D7F5E" w:rsidRPr="00361A73">
              <w:rPr>
                <w:rFonts w:ascii="Times New Roman" w:hAnsi="Times New Roman" w:cs="Times New Roman"/>
                <w:color w:val="000000" w:themeColor="text1"/>
                <w:sz w:val="24"/>
                <w:szCs w:val="24"/>
                <w:lang w:val="en-US"/>
              </w:rPr>
              <w:t xml:space="preserve">Census </w:t>
            </w:r>
            <w:r w:rsidR="00AE2D04" w:rsidRPr="00361A73">
              <w:rPr>
                <w:rFonts w:ascii="Times New Roman" w:hAnsi="Times New Roman" w:cs="Times New Roman"/>
                <w:color w:val="000000" w:themeColor="text1"/>
                <w:sz w:val="24"/>
                <w:szCs w:val="24"/>
              </w:rPr>
              <w:t>2007)</w:t>
            </w:r>
          </w:p>
        </w:tc>
        <w:tc>
          <w:tcPr>
            <w:tcW w:w="2126" w:type="dxa"/>
          </w:tcPr>
          <w:p w:rsidR="00F93A63" w:rsidRPr="00361A73" w:rsidRDefault="003C72F4" w:rsidP="00361A73">
            <w:pPr>
              <w:spacing w:line="360" w:lineRule="auto"/>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4</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3</w:t>
            </w:r>
            <w:r w:rsidR="00AE2D04" w:rsidRPr="00361A73">
              <w:rPr>
                <w:rFonts w:ascii="Times New Roman" w:hAnsi="Times New Roman" w:cs="Times New Roman"/>
                <w:color w:val="000000" w:themeColor="text1"/>
                <w:sz w:val="24"/>
                <w:szCs w:val="24"/>
              </w:rPr>
              <w:t xml:space="preserve"> </w:t>
            </w:r>
            <w:r w:rsidR="009D7F5E" w:rsidRPr="00361A73">
              <w:rPr>
                <w:rFonts w:ascii="Times New Roman" w:hAnsi="Times New Roman" w:cs="Times New Roman"/>
                <w:color w:val="000000" w:themeColor="text1"/>
                <w:sz w:val="24"/>
                <w:szCs w:val="24"/>
              </w:rPr>
              <w:t>(</w:t>
            </w:r>
            <w:r w:rsidR="009D7F5E" w:rsidRPr="00361A73">
              <w:rPr>
                <w:rFonts w:ascii="Times New Roman" w:hAnsi="Times New Roman" w:cs="Times New Roman"/>
                <w:color w:val="000000" w:themeColor="text1"/>
                <w:sz w:val="24"/>
                <w:szCs w:val="24"/>
                <w:lang w:val="en-US"/>
              </w:rPr>
              <w:t xml:space="preserve">Census </w:t>
            </w:r>
            <w:r w:rsidR="009D7F5E" w:rsidRPr="00361A73">
              <w:rPr>
                <w:rFonts w:ascii="Times New Roman" w:hAnsi="Times New Roman" w:cs="Times New Roman"/>
                <w:color w:val="000000" w:themeColor="text1"/>
                <w:sz w:val="24"/>
                <w:szCs w:val="24"/>
              </w:rPr>
              <w:t>2007)</w:t>
            </w:r>
          </w:p>
        </w:tc>
        <w:tc>
          <w:tcPr>
            <w:tcW w:w="2127" w:type="dxa"/>
          </w:tcPr>
          <w:p w:rsidR="00F93A63" w:rsidRPr="00361A73" w:rsidRDefault="003C72F4" w:rsidP="00361A73">
            <w:pPr>
              <w:spacing w:line="360" w:lineRule="auto"/>
              <w:ind w:right="34"/>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6</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3</w:t>
            </w:r>
            <w:r w:rsidR="00AE2D04" w:rsidRPr="00361A73">
              <w:rPr>
                <w:rFonts w:ascii="Times New Roman" w:hAnsi="Times New Roman" w:cs="Times New Roman"/>
                <w:color w:val="000000" w:themeColor="text1"/>
                <w:sz w:val="24"/>
                <w:szCs w:val="24"/>
              </w:rPr>
              <w:t xml:space="preserve"> </w:t>
            </w:r>
            <w:r w:rsidR="009D7F5E" w:rsidRPr="00361A73">
              <w:rPr>
                <w:rFonts w:ascii="Times New Roman" w:hAnsi="Times New Roman" w:cs="Times New Roman"/>
                <w:color w:val="000000" w:themeColor="text1"/>
                <w:sz w:val="24"/>
                <w:szCs w:val="24"/>
              </w:rPr>
              <w:t>(</w:t>
            </w:r>
            <w:r w:rsidR="009D7F5E" w:rsidRPr="00361A73">
              <w:rPr>
                <w:rFonts w:ascii="Times New Roman" w:hAnsi="Times New Roman" w:cs="Times New Roman"/>
                <w:color w:val="000000" w:themeColor="text1"/>
                <w:sz w:val="24"/>
                <w:szCs w:val="24"/>
                <w:lang w:val="en-US"/>
              </w:rPr>
              <w:t xml:space="preserve">Census </w:t>
            </w:r>
            <w:r w:rsidR="009D7F5E" w:rsidRPr="00361A73">
              <w:rPr>
                <w:rFonts w:ascii="Times New Roman" w:hAnsi="Times New Roman" w:cs="Times New Roman"/>
                <w:color w:val="000000" w:themeColor="text1"/>
                <w:sz w:val="24"/>
                <w:szCs w:val="24"/>
              </w:rPr>
              <w:t>2007)</w:t>
            </w:r>
          </w:p>
        </w:tc>
      </w:tr>
      <w:tr w:rsidR="009D7F5E" w:rsidRPr="00361A73" w:rsidTr="009D7F5E">
        <w:tc>
          <w:tcPr>
            <w:tcW w:w="1526" w:type="dxa"/>
          </w:tcPr>
          <w:p w:rsidR="00F93A63" w:rsidRPr="00361A73" w:rsidRDefault="00F93A63" w:rsidP="00361A73">
            <w:pPr>
              <w:spacing w:line="360" w:lineRule="auto"/>
              <w:ind w:right="-143"/>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2010–2015</w:t>
            </w:r>
          </w:p>
        </w:tc>
        <w:tc>
          <w:tcPr>
            <w:tcW w:w="1701" w:type="dxa"/>
          </w:tcPr>
          <w:p w:rsidR="00F93A63" w:rsidRPr="00361A73" w:rsidRDefault="00F93A63"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lang w:val="en-US"/>
              </w:rPr>
              <w:t>4</w:t>
            </w:r>
            <w:r w:rsidR="009D7F5E" w:rsidRPr="00361A73">
              <w:rPr>
                <w:rFonts w:ascii="Times New Roman" w:hAnsi="Times New Roman" w:cs="Times New Roman"/>
                <w:color w:val="000000"/>
                <w:sz w:val="24"/>
                <w:szCs w:val="24"/>
                <w:lang w:val="en-US"/>
              </w:rPr>
              <w:t>.</w:t>
            </w:r>
            <w:r w:rsidRPr="00361A73">
              <w:rPr>
                <w:rFonts w:ascii="Times New Roman" w:hAnsi="Times New Roman" w:cs="Times New Roman"/>
                <w:color w:val="000000"/>
                <w:sz w:val="24"/>
                <w:szCs w:val="24"/>
                <w:lang w:val="en-US"/>
              </w:rPr>
              <w:t>71</w:t>
            </w:r>
          </w:p>
        </w:tc>
        <w:tc>
          <w:tcPr>
            <w:tcW w:w="2126" w:type="dxa"/>
          </w:tcPr>
          <w:p w:rsidR="00F93A63" w:rsidRPr="00361A73" w:rsidRDefault="003C72F4" w:rsidP="00361A73">
            <w:pPr>
              <w:spacing w:line="360" w:lineRule="auto"/>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5</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 xml:space="preserve">9 </w:t>
            </w:r>
            <w:r w:rsidR="00F93A63" w:rsidRPr="00361A73">
              <w:rPr>
                <w:rFonts w:ascii="Times New Roman" w:hAnsi="Times New Roman" w:cs="Times New Roman"/>
                <w:color w:val="000000" w:themeColor="text1"/>
                <w:sz w:val="24"/>
                <w:szCs w:val="24"/>
              </w:rPr>
              <w:t>(</w:t>
            </w:r>
            <w:r w:rsidR="00937F05" w:rsidRPr="00361A73">
              <w:rPr>
                <w:rFonts w:ascii="Times New Roman" w:hAnsi="Times New Roman" w:cs="Times New Roman"/>
                <w:color w:val="000000" w:themeColor="text1"/>
                <w:sz w:val="24"/>
                <w:szCs w:val="24"/>
              </w:rPr>
              <w:t>DHS</w:t>
            </w:r>
            <w:r w:rsidR="00F93A63" w:rsidRPr="00361A73">
              <w:rPr>
                <w:rFonts w:ascii="Times New Roman" w:hAnsi="Times New Roman" w:cs="Times New Roman"/>
                <w:color w:val="000000" w:themeColor="text1"/>
                <w:sz w:val="24"/>
                <w:szCs w:val="24"/>
              </w:rPr>
              <w:t xml:space="preserve"> 2011)</w:t>
            </w:r>
          </w:p>
        </w:tc>
        <w:tc>
          <w:tcPr>
            <w:tcW w:w="2126" w:type="dxa"/>
          </w:tcPr>
          <w:p w:rsidR="00F93A63" w:rsidRPr="00361A73" w:rsidRDefault="00052726" w:rsidP="00361A73">
            <w:pPr>
              <w:spacing w:line="360" w:lineRule="auto"/>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4</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5</w:t>
            </w:r>
            <w:r w:rsidR="00AE2D04" w:rsidRPr="00361A73">
              <w:rPr>
                <w:rFonts w:ascii="Times New Roman" w:hAnsi="Times New Roman" w:cs="Times New Roman"/>
                <w:color w:val="000000" w:themeColor="text1"/>
                <w:sz w:val="24"/>
                <w:szCs w:val="24"/>
              </w:rPr>
              <w:t xml:space="preserve"> (</w:t>
            </w:r>
            <w:r w:rsidR="00937F05" w:rsidRPr="00361A73">
              <w:rPr>
                <w:rFonts w:ascii="Times New Roman" w:hAnsi="Times New Roman" w:cs="Times New Roman"/>
                <w:color w:val="000000" w:themeColor="text1"/>
                <w:sz w:val="24"/>
                <w:szCs w:val="24"/>
              </w:rPr>
              <w:t>DHS</w:t>
            </w:r>
            <w:r w:rsidR="00AE2D04" w:rsidRPr="00361A73">
              <w:rPr>
                <w:rFonts w:ascii="Times New Roman" w:hAnsi="Times New Roman" w:cs="Times New Roman"/>
                <w:color w:val="000000" w:themeColor="text1"/>
                <w:sz w:val="24"/>
                <w:szCs w:val="24"/>
              </w:rPr>
              <w:t xml:space="preserve"> 2011)</w:t>
            </w:r>
          </w:p>
        </w:tc>
        <w:tc>
          <w:tcPr>
            <w:tcW w:w="2127" w:type="dxa"/>
          </w:tcPr>
          <w:p w:rsidR="00F93A63" w:rsidRPr="00361A73" w:rsidRDefault="00052726" w:rsidP="00361A73">
            <w:pPr>
              <w:spacing w:line="360" w:lineRule="auto"/>
              <w:ind w:right="34"/>
              <w:jc w:val="both"/>
              <w:rPr>
                <w:rFonts w:ascii="Times New Roman" w:hAnsi="Times New Roman" w:cs="Times New Roman"/>
                <w:color w:val="000000" w:themeColor="text1"/>
                <w:sz w:val="24"/>
                <w:szCs w:val="24"/>
              </w:rPr>
            </w:pPr>
            <w:r w:rsidRPr="00361A73">
              <w:rPr>
                <w:rFonts w:ascii="Times New Roman" w:hAnsi="Times New Roman" w:cs="Times New Roman"/>
                <w:color w:val="000000" w:themeColor="text1"/>
                <w:sz w:val="24"/>
                <w:szCs w:val="24"/>
              </w:rPr>
              <w:t>6</w:t>
            </w:r>
            <w:r w:rsidR="009D7F5E" w:rsidRPr="00361A73">
              <w:rPr>
                <w:rFonts w:ascii="Times New Roman" w:hAnsi="Times New Roman" w:cs="Times New Roman"/>
                <w:color w:val="000000" w:themeColor="text1"/>
                <w:sz w:val="24"/>
                <w:szCs w:val="24"/>
              </w:rPr>
              <w:t>.</w:t>
            </w:r>
            <w:r w:rsidRPr="00361A73">
              <w:rPr>
                <w:rFonts w:ascii="Times New Roman" w:hAnsi="Times New Roman" w:cs="Times New Roman"/>
                <w:color w:val="000000" w:themeColor="text1"/>
                <w:sz w:val="24"/>
                <w:szCs w:val="24"/>
              </w:rPr>
              <w:t>6</w:t>
            </w:r>
            <w:r w:rsidR="009D7F5E"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rPr>
              <w:t>(</w:t>
            </w:r>
            <w:r w:rsidR="00937F05" w:rsidRPr="00361A73">
              <w:rPr>
                <w:rFonts w:ascii="Times New Roman" w:hAnsi="Times New Roman" w:cs="Times New Roman"/>
                <w:color w:val="000000" w:themeColor="text1"/>
                <w:sz w:val="24"/>
                <w:szCs w:val="24"/>
              </w:rPr>
              <w:t>DHS</w:t>
            </w:r>
            <w:r w:rsidR="00AE2D04" w:rsidRPr="00361A73">
              <w:rPr>
                <w:rFonts w:ascii="Times New Roman" w:hAnsi="Times New Roman" w:cs="Times New Roman"/>
                <w:color w:val="000000" w:themeColor="text1"/>
                <w:sz w:val="24"/>
                <w:szCs w:val="24"/>
              </w:rPr>
              <w:t xml:space="preserve"> 2011)</w:t>
            </w:r>
          </w:p>
        </w:tc>
      </w:tr>
    </w:tbl>
    <w:p w:rsidR="003F3B8C" w:rsidRPr="00361A73" w:rsidRDefault="00865788" w:rsidP="00361A73">
      <w:pPr>
        <w:spacing w:after="0" w:line="360" w:lineRule="auto"/>
        <w:ind w:right="-142"/>
        <w:jc w:val="both"/>
        <w:rPr>
          <w:rFonts w:ascii="Times New Roman" w:hAnsi="Times New Roman" w:cs="Times New Roman"/>
          <w:color w:val="000000" w:themeColor="text1"/>
          <w:sz w:val="24"/>
          <w:szCs w:val="24"/>
          <w:lang w:val="en-US"/>
        </w:rPr>
      </w:pPr>
      <w:r w:rsidRPr="00361A73">
        <w:rPr>
          <w:rFonts w:ascii="Times New Roman" w:hAnsi="Times New Roman" w:cs="Times New Roman"/>
          <w:color w:val="000000" w:themeColor="text1"/>
          <w:sz w:val="24"/>
          <w:szCs w:val="24"/>
          <w:lang w:val="en-US"/>
        </w:rPr>
        <w:t>Data sources</w:t>
      </w:r>
      <w:r w:rsidR="00952E75" w:rsidRPr="00361A73">
        <w:rPr>
          <w:rFonts w:ascii="Times New Roman" w:hAnsi="Times New Roman" w:cs="Times New Roman"/>
          <w:color w:val="000000" w:themeColor="text1"/>
          <w:sz w:val="24"/>
          <w:szCs w:val="24"/>
          <w:lang w:val="en-US"/>
        </w:rPr>
        <w:t xml:space="preserve">: </w:t>
      </w:r>
      <w:r w:rsidRPr="00361A73">
        <w:rPr>
          <w:rFonts w:ascii="Times New Roman" w:hAnsi="Times New Roman" w:cs="Times New Roman"/>
          <w:color w:val="000000" w:themeColor="text1"/>
          <w:sz w:val="24"/>
          <w:szCs w:val="24"/>
          <w:lang w:val="en-US"/>
        </w:rPr>
        <w:t>Census</w:t>
      </w:r>
      <w:r w:rsidR="00476BE4" w:rsidRPr="00361A73">
        <w:rPr>
          <w:rFonts w:ascii="Times New Roman" w:hAnsi="Times New Roman" w:cs="Times New Roman"/>
          <w:color w:val="000000" w:themeColor="text1"/>
          <w:sz w:val="24"/>
          <w:szCs w:val="24"/>
          <w:lang w:val="en-US"/>
        </w:rPr>
        <w:t xml:space="preserve"> 1997 </w:t>
      </w:r>
      <w:r w:rsidRPr="00361A73">
        <w:rPr>
          <w:rFonts w:ascii="Times New Roman" w:hAnsi="Times New Roman" w:cs="Times New Roman"/>
          <w:color w:val="000000" w:themeColor="text1"/>
          <w:sz w:val="24"/>
          <w:szCs w:val="24"/>
          <w:lang w:val="en-US"/>
        </w:rPr>
        <w:t xml:space="preserve">and Census 2007 </w:t>
      </w:r>
      <w:r w:rsidRPr="00361A73">
        <w:rPr>
          <w:rFonts w:ascii="Times New Roman" w:hAnsi="Times New Roman" w:cs="Times New Roman"/>
          <w:color w:val="000000" w:themeColor="text1"/>
          <w:sz w:val="24"/>
          <w:szCs w:val="24"/>
        </w:rPr>
        <w:t>г</w:t>
      </w:r>
      <w:r w:rsidRPr="00361A73">
        <w:rPr>
          <w:rFonts w:ascii="Times New Roman" w:hAnsi="Times New Roman" w:cs="Times New Roman"/>
          <w:color w:val="000000" w:themeColor="text1"/>
          <w:sz w:val="24"/>
          <w:szCs w:val="24"/>
          <w:lang w:val="en-US"/>
        </w:rPr>
        <w:t>. quoted as presented in</w:t>
      </w:r>
      <w:r w:rsidR="00476BE4" w:rsidRPr="00361A73">
        <w:rPr>
          <w:rFonts w:ascii="Times New Roman" w:hAnsi="Times New Roman" w:cs="Times New Roman"/>
          <w:color w:val="000000" w:themeColor="text1"/>
          <w:sz w:val="24"/>
          <w:szCs w:val="24"/>
          <w:lang w:val="en-US"/>
        </w:rPr>
        <w:t xml:space="preserve"> </w:t>
      </w:r>
      <w:proofErr w:type="spellStart"/>
      <w:r w:rsidR="00476BE4" w:rsidRPr="00361A73">
        <w:rPr>
          <w:rFonts w:ascii="Times New Roman" w:hAnsi="Times New Roman" w:cs="Times New Roman"/>
          <w:color w:val="000000" w:themeColor="text1"/>
          <w:sz w:val="24"/>
          <w:szCs w:val="24"/>
          <w:lang w:val="en-US"/>
        </w:rPr>
        <w:t>Maunze</w:t>
      </w:r>
      <w:proofErr w:type="spellEnd"/>
      <w:r w:rsidRPr="00361A73">
        <w:rPr>
          <w:rFonts w:ascii="Times New Roman" w:hAnsi="Times New Roman" w:cs="Times New Roman"/>
          <w:color w:val="000000" w:themeColor="text1"/>
          <w:sz w:val="24"/>
          <w:szCs w:val="24"/>
          <w:lang w:val="en-US"/>
        </w:rPr>
        <w:t xml:space="preserve"> 2009;</w:t>
      </w:r>
      <w:r w:rsidR="00476BE4" w:rsidRPr="00361A73">
        <w:rPr>
          <w:rFonts w:ascii="Times New Roman" w:hAnsi="Times New Roman" w:cs="Times New Roman"/>
          <w:color w:val="000000" w:themeColor="text1"/>
          <w:sz w:val="24"/>
          <w:szCs w:val="24"/>
          <w:lang w:val="en-US"/>
        </w:rPr>
        <w:t xml:space="preserve"> </w:t>
      </w:r>
      <w:r w:rsidRPr="00361A73">
        <w:rPr>
          <w:rFonts w:ascii="Times New Roman" w:hAnsi="Times New Roman" w:cs="Times New Roman"/>
          <w:color w:val="000000" w:themeColor="text1"/>
          <w:sz w:val="24"/>
          <w:szCs w:val="24"/>
          <w:lang w:val="en-US"/>
        </w:rPr>
        <w:t xml:space="preserve">for TFR forecast values in the medium UN scenario see </w:t>
      </w:r>
      <w:r w:rsidR="00AE2D04" w:rsidRPr="00361A73">
        <w:rPr>
          <w:rFonts w:ascii="Times New Roman" w:hAnsi="Times New Roman" w:cs="Times New Roman"/>
          <w:color w:val="000000" w:themeColor="text1"/>
          <w:sz w:val="24"/>
          <w:szCs w:val="24"/>
          <w:lang w:val="fr-FR"/>
        </w:rPr>
        <w:t>UN</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Population</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Division</w:t>
      </w:r>
      <w:r w:rsidR="007D02F6" w:rsidRPr="00361A73">
        <w:rPr>
          <w:rFonts w:ascii="Times New Roman" w:hAnsi="Times New Roman" w:cs="Times New Roman"/>
          <w:color w:val="000000" w:themeColor="text1"/>
          <w:sz w:val="24"/>
          <w:szCs w:val="24"/>
          <w:lang w:val="en-US"/>
        </w:rPr>
        <w:t xml:space="preserve"> 2013</w:t>
      </w:r>
      <w:r w:rsidR="00AE2D04" w:rsidRPr="00361A73">
        <w:rPr>
          <w:rFonts w:ascii="Times New Roman" w:hAnsi="Times New Roman" w:cs="Times New Roman"/>
          <w:color w:val="000000" w:themeColor="text1"/>
          <w:sz w:val="24"/>
          <w:szCs w:val="24"/>
          <w:lang w:val="en-US"/>
        </w:rPr>
        <w:t>;</w:t>
      </w:r>
      <w:r w:rsidR="00476BE4" w:rsidRPr="00361A73">
        <w:rPr>
          <w:rFonts w:ascii="Times New Roman" w:hAnsi="Times New Roman" w:cs="Times New Roman"/>
          <w:color w:val="000000" w:themeColor="text1"/>
          <w:sz w:val="24"/>
          <w:szCs w:val="24"/>
          <w:lang w:val="en-US"/>
        </w:rPr>
        <w:t xml:space="preserve"> </w:t>
      </w:r>
      <w:r w:rsidRPr="00361A73">
        <w:rPr>
          <w:rFonts w:ascii="Times New Roman" w:hAnsi="Times New Roman" w:cs="Times New Roman"/>
          <w:color w:val="000000" w:themeColor="text1"/>
          <w:sz w:val="24"/>
          <w:szCs w:val="24"/>
          <w:lang w:val="en-US"/>
        </w:rPr>
        <w:t>DHS</w:t>
      </w:r>
      <w:r w:rsidR="00952E75" w:rsidRPr="00361A73">
        <w:rPr>
          <w:rFonts w:ascii="Times New Roman" w:hAnsi="Times New Roman" w:cs="Times New Roman"/>
          <w:color w:val="000000" w:themeColor="text1"/>
          <w:sz w:val="24"/>
          <w:szCs w:val="24"/>
          <w:lang w:val="en-US"/>
        </w:rPr>
        <w:t xml:space="preserve"> 1997</w:t>
      </w:r>
      <w:r w:rsidR="00AE2D04" w:rsidRPr="00361A73">
        <w:rPr>
          <w:rFonts w:ascii="Times New Roman" w:hAnsi="Times New Roman" w:cs="Times New Roman"/>
          <w:color w:val="000000" w:themeColor="text1"/>
          <w:sz w:val="24"/>
          <w:szCs w:val="24"/>
          <w:lang w:val="en-US"/>
        </w:rPr>
        <w:t xml:space="preserve"> – da </w:t>
      </w:r>
      <w:r w:rsidR="00AE2D04" w:rsidRPr="00361A73">
        <w:rPr>
          <w:rFonts w:ascii="Times New Roman" w:hAnsi="Times New Roman" w:cs="Times New Roman"/>
          <w:color w:val="000000" w:themeColor="text1"/>
          <w:sz w:val="24"/>
          <w:szCs w:val="24"/>
          <w:lang w:val="en-US"/>
        </w:rPr>
        <w:lastRenderedPageBreak/>
        <w:t xml:space="preserve">Costa Gaspar et al. 1998; </w:t>
      </w:r>
      <w:r w:rsidRPr="00361A73">
        <w:rPr>
          <w:rFonts w:ascii="Times New Roman" w:hAnsi="Times New Roman" w:cs="Times New Roman"/>
          <w:color w:val="000000" w:themeColor="text1"/>
          <w:sz w:val="24"/>
          <w:szCs w:val="24"/>
          <w:lang w:val="en-US"/>
        </w:rPr>
        <w:t>DHS</w:t>
      </w:r>
      <w:r w:rsidR="00952E75" w:rsidRPr="00361A73">
        <w:rPr>
          <w:rFonts w:ascii="Times New Roman" w:hAnsi="Times New Roman" w:cs="Times New Roman"/>
          <w:color w:val="000000" w:themeColor="text1"/>
          <w:sz w:val="24"/>
          <w:szCs w:val="24"/>
          <w:lang w:val="en-US"/>
        </w:rPr>
        <w:t xml:space="preserve"> 2003</w:t>
      </w:r>
      <w:r w:rsidR="00AE2D04" w:rsidRPr="00361A73">
        <w:rPr>
          <w:rFonts w:ascii="Times New Roman" w:hAnsi="Times New Roman" w:cs="Times New Roman"/>
          <w:color w:val="000000" w:themeColor="text1"/>
          <w:sz w:val="24"/>
          <w:szCs w:val="24"/>
          <w:lang w:val="en-US"/>
        </w:rPr>
        <w:t xml:space="preserve"> – </w:t>
      </w:r>
      <w:r w:rsidR="00AE2D04" w:rsidRPr="00361A73">
        <w:rPr>
          <w:rFonts w:ascii="Times New Roman" w:hAnsi="Times New Roman" w:cs="Times New Roman"/>
          <w:color w:val="000000" w:themeColor="text1"/>
          <w:sz w:val="24"/>
          <w:szCs w:val="24"/>
          <w:lang w:val="fr-FR"/>
        </w:rPr>
        <w:t>Instituto</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Nacional</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de</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Estat</w:t>
      </w:r>
      <w:r w:rsidR="00AE2D04" w:rsidRPr="00361A73">
        <w:rPr>
          <w:rFonts w:ascii="Times New Roman" w:hAnsi="Times New Roman" w:cs="Times New Roman"/>
          <w:color w:val="000000" w:themeColor="text1"/>
          <w:sz w:val="24"/>
          <w:szCs w:val="24"/>
          <w:lang w:val="en-US"/>
        </w:rPr>
        <w:t>í</w:t>
      </w:r>
      <w:r w:rsidR="00AE2D04" w:rsidRPr="00361A73">
        <w:rPr>
          <w:rFonts w:ascii="Times New Roman" w:hAnsi="Times New Roman" w:cs="Times New Roman"/>
          <w:color w:val="000000" w:themeColor="text1"/>
          <w:sz w:val="24"/>
          <w:szCs w:val="24"/>
          <w:lang w:val="fr-FR"/>
        </w:rPr>
        <w:t>stica</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Minist</w:t>
      </w:r>
      <w:r w:rsidR="00AE2D04" w:rsidRPr="00361A73">
        <w:rPr>
          <w:rFonts w:ascii="Times New Roman" w:hAnsi="Times New Roman" w:cs="Times New Roman"/>
          <w:color w:val="000000" w:themeColor="text1"/>
          <w:sz w:val="24"/>
          <w:szCs w:val="24"/>
          <w:lang w:val="en-US"/>
        </w:rPr>
        <w:t>é</w:t>
      </w:r>
      <w:r w:rsidR="00AE2D04" w:rsidRPr="00361A73">
        <w:rPr>
          <w:rFonts w:ascii="Times New Roman" w:hAnsi="Times New Roman" w:cs="Times New Roman"/>
          <w:color w:val="000000" w:themeColor="text1"/>
          <w:sz w:val="24"/>
          <w:szCs w:val="24"/>
          <w:lang w:val="fr-FR"/>
        </w:rPr>
        <w:t>rio</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da</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Sa</w:t>
      </w:r>
      <w:r w:rsidR="00AE2D04" w:rsidRPr="00361A73">
        <w:rPr>
          <w:rFonts w:ascii="Times New Roman" w:hAnsi="Times New Roman" w:cs="Times New Roman"/>
          <w:color w:val="000000" w:themeColor="text1"/>
          <w:sz w:val="24"/>
          <w:szCs w:val="24"/>
          <w:lang w:val="en-US"/>
        </w:rPr>
        <w:t>ú</w:t>
      </w:r>
      <w:r w:rsidR="00AE2D04" w:rsidRPr="00361A73">
        <w:rPr>
          <w:rFonts w:ascii="Times New Roman" w:hAnsi="Times New Roman" w:cs="Times New Roman"/>
          <w:color w:val="000000" w:themeColor="text1"/>
          <w:sz w:val="24"/>
          <w:szCs w:val="24"/>
          <w:lang w:val="fr-FR"/>
        </w:rPr>
        <w:t>de</w:t>
      </w:r>
      <w:r w:rsidR="00AE2D04" w:rsidRPr="00361A73">
        <w:rPr>
          <w:rFonts w:ascii="Times New Roman" w:hAnsi="Times New Roman" w:cs="Times New Roman"/>
          <w:color w:val="000000" w:themeColor="text1"/>
          <w:sz w:val="24"/>
          <w:szCs w:val="24"/>
          <w:lang w:val="en-US"/>
        </w:rPr>
        <w:t xml:space="preserve"> 2005;</w:t>
      </w:r>
      <w:r w:rsidR="00952E75" w:rsidRPr="00361A73">
        <w:rPr>
          <w:rFonts w:ascii="Times New Roman" w:hAnsi="Times New Roman" w:cs="Times New Roman"/>
          <w:color w:val="000000" w:themeColor="text1"/>
          <w:sz w:val="24"/>
          <w:szCs w:val="24"/>
          <w:lang w:val="en-US"/>
        </w:rPr>
        <w:t xml:space="preserve"> </w:t>
      </w:r>
      <w:r w:rsidRPr="00361A73">
        <w:rPr>
          <w:rFonts w:ascii="Times New Roman" w:hAnsi="Times New Roman" w:cs="Times New Roman"/>
          <w:color w:val="000000" w:themeColor="text1"/>
          <w:sz w:val="24"/>
          <w:szCs w:val="24"/>
          <w:lang w:val="en-US"/>
        </w:rPr>
        <w:t>DHS</w:t>
      </w:r>
      <w:r w:rsidR="00AE2D04" w:rsidRPr="00361A73">
        <w:rPr>
          <w:rFonts w:ascii="Times New Roman" w:hAnsi="Times New Roman" w:cs="Times New Roman"/>
          <w:color w:val="000000" w:themeColor="text1"/>
          <w:sz w:val="24"/>
          <w:szCs w:val="24"/>
          <w:lang w:val="en-US"/>
        </w:rPr>
        <w:t xml:space="preserve"> </w:t>
      </w:r>
      <w:r w:rsidR="00952E75" w:rsidRPr="00361A73">
        <w:rPr>
          <w:rFonts w:ascii="Times New Roman" w:hAnsi="Times New Roman" w:cs="Times New Roman"/>
          <w:color w:val="000000" w:themeColor="text1"/>
          <w:sz w:val="24"/>
          <w:szCs w:val="24"/>
          <w:lang w:val="en-US"/>
        </w:rPr>
        <w:t>2011</w:t>
      </w:r>
      <w:r w:rsidR="00AE2D04" w:rsidRPr="00361A73">
        <w:rPr>
          <w:rFonts w:ascii="Times New Roman" w:hAnsi="Times New Roman" w:cs="Times New Roman"/>
          <w:color w:val="000000" w:themeColor="text1"/>
          <w:sz w:val="24"/>
          <w:szCs w:val="24"/>
          <w:lang w:val="en-US"/>
        </w:rPr>
        <w:t xml:space="preserve"> – </w:t>
      </w:r>
      <w:r w:rsidR="00AE2D04" w:rsidRPr="00361A73">
        <w:rPr>
          <w:rFonts w:ascii="Times New Roman" w:hAnsi="Times New Roman" w:cs="Times New Roman"/>
          <w:color w:val="000000" w:themeColor="text1"/>
          <w:sz w:val="24"/>
          <w:szCs w:val="24"/>
          <w:lang w:val="fr-FR"/>
        </w:rPr>
        <w:t>Instituto</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Nacional</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de</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Estat</w:t>
      </w:r>
      <w:r w:rsidR="00AE2D04" w:rsidRPr="00361A73">
        <w:rPr>
          <w:rFonts w:ascii="Times New Roman" w:hAnsi="Times New Roman" w:cs="Times New Roman"/>
          <w:color w:val="000000" w:themeColor="text1"/>
          <w:sz w:val="24"/>
          <w:szCs w:val="24"/>
          <w:lang w:val="en-US"/>
        </w:rPr>
        <w:t>í</w:t>
      </w:r>
      <w:r w:rsidR="00AE2D04" w:rsidRPr="00361A73">
        <w:rPr>
          <w:rFonts w:ascii="Times New Roman" w:hAnsi="Times New Roman" w:cs="Times New Roman"/>
          <w:color w:val="000000" w:themeColor="text1"/>
          <w:sz w:val="24"/>
          <w:szCs w:val="24"/>
          <w:lang w:val="fr-FR"/>
        </w:rPr>
        <w:t>stica</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Minist</w:t>
      </w:r>
      <w:r w:rsidR="00AE2D04" w:rsidRPr="00361A73">
        <w:rPr>
          <w:rFonts w:ascii="Times New Roman" w:hAnsi="Times New Roman" w:cs="Times New Roman"/>
          <w:color w:val="000000" w:themeColor="text1"/>
          <w:sz w:val="24"/>
          <w:szCs w:val="24"/>
          <w:lang w:val="en-US"/>
        </w:rPr>
        <w:t>é</w:t>
      </w:r>
      <w:r w:rsidR="00AE2D04" w:rsidRPr="00361A73">
        <w:rPr>
          <w:rFonts w:ascii="Times New Roman" w:hAnsi="Times New Roman" w:cs="Times New Roman"/>
          <w:color w:val="000000" w:themeColor="text1"/>
          <w:sz w:val="24"/>
          <w:szCs w:val="24"/>
          <w:lang w:val="fr-FR"/>
        </w:rPr>
        <w:t>rio</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da</w:t>
      </w:r>
      <w:r w:rsidR="00AE2D04" w:rsidRPr="00361A73">
        <w:rPr>
          <w:rFonts w:ascii="Times New Roman" w:hAnsi="Times New Roman" w:cs="Times New Roman"/>
          <w:color w:val="000000" w:themeColor="text1"/>
          <w:sz w:val="24"/>
          <w:szCs w:val="24"/>
          <w:lang w:val="en-US"/>
        </w:rPr>
        <w:t xml:space="preserve"> </w:t>
      </w:r>
      <w:r w:rsidR="00AE2D04" w:rsidRPr="00361A73">
        <w:rPr>
          <w:rFonts w:ascii="Times New Roman" w:hAnsi="Times New Roman" w:cs="Times New Roman"/>
          <w:color w:val="000000" w:themeColor="text1"/>
          <w:sz w:val="24"/>
          <w:szCs w:val="24"/>
          <w:lang w:val="fr-FR"/>
        </w:rPr>
        <w:t>Sa</w:t>
      </w:r>
      <w:r w:rsidR="00AE2D04" w:rsidRPr="00361A73">
        <w:rPr>
          <w:rFonts w:ascii="Times New Roman" w:hAnsi="Times New Roman" w:cs="Times New Roman"/>
          <w:color w:val="000000" w:themeColor="text1"/>
          <w:sz w:val="24"/>
          <w:szCs w:val="24"/>
          <w:lang w:val="en-US"/>
        </w:rPr>
        <w:t>ú</w:t>
      </w:r>
      <w:r w:rsidR="00AE2D04" w:rsidRPr="00361A73">
        <w:rPr>
          <w:rFonts w:ascii="Times New Roman" w:hAnsi="Times New Roman" w:cs="Times New Roman"/>
          <w:color w:val="000000" w:themeColor="text1"/>
          <w:sz w:val="24"/>
          <w:szCs w:val="24"/>
          <w:lang w:val="fr-FR"/>
        </w:rPr>
        <w:t>de</w:t>
      </w:r>
      <w:r w:rsidR="00AE2D04" w:rsidRPr="00361A73">
        <w:rPr>
          <w:rFonts w:ascii="Times New Roman" w:hAnsi="Times New Roman" w:cs="Times New Roman"/>
          <w:color w:val="000000" w:themeColor="text1"/>
          <w:sz w:val="24"/>
          <w:szCs w:val="24"/>
          <w:lang w:val="en-US"/>
        </w:rPr>
        <w:t xml:space="preserve"> 2012</w:t>
      </w:r>
      <w:r w:rsidR="00952E75" w:rsidRPr="00361A73">
        <w:rPr>
          <w:rFonts w:ascii="Times New Roman" w:hAnsi="Times New Roman" w:cs="Times New Roman"/>
          <w:color w:val="000000" w:themeColor="text1"/>
          <w:sz w:val="24"/>
          <w:szCs w:val="24"/>
          <w:lang w:val="en-US"/>
        </w:rPr>
        <w:t xml:space="preserve">. </w:t>
      </w:r>
    </w:p>
    <w:p w:rsidR="00AE2D04" w:rsidRPr="00E45E57" w:rsidRDefault="00AE2D04" w:rsidP="00361A73">
      <w:pPr>
        <w:spacing w:after="0" w:line="360" w:lineRule="auto"/>
        <w:ind w:right="-143"/>
        <w:jc w:val="both"/>
        <w:rPr>
          <w:rFonts w:ascii="Times New Roman" w:hAnsi="Times New Roman" w:cs="Times New Roman"/>
          <w:color w:val="000000" w:themeColor="text1"/>
          <w:sz w:val="28"/>
          <w:szCs w:val="28"/>
          <w:lang w:val="en-US"/>
        </w:rPr>
      </w:pPr>
    </w:p>
    <w:p w:rsidR="00802BC7" w:rsidRPr="00E45E57" w:rsidRDefault="003C0A71" w:rsidP="00361A73">
      <w:pPr>
        <w:spacing w:after="0" w:line="360" w:lineRule="auto"/>
        <w:ind w:right="-143"/>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When comparing data presented in Table 1 we can draw two important conclusions. First, the real TFR dynamics observed in Mozambique in the 2000s was </w:t>
      </w:r>
      <w:r w:rsidRPr="00E45E57">
        <w:rPr>
          <w:rFonts w:ascii="Times New Roman" w:hAnsi="Times New Roman" w:cs="Times New Roman"/>
          <w:b/>
          <w:color w:val="000000" w:themeColor="text1"/>
          <w:sz w:val="28"/>
          <w:szCs w:val="28"/>
          <w:lang w:val="en-US"/>
        </w:rPr>
        <w:t>contrary</w:t>
      </w:r>
      <w:r w:rsidRPr="00E45E57">
        <w:rPr>
          <w:rFonts w:ascii="Times New Roman" w:hAnsi="Times New Roman" w:cs="Times New Roman"/>
          <w:color w:val="000000" w:themeColor="text1"/>
          <w:sz w:val="28"/>
          <w:szCs w:val="28"/>
          <w:lang w:val="en-US"/>
        </w:rPr>
        <w:t xml:space="preserve"> to the UN projections: medium UN Population Division scenario implied </w:t>
      </w:r>
      <w:r w:rsidR="00E87834" w:rsidRPr="00E45E57">
        <w:rPr>
          <w:rFonts w:ascii="Times New Roman" w:hAnsi="Times New Roman" w:cs="Times New Roman"/>
          <w:color w:val="000000" w:themeColor="text1"/>
          <w:sz w:val="28"/>
          <w:szCs w:val="28"/>
          <w:lang w:val="en-US"/>
        </w:rPr>
        <w:t xml:space="preserve">a fast and continuous fertility decline, while in reality fertility stall continued, and even a slight fertility </w:t>
      </w:r>
      <w:r w:rsidR="00E87834" w:rsidRPr="00E45E57">
        <w:rPr>
          <w:rFonts w:ascii="Times New Roman" w:hAnsi="Times New Roman" w:cs="Times New Roman"/>
          <w:b/>
          <w:color w:val="000000" w:themeColor="text1"/>
          <w:sz w:val="28"/>
          <w:szCs w:val="28"/>
          <w:lang w:val="en-US"/>
        </w:rPr>
        <w:t>increase</w:t>
      </w:r>
      <w:r w:rsidR="00E87834" w:rsidRPr="00E45E57">
        <w:rPr>
          <w:rFonts w:ascii="Times New Roman" w:hAnsi="Times New Roman" w:cs="Times New Roman"/>
          <w:color w:val="000000" w:themeColor="text1"/>
          <w:sz w:val="28"/>
          <w:szCs w:val="28"/>
          <w:lang w:val="en-US"/>
        </w:rPr>
        <w:t xml:space="preserve"> was observed! Second, due to such significant discrepancy between the projected and real fertility dynamics, the projected TFR for 2010 is different from the real TFR by more than 1 child per woman (4.7 versus 5.9 children per woman accordingly). </w:t>
      </w:r>
    </w:p>
    <w:p w:rsidR="00344D17" w:rsidRPr="00E45E57" w:rsidRDefault="00E87834" w:rsidP="00E45E57">
      <w:pPr>
        <w:spacing w:after="0" w:line="360" w:lineRule="auto"/>
        <w:ind w:right="-143" w:firstLine="567"/>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Such considerable difference stipulates the necessity </w:t>
      </w:r>
      <w:r w:rsidR="0023290D" w:rsidRPr="00E45E57">
        <w:rPr>
          <w:rFonts w:ascii="Times New Roman" w:hAnsi="Times New Roman" w:cs="Times New Roman"/>
          <w:color w:val="000000" w:themeColor="text1"/>
          <w:sz w:val="28"/>
          <w:szCs w:val="28"/>
          <w:lang w:val="en-US"/>
        </w:rPr>
        <w:t xml:space="preserve">to revise the population projections for Mozambique with regard to new data on actual TFR level and dynamics. </w:t>
      </w:r>
    </w:p>
    <w:p w:rsidR="00E917FC" w:rsidRPr="00E45E57" w:rsidRDefault="00E917FC" w:rsidP="00E45E57">
      <w:pPr>
        <w:spacing w:after="0" w:line="360" w:lineRule="auto"/>
        <w:ind w:right="-143" w:firstLine="567"/>
        <w:jc w:val="both"/>
        <w:rPr>
          <w:rFonts w:ascii="Times New Roman" w:hAnsi="Times New Roman" w:cs="Times New Roman"/>
          <w:color w:val="000000" w:themeColor="text1"/>
          <w:sz w:val="28"/>
          <w:szCs w:val="28"/>
          <w:lang w:val="en-US"/>
        </w:rPr>
      </w:pPr>
    </w:p>
    <w:p w:rsidR="00E917FC" w:rsidRPr="00E45E57" w:rsidRDefault="00E50587" w:rsidP="00361A73">
      <w:pPr>
        <w:spacing w:after="0" w:line="360" w:lineRule="auto"/>
        <w:ind w:right="-143"/>
        <w:jc w:val="both"/>
        <w:rPr>
          <w:rFonts w:ascii="Times New Roman" w:hAnsi="Times New Roman" w:cs="Times New Roman"/>
          <w:i/>
          <w:color w:val="000000" w:themeColor="text1"/>
          <w:sz w:val="28"/>
          <w:szCs w:val="28"/>
          <w:lang w:val="en-US"/>
        </w:rPr>
      </w:pPr>
      <w:r w:rsidRPr="00E45E57">
        <w:rPr>
          <w:rFonts w:ascii="Times New Roman" w:hAnsi="Times New Roman" w:cs="Times New Roman"/>
          <w:i/>
          <w:color w:val="000000" w:themeColor="text1"/>
          <w:sz w:val="28"/>
          <w:szCs w:val="28"/>
          <w:lang w:val="en-US"/>
        </w:rPr>
        <w:t>Adjusting the</w:t>
      </w:r>
      <w:r w:rsidR="004A14C5" w:rsidRPr="00E45E57">
        <w:rPr>
          <w:rFonts w:ascii="Times New Roman" w:hAnsi="Times New Roman" w:cs="Times New Roman"/>
          <w:i/>
          <w:color w:val="000000" w:themeColor="text1"/>
          <w:sz w:val="28"/>
          <w:szCs w:val="28"/>
          <w:lang w:val="en-US"/>
        </w:rPr>
        <w:t xml:space="preserve"> population </w:t>
      </w:r>
      <w:r w:rsidRPr="00E45E57">
        <w:rPr>
          <w:rFonts w:ascii="Times New Roman" w:hAnsi="Times New Roman" w:cs="Times New Roman"/>
          <w:i/>
          <w:color w:val="000000" w:themeColor="text1"/>
          <w:sz w:val="28"/>
          <w:szCs w:val="28"/>
          <w:lang w:val="en-US"/>
        </w:rPr>
        <w:t>projections to account for</w:t>
      </w:r>
      <w:r w:rsidR="004A14C5" w:rsidRPr="00E45E57">
        <w:rPr>
          <w:rFonts w:ascii="Times New Roman" w:hAnsi="Times New Roman" w:cs="Times New Roman"/>
          <w:i/>
          <w:color w:val="000000" w:themeColor="text1"/>
          <w:sz w:val="28"/>
          <w:szCs w:val="28"/>
          <w:lang w:val="en-US"/>
        </w:rPr>
        <w:t xml:space="preserve"> the latest data on total fertility level and dynamics </w:t>
      </w:r>
    </w:p>
    <w:p w:rsidR="00A1365E" w:rsidRPr="00E45E57" w:rsidRDefault="00A1365E" w:rsidP="00E45E57">
      <w:pPr>
        <w:pStyle w:val="ad"/>
        <w:spacing w:line="360" w:lineRule="auto"/>
        <w:ind w:firstLine="567"/>
        <w:rPr>
          <w:sz w:val="28"/>
          <w:szCs w:val="28"/>
          <w:lang w:val="en-US"/>
        </w:rPr>
      </w:pPr>
    </w:p>
    <w:p w:rsidR="00623FA0" w:rsidRPr="00E45E57" w:rsidRDefault="00623FA0" w:rsidP="00361A73">
      <w:pPr>
        <w:pStyle w:val="ad"/>
        <w:spacing w:line="360" w:lineRule="auto"/>
        <w:rPr>
          <w:sz w:val="28"/>
          <w:szCs w:val="28"/>
          <w:lang w:val="en-US"/>
        </w:rPr>
      </w:pPr>
      <w:r w:rsidRPr="00E45E57">
        <w:rPr>
          <w:sz w:val="28"/>
          <w:szCs w:val="28"/>
          <w:lang w:val="en-US"/>
        </w:rPr>
        <w:t xml:space="preserve">We used a standard method </w:t>
      </w:r>
      <w:r w:rsidR="007D02F6" w:rsidRPr="00E45E57">
        <w:rPr>
          <w:sz w:val="28"/>
          <w:szCs w:val="28"/>
          <w:lang w:val="en-US"/>
        </w:rPr>
        <w:t>of demographic forecasting essentially identical with the one employed by the UN Population Division</w:t>
      </w:r>
      <w:r w:rsidR="00A1365E" w:rsidRPr="00E45E57">
        <w:rPr>
          <w:sz w:val="28"/>
          <w:szCs w:val="28"/>
          <w:lang w:val="en-US"/>
        </w:rPr>
        <w:t xml:space="preserve">. </w:t>
      </w:r>
      <w:r w:rsidRPr="00E45E57">
        <w:rPr>
          <w:sz w:val="28"/>
          <w:szCs w:val="28"/>
          <w:lang w:val="en-US"/>
        </w:rPr>
        <w:t xml:space="preserve">Projections are calculated on a year-to-year basis. At the first step the number of deaths is calculated as the number of people in each 1-year age cohort is multiplied by corresponding age cohort mortality rates. The age structure for the subsequent year is modified according to the number of deaths in each cohort (migration flow was ignored in our forecast). At the second step the number of births is calculated. </w:t>
      </w:r>
      <w:r w:rsidR="00EF2957" w:rsidRPr="00E45E57">
        <w:rPr>
          <w:sz w:val="28"/>
          <w:szCs w:val="28"/>
          <w:lang w:val="en-US"/>
        </w:rPr>
        <w:t>Basing on the current age structure, the number of women in each 5-year age cohort is calculated. Age-specific fertility rates are applied to each age cohort in order to obtain the number of births; the number of births in all cohorts is summed up (it is taken that 105 boys are born per 100 girls). After that the age structure is “shifted down” by 1 year, and the number of newborns is put into the basic line of the age structure (</w:t>
      </w:r>
      <w:proofErr w:type="gramStart"/>
      <w:r w:rsidR="00EF2957" w:rsidRPr="00E45E57">
        <w:rPr>
          <w:sz w:val="28"/>
          <w:szCs w:val="28"/>
          <w:lang w:val="en-US"/>
        </w:rPr>
        <w:t xml:space="preserve">the  </w:t>
      </w:r>
      <w:r w:rsidR="00EF2957" w:rsidRPr="00E45E57">
        <w:rPr>
          <w:sz w:val="28"/>
          <w:szCs w:val="28"/>
          <w:lang w:val="en-US"/>
        </w:rPr>
        <w:lastRenderedPageBreak/>
        <w:t>“</w:t>
      </w:r>
      <w:proofErr w:type="gramEnd"/>
      <w:r w:rsidR="00EF2957" w:rsidRPr="00E45E57">
        <w:rPr>
          <w:sz w:val="28"/>
          <w:szCs w:val="28"/>
          <w:lang w:val="en-US"/>
        </w:rPr>
        <w:t xml:space="preserve">aged 0” line). Time scale is shifted by 1 year, and the whole algorithm (steps 1 and 2) is repeated. </w:t>
      </w:r>
    </w:p>
    <w:p w:rsidR="008122DB" w:rsidRPr="00E45E57" w:rsidRDefault="008122DB"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We used UN Population Division data for 2005 in the basic age structure for our calculations. The year 2005 was chosen as the basic year for our forecast because real and projected TFR dynamics started to obviously diverge around that year. </w:t>
      </w:r>
    </w:p>
    <w:p w:rsidR="00E24C05" w:rsidRPr="00E45E57" w:rsidRDefault="004E338D"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Projected life expectancy values (according to which the age-specific death rates were defined) were taken from the UN medium scenario unchanged, as they showed sufficient correspondence with the real data. Thus, Population and Housing Census 2007 stated life expectancy in Mozambique at 49.4, while UN projections for 2005–2010 </w:t>
      </w:r>
      <w:proofErr w:type="gramStart"/>
      <w:r w:rsidRPr="00E45E57">
        <w:rPr>
          <w:rFonts w:ascii="Times New Roman" w:hAnsi="Times New Roman" w:cs="Times New Roman"/>
          <w:sz w:val="28"/>
          <w:szCs w:val="28"/>
          <w:lang w:val="en-US"/>
        </w:rPr>
        <w:t>period</w:t>
      </w:r>
      <w:proofErr w:type="gramEnd"/>
      <w:r w:rsidRPr="00E45E57">
        <w:rPr>
          <w:rFonts w:ascii="Times New Roman" w:hAnsi="Times New Roman" w:cs="Times New Roman"/>
          <w:sz w:val="28"/>
          <w:szCs w:val="28"/>
          <w:lang w:val="en-US"/>
        </w:rPr>
        <w:t xml:space="preserve"> put this value at 48.8 years. </w:t>
      </w:r>
      <w:r w:rsidR="008122DB" w:rsidRPr="00E45E57">
        <w:rPr>
          <w:rFonts w:ascii="Times New Roman" w:hAnsi="Times New Roman" w:cs="Times New Roman"/>
          <w:sz w:val="28"/>
          <w:szCs w:val="28"/>
          <w:lang w:val="en-US"/>
        </w:rPr>
        <w:t xml:space="preserve">Age-specific fertility rates stated in </w:t>
      </w:r>
      <w:r w:rsidR="00091201" w:rsidRPr="00E45E57">
        <w:rPr>
          <w:rFonts w:ascii="Times New Roman" w:hAnsi="Times New Roman" w:cs="Times New Roman"/>
          <w:sz w:val="28"/>
          <w:szCs w:val="28"/>
          <w:lang w:val="en-US"/>
        </w:rPr>
        <w:t>DHS</w:t>
      </w:r>
      <w:r w:rsidR="008122DB" w:rsidRPr="00E45E57">
        <w:rPr>
          <w:rFonts w:ascii="Times New Roman" w:hAnsi="Times New Roman" w:cs="Times New Roman"/>
          <w:sz w:val="28"/>
          <w:szCs w:val="28"/>
          <w:lang w:val="en-US"/>
        </w:rPr>
        <w:t xml:space="preserve"> 2003 and</w:t>
      </w:r>
      <w:r w:rsidR="0024242C" w:rsidRPr="00E45E57">
        <w:rPr>
          <w:rFonts w:ascii="Times New Roman" w:hAnsi="Times New Roman" w:cs="Times New Roman"/>
          <w:sz w:val="28"/>
          <w:szCs w:val="28"/>
          <w:lang w:val="en-US"/>
        </w:rPr>
        <w:t xml:space="preserve"> </w:t>
      </w:r>
      <w:r w:rsidR="00091201" w:rsidRPr="00E45E57">
        <w:rPr>
          <w:rFonts w:ascii="Times New Roman" w:hAnsi="Times New Roman" w:cs="Times New Roman"/>
          <w:sz w:val="28"/>
          <w:szCs w:val="28"/>
          <w:lang w:val="en-US"/>
        </w:rPr>
        <w:t>DHS</w:t>
      </w:r>
      <w:r w:rsidR="008122DB" w:rsidRPr="00E45E57">
        <w:rPr>
          <w:rFonts w:ascii="Times New Roman" w:hAnsi="Times New Roman" w:cs="Times New Roman"/>
          <w:sz w:val="28"/>
          <w:szCs w:val="28"/>
          <w:lang w:val="en-US"/>
        </w:rPr>
        <w:t xml:space="preserve"> 2011 were used; values for the period between these years were obtained through linear interpolation. For 2012 we used the same values as in 2011. </w:t>
      </w:r>
      <w:r w:rsidRPr="00E45E57">
        <w:rPr>
          <w:rFonts w:ascii="Times New Roman" w:hAnsi="Times New Roman" w:cs="Times New Roman"/>
          <w:sz w:val="28"/>
          <w:szCs w:val="28"/>
          <w:lang w:val="en-US"/>
        </w:rPr>
        <w:t>F</w:t>
      </w:r>
      <w:r w:rsidR="008122DB" w:rsidRPr="00E45E57">
        <w:rPr>
          <w:rFonts w:ascii="Times New Roman" w:hAnsi="Times New Roman" w:cs="Times New Roman"/>
          <w:sz w:val="28"/>
          <w:szCs w:val="28"/>
          <w:lang w:val="en-US"/>
        </w:rPr>
        <w:t xml:space="preserve">rom 2013 </w:t>
      </w:r>
      <w:r w:rsidRPr="00E45E57">
        <w:rPr>
          <w:rFonts w:ascii="Times New Roman" w:hAnsi="Times New Roman" w:cs="Times New Roman"/>
          <w:sz w:val="28"/>
          <w:szCs w:val="28"/>
          <w:lang w:val="en-US"/>
        </w:rPr>
        <w:t xml:space="preserve">onwards we used the </w:t>
      </w:r>
      <w:r w:rsidR="00205527" w:rsidRPr="00E45E57">
        <w:rPr>
          <w:rFonts w:ascii="Times New Roman" w:hAnsi="Times New Roman" w:cs="Times New Roman"/>
          <w:sz w:val="28"/>
          <w:szCs w:val="28"/>
          <w:lang w:val="en-US"/>
        </w:rPr>
        <w:t xml:space="preserve">total fertility rate and the corresponding </w:t>
      </w:r>
      <w:r w:rsidRPr="00E45E57">
        <w:rPr>
          <w:rFonts w:ascii="Times New Roman" w:hAnsi="Times New Roman" w:cs="Times New Roman"/>
          <w:sz w:val="28"/>
          <w:szCs w:val="28"/>
          <w:lang w:val="en-US"/>
        </w:rPr>
        <w:t xml:space="preserve">age-specific fertility rates </w:t>
      </w:r>
      <w:r w:rsidR="00015BE3" w:rsidRPr="00E45E57">
        <w:rPr>
          <w:rFonts w:ascii="Times New Roman" w:hAnsi="Times New Roman" w:cs="Times New Roman"/>
          <w:sz w:val="28"/>
          <w:szCs w:val="28"/>
          <w:lang w:val="en-US"/>
        </w:rPr>
        <w:t>from</w:t>
      </w:r>
      <w:r w:rsidRPr="00E45E57">
        <w:rPr>
          <w:rFonts w:ascii="Times New Roman" w:hAnsi="Times New Roman" w:cs="Times New Roman"/>
          <w:sz w:val="28"/>
          <w:szCs w:val="28"/>
          <w:lang w:val="en-US"/>
        </w:rPr>
        <w:t xml:space="preserve"> the UN medium scenario</w:t>
      </w:r>
      <w:r w:rsidR="00E24C05" w:rsidRPr="00E45E57">
        <w:rPr>
          <w:rFonts w:ascii="Times New Roman" w:hAnsi="Times New Roman" w:cs="Times New Roman"/>
          <w:sz w:val="28"/>
          <w:szCs w:val="28"/>
          <w:lang w:val="en-US"/>
        </w:rPr>
        <w:t xml:space="preserve">. This scenario presents one value for each 5-year period, so we used linear interpolation to obtain the values for each year. However, in order to make adjustments to the continuing fertility stall, for 2013 we used not the 2013 TFR values from the UN scenario, as it overestimated the fertility decline and would not accord to the real fertility dynamics, but the value stated in the scenario for 1995–2000 (5.85 children per woman), as it turned out to be the closest to TFR values indicated in the DHS 2011 and Population and Housing Census 2007. </w:t>
      </w:r>
    </w:p>
    <w:p w:rsidR="00FB1C76" w:rsidRPr="00E45E57" w:rsidRDefault="00C03C61"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The projection built according to the following algorithm allowed forecasting the numbers of Mozambican population for each year up to 2100 if Mozambique resumes continuous fertility decline starting from 2014 at rates implied by the UN medium scenario, but from the current level of total fertility, which is much higher than the UN estimations. </w:t>
      </w:r>
    </w:p>
    <w:p w:rsidR="00741853" w:rsidRPr="00E45E57" w:rsidRDefault="00BE126E"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As a result of the modeling we obtained new population projections</w:t>
      </w:r>
      <w:r w:rsidR="00C8369B" w:rsidRPr="00E45E57">
        <w:rPr>
          <w:rFonts w:ascii="Times New Roman" w:hAnsi="Times New Roman" w:cs="Times New Roman"/>
          <w:sz w:val="28"/>
          <w:szCs w:val="28"/>
          <w:lang w:val="en-US"/>
        </w:rPr>
        <w:t>, which are presented in Fig. 5</w:t>
      </w:r>
      <w:r w:rsidR="005A49E1" w:rsidRPr="00E45E57">
        <w:rPr>
          <w:rFonts w:ascii="Times New Roman" w:hAnsi="Times New Roman" w:cs="Times New Roman"/>
          <w:sz w:val="28"/>
          <w:szCs w:val="28"/>
          <w:lang w:val="en-US"/>
        </w:rPr>
        <w:t xml:space="preserve"> in comparison with the UN medium scenario. </w:t>
      </w:r>
      <w:r w:rsidR="00116A79" w:rsidRPr="00E45E57">
        <w:rPr>
          <w:rFonts w:ascii="Times New Roman" w:hAnsi="Times New Roman" w:cs="Times New Roman"/>
          <w:sz w:val="28"/>
          <w:szCs w:val="28"/>
          <w:lang w:val="en-US"/>
        </w:rPr>
        <w:t xml:space="preserve">A decade-long fertility stall at a high level made a pronounced effect on the projected </w:t>
      </w:r>
      <w:r w:rsidR="00116A79" w:rsidRPr="00E45E57">
        <w:rPr>
          <w:rFonts w:ascii="Times New Roman" w:hAnsi="Times New Roman" w:cs="Times New Roman"/>
          <w:sz w:val="28"/>
          <w:szCs w:val="28"/>
          <w:lang w:val="en-US"/>
        </w:rPr>
        <w:lastRenderedPageBreak/>
        <w:t xml:space="preserve">population values; according to our forecast, the population of Mozambique is bound to increase by “additional” 17 </w:t>
      </w:r>
      <w:proofErr w:type="spellStart"/>
      <w:r w:rsidR="00116A79" w:rsidRPr="00E45E57">
        <w:rPr>
          <w:rFonts w:ascii="Times New Roman" w:hAnsi="Times New Roman" w:cs="Times New Roman"/>
          <w:sz w:val="28"/>
          <w:szCs w:val="28"/>
          <w:lang w:val="en-US"/>
        </w:rPr>
        <w:t>mln</w:t>
      </w:r>
      <w:proofErr w:type="spellEnd"/>
      <w:r w:rsidR="00116A79" w:rsidRPr="00E45E57">
        <w:rPr>
          <w:rFonts w:ascii="Times New Roman" w:hAnsi="Times New Roman" w:cs="Times New Roman"/>
          <w:sz w:val="28"/>
          <w:szCs w:val="28"/>
          <w:lang w:val="en-US"/>
        </w:rPr>
        <w:t xml:space="preserve"> people by 2100 as compared to the initial UN forecast (95.4 vs 77.3 </w:t>
      </w:r>
      <w:proofErr w:type="spellStart"/>
      <w:r w:rsidR="00116A79" w:rsidRPr="00E45E57">
        <w:rPr>
          <w:rFonts w:ascii="Times New Roman" w:hAnsi="Times New Roman" w:cs="Times New Roman"/>
          <w:sz w:val="28"/>
          <w:szCs w:val="28"/>
          <w:lang w:val="en-US"/>
        </w:rPr>
        <w:t>mln</w:t>
      </w:r>
      <w:proofErr w:type="spellEnd"/>
      <w:r w:rsidR="00116A79" w:rsidRPr="00E45E57">
        <w:rPr>
          <w:rFonts w:ascii="Times New Roman" w:hAnsi="Times New Roman" w:cs="Times New Roman"/>
          <w:sz w:val="28"/>
          <w:szCs w:val="28"/>
          <w:lang w:val="en-US"/>
        </w:rPr>
        <w:t xml:space="preserve"> correspondingly). </w:t>
      </w:r>
    </w:p>
    <w:p w:rsidR="007D02F6" w:rsidRPr="00E45E57" w:rsidRDefault="007D02F6" w:rsidP="00E45E57">
      <w:pPr>
        <w:spacing w:after="0" w:line="360" w:lineRule="auto"/>
        <w:ind w:firstLine="567"/>
        <w:rPr>
          <w:rFonts w:ascii="Times New Roman" w:hAnsi="Times New Roman" w:cs="Times New Roman"/>
          <w:b/>
          <w:sz w:val="28"/>
          <w:szCs w:val="28"/>
          <w:lang w:val="en-US"/>
        </w:rPr>
      </w:pPr>
    </w:p>
    <w:p w:rsidR="00741853" w:rsidRPr="00E45E57" w:rsidRDefault="00655761" w:rsidP="00361A73">
      <w:pPr>
        <w:spacing w:after="0" w:line="360" w:lineRule="auto"/>
        <w:jc w:val="both"/>
        <w:rPr>
          <w:rFonts w:ascii="Times New Roman" w:hAnsi="Times New Roman" w:cs="Times New Roman"/>
          <w:sz w:val="28"/>
          <w:szCs w:val="28"/>
          <w:lang w:val="en-US"/>
        </w:rPr>
      </w:pPr>
      <w:proofErr w:type="gramStart"/>
      <w:r w:rsidRPr="00E45E57">
        <w:rPr>
          <w:rFonts w:ascii="Times New Roman" w:hAnsi="Times New Roman" w:cs="Times New Roman"/>
          <w:b/>
          <w:sz w:val="28"/>
          <w:szCs w:val="28"/>
          <w:lang w:val="en-US"/>
        </w:rPr>
        <w:t>Fig</w:t>
      </w:r>
      <w:r w:rsidR="00C8369B" w:rsidRPr="00E45E57">
        <w:rPr>
          <w:rFonts w:ascii="Times New Roman" w:hAnsi="Times New Roman" w:cs="Times New Roman"/>
          <w:b/>
          <w:sz w:val="28"/>
          <w:szCs w:val="28"/>
          <w:lang w:val="en-US"/>
        </w:rPr>
        <w:t>. 5</w:t>
      </w:r>
      <w:r w:rsidR="00741853" w:rsidRPr="00E45E57">
        <w:rPr>
          <w:rFonts w:ascii="Times New Roman" w:hAnsi="Times New Roman" w:cs="Times New Roman"/>
          <w:b/>
          <w:sz w:val="28"/>
          <w:szCs w:val="28"/>
          <w:lang w:val="en-US"/>
        </w:rPr>
        <w:t>.</w:t>
      </w:r>
      <w:proofErr w:type="gramEnd"/>
      <w:r w:rsidR="00741853" w:rsidRPr="00E45E57">
        <w:rPr>
          <w:rFonts w:ascii="Times New Roman" w:hAnsi="Times New Roman" w:cs="Times New Roman"/>
          <w:sz w:val="28"/>
          <w:szCs w:val="28"/>
          <w:lang w:val="en-US"/>
        </w:rPr>
        <w:t xml:space="preserve"> </w:t>
      </w:r>
      <w:r w:rsidRPr="00E45E57">
        <w:rPr>
          <w:rFonts w:ascii="Times New Roman" w:hAnsi="Times New Roman" w:cs="Times New Roman"/>
          <w:sz w:val="28"/>
          <w:szCs w:val="28"/>
          <w:lang w:val="en-US"/>
        </w:rPr>
        <w:t xml:space="preserve">Population projections for Mozambique accounting for the fertility stall compared to the UN medium scenario, up to 2100 </w:t>
      </w:r>
    </w:p>
    <w:p w:rsidR="00741853" w:rsidRPr="00E45E57" w:rsidRDefault="00D83A78" w:rsidP="00361A73">
      <w:pPr>
        <w:spacing w:after="0" w:line="360" w:lineRule="auto"/>
        <w:rPr>
          <w:rFonts w:ascii="Times New Roman" w:hAnsi="Times New Roman" w:cs="Times New Roman"/>
          <w:sz w:val="28"/>
          <w:szCs w:val="28"/>
        </w:rPr>
      </w:pPr>
      <w:r w:rsidRPr="00E45E57">
        <w:rPr>
          <w:rFonts w:ascii="Times New Roman" w:hAnsi="Times New Roman" w:cs="Times New Roman"/>
          <w:noProof/>
          <w:sz w:val="28"/>
          <w:szCs w:val="28"/>
        </w:rPr>
        <w:drawing>
          <wp:inline distT="0" distB="0" distL="0" distR="0">
            <wp:extent cx="5610226" cy="4143376"/>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1A73" w:rsidRDefault="00361A73"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lang w:val="en-US"/>
        </w:rPr>
      </w:pPr>
    </w:p>
    <w:p w:rsidR="00B74492" w:rsidRPr="00E45E57" w:rsidRDefault="00454617"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lang w:val="en-US"/>
        </w:rPr>
      </w:pPr>
      <w:r w:rsidRPr="00E45E57">
        <w:rPr>
          <w:rFonts w:ascii="Times New Roman" w:hAnsi="Times New Roman" w:cs="Times New Roman"/>
          <w:color w:val="000000" w:themeColor="text1"/>
          <w:sz w:val="28"/>
          <w:szCs w:val="28"/>
          <w:lang w:val="en-US"/>
        </w:rPr>
        <w:t xml:space="preserve">Here it seemed logical to closer investigate the projected TFR decline rates stated in the UN medium scenario in order to adjust them to the recent fertility stall, and compare the initially projected and the adjusted TFR dynamics to that forecasted for Zambia, Malawi, and Tanzania </w:t>
      </w:r>
      <w:r w:rsidR="00B74492" w:rsidRPr="00E45E57">
        <w:rPr>
          <w:rFonts w:ascii="Times New Roman" w:hAnsi="Times New Roman" w:cs="Times New Roman"/>
          <w:color w:val="000000" w:themeColor="text1"/>
          <w:sz w:val="28"/>
          <w:szCs w:val="28"/>
          <w:lang w:val="en-US"/>
        </w:rPr>
        <w:t>(</w:t>
      </w:r>
      <w:r w:rsidRPr="00E45E57">
        <w:rPr>
          <w:rFonts w:ascii="Times New Roman" w:hAnsi="Times New Roman" w:cs="Times New Roman"/>
          <w:color w:val="000000" w:themeColor="text1"/>
          <w:sz w:val="28"/>
          <w:szCs w:val="28"/>
          <w:lang w:val="en-US"/>
        </w:rPr>
        <w:t>see Fig. 5</w:t>
      </w:r>
      <w:r w:rsidR="00B74492" w:rsidRPr="00E45E57">
        <w:rPr>
          <w:rFonts w:ascii="Times New Roman" w:hAnsi="Times New Roman" w:cs="Times New Roman"/>
          <w:color w:val="000000" w:themeColor="text1"/>
          <w:sz w:val="28"/>
          <w:szCs w:val="28"/>
          <w:lang w:val="en-US"/>
        </w:rPr>
        <w:t>).</w:t>
      </w:r>
    </w:p>
    <w:p w:rsidR="001B5B3E" w:rsidRPr="00E45E57" w:rsidRDefault="001B5B3E" w:rsidP="00E45E57">
      <w:pPr>
        <w:pStyle w:val="ad"/>
        <w:spacing w:line="360" w:lineRule="auto"/>
        <w:ind w:firstLine="567"/>
        <w:rPr>
          <w:color w:val="000000" w:themeColor="text1"/>
          <w:sz w:val="28"/>
          <w:szCs w:val="28"/>
          <w:lang w:val="en-US"/>
        </w:rPr>
      </w:pPr>
      <w:r w:rsidRPr="00E45E57">
        <w:rPr>
          <w:color w:val="000000" w:themeColor="text1"/>
          <w:sz w:val="28"/>
          <w:szCs w:val="28"/>
          <w:lang w:val="en-US"/>
        </w:rPr>
        <w:tab/>
      </w:r>
      <w:r w:rsidR="00C8369B" w:rsidRPr="00E45E57">
        <w:rPr>
          <w:color w:val="000000" w:themeColor="text1"/>
          <w:sz w:val="28"/>
          <w:szCs w:val="28"/>
          <w:lang w:val="en-US"/>
        </w:rPr>
        <w:t>A comparison of the projected fertility</w:t>
      </w:r>
      <w:r w:rsidR="00454617" w:rsidRPr="00E45E57">
        <w:rPr>
          <w:color w:val="000000" w:themeColor="text1"/>
          <w:sz w:val="28"/>
          <w:szCs w:val="28"/>
          <w:lang w:val="en-US"/>
        </w:rPr>
        <w:t xml:space="preserve"> tren</w:t>
      </w:r>
      <w:r w:rsidR="00C8369B" w:rsidRPr="00E45E57">
        <w:rPr>
          <w:color w:val="000000" w:themeColor="text1"/>
          <w:sz w:val="28"/>
          <w:szCs w:val="28"/>
          <w:lang w:val="en-US"/>
        </w:rPr>
        <w:t>ds presented in Fig 6</w:t>
      </w:r>
      <w:r w:rsidR="00454617" w:rsidRPr="00E45E57">
        <w:rPr>
          <w:color w:val="000000" w:themeColor="text1"/>
          <w:sz w:val="28"/>
          <w:szCs w:val="28"/>
          <w:lang w:val="en-US"/>
        </w:rPr>
        <w:t xml:space="preserve"> proves that the continuation of fertility stall in the recent years considerably shifted Mozambique from the initial trend forecaste</w:t>
      </w:r>
      <w:r w:rsidR="00C8369B" w:rsidRPr="00E45E57">
        <w:rPr>
          <w:color w:val="000000" w:themeColor="text1"/>
          <w:sz w:val="28"/>
          <w:szCs w:val="28"/>
          <w:lang w:val="en-US"/>
        </w:rPr>
        <w:t>d by the UN on the assumption that</w:t>
      </w:r>
      <w:r w:rsidR="00454617" w:rsidRPr="00E45E57">
        <w:rPr>
          <w:color w:val="000000" w:themeColor="text1"/>
          <w:sz w:val="28"/>
          <w:szCs w:val="28"/>
          <w:lang w:val="en-US"/>
        </w:rPr>
        <w:t xml:space="preserve"> fertility decline</w:t>
      </w:r>
      <w:r w:rsidR="00C8369B" w:rsidRPr="00E45E57">
        <w:rPr>
          <w:color w:val="000000" w:themeColor="text1"/>
          <w:sz w:val="28"/>
          <w:szCs w:val="28"/>
          <w:lang w:val="en-US"/>
        </w:rPr>
        <w:t xml:space="preserve"> should resume. However, the divergence</w:t>
      </w:r>
      <w:r w:rsidR="00454617" w:rsidRPr="00E45E57">
        <w:rPr>
          <w:color w:val="000000" w:themeColor="text1"/>
          <w:sz w:val="28"/>
          <w:szCs w:val="28"/>
          <w:lang w:val="en-US"/>
        </w:rPr>
        <w:t xml:space="preserve"> somewhat lessens closer to the end of the forecast period. Thus, according to the initial UN estimations, </w:t>
      </w:r>
      <w:r w:rsidR="00454617" w:rsidRPr="00E45E57">
        <w:rPr>
          <w:color w:val="000000" w:themeColor="text1"/>
          <w:sz w:val="28"/>
          <w:szCs w:val="28"/>
          <w:lang w:val="en-US"/>
        </w:rPr>
        <w:lastRenderedPageBreak/>
        <w:t xml:space="preserve">Mozambique was bound to reach the population replacement level of fertility (2.1 children per woman) by the early 2070s. </w:t>
      </w:r>
      <w:r w:rsidR="00454617" w:rsidRPr="00E45E57">
        <w:rPr>
          <w:sz w:val="28"/>
          <w:szCs w:val="28"/>
          <w:lang w:val="en-US"/>
        </w:rPr>
        <w:t xml:space="preserve">According to our scenario adjusted to the continuing fertility stall, even in the most optimistic case (if Mozambican government immediately starts making considerable effort to resume the fertility decline at rather fast rates), the population replacement fertility will only be achieved by the early 2090, almost 20 years later than in the initial UN projections. </w:t>
      </w:r>
    </w:p>
    <w:p w:rsidR="00167808" w:rsidRPr="00E45E57" w:rsidRDefault="00167808" w:rsidP="00E45E57">
      <w:pPr>
        <w:spacing w:after="0" w:line="360" w:lineRule="auto"/>
        <w:ind w:firstLine="567"/>
        <w:jc w:val="both"/>
        <w:rPr>
          <w:rFonts w:ascii="Times New Roman" w:hAnsi="Times New Roman" w:cs="Times New Roman"/>
          <w:b/>
          <w:color w:val="000000" w:themeColor="text1"/>
          <w:sz w:val="28"/>
          <w:szCs w:val="28"/>
          <w:lang w:val="en-US"/>
        </w:rPr>
      </w:pPr>
    </w:p>
    <w:p w:rsidR="00CC5A5A" w:rsidRPr="00E45E57" w:rsidRDefault="00454617" w:rsidP="00361A73">
      <w:pPr>
        <w:spacing w:after="0" w:line="360" w:lineRule="auto"/>
        <w:jc w:val="both"/>
        <w:rPr>
          <w:rFonts w:ascii="Times New Roman" w:hAnsi="Times New Roman" w:cs="Times New Roman"/>
          <w:color w:val="000000" w:themeColor="text1"/>
          <w:sz w:val="28"/>
          <w:szCs w:val="28"/>
          <w:lang w:val="en-US"/>
        </w:rPr>
      </w:pPr>
      <w:proofErr w:type="gramStart"/>
      <w:r w:rsidRPr="00E45E57">
        <w:rPr>
          <w:rFonts w:ascii="Times New Roman" w:hAnsi="Times New Roman" w:cs="Times New Roman"/>
          <w:b/>
          <w:color w:val="000000" w:themeColor="text1"/>
          <w:sz w:val="28"/>
          <w:szCs w:val="28"/>
          <w:lang w:val="en-US"/>
        </w:rPr>
        <w:t>Fig</w:t>
      </w:r>
      <w:r w:rsidR="00741853" w:rsidRPr="00E45E57">
        <w:rPr>
          <w:rFonts w:ascii="Times New Roman" w:hAnsi="Times New Roman" w:cs="Times New Roman"/>
          <w:b/>
          <w:color w:val="000000" w:themeColor="text1"/>
          <w:sz w:val="28"/>
          <w:szCs w:val="28"/>
          <w:lang w:val="en-US"/>
        </w:rPr>
        <w:t>. 5</w:t>
      </w:r>
      <w:r w:rsidR="00CC5A5A" w:rsidRPr="00E45E57">
        <w:rPr>
          <w:rFonts w:ascii="Times New Roman" w:hAnsi="Times New Roman" w:cs="Times New Roman"/>
          <w:b/>
          <w:color w:val="000000" w:themeColor="text1"/>
          <w:sz w:val="28"/>
          <w:szCs w:val="28"/>
          <w:lang w:val="en-US"/>
        </w:rPr>
        <w:t>.</w:t>
      </w:r>
      <w:proofErr w:type="gramEnd"/>
      <w:r w:rsidR="00B74492" w:rsidRPr="00E45E57">
        <w:rPr>
          <w:rFonts w:ascii="Times New Roman" w:hAnsi="Times New Roman" w:cs="Times New Roman"/>
          <w:color w:val="000000" w:themeColor="text1"/>
          <w:sz w:val="28"/>
          <w:szCs w:val="28"/>
          <w:lang w:val="en-US"/>
        </w:rPr>
        <w:t xml:space="preserve"> </w:t>
      </w:r>
      <w:r w:rsidRPr="00E45E57">
        <w:rPr>
          <w:rFonts w:ascii="Times New Roman" w:hAnsi="Times New Roman" w:cs="Times New Roman"/>
          <w:color w:val="000000" w:themeColor="text1"/>
          <w:sz w:val="28"/>
          <w:szCs w:val="28"/>
          <w:lang w:val="en-US"/>
        </w:rPr>
        <w:t xml:space="preserve">Forecasted TFR </w:t>
      </w:r>
      <w:r w:rsidR="00EF3E81" w:rsidRPr="00E45E57">
        <w:rPr>
          <w:rFonts w:ascii="Times New Roman" w:hAnsi="Times New Roman" w:cs="Times New Roman"/>
          <w:color w:val="000000" w:themeColor="text1"/>
          <w:sz w:val="28"/>
          <w:szCs w:val="28"/>
          <w:lang w:val="en-US"/>
        </w:rPr>
        <w:t>dyna</w:t>
      </w:r>
      <w:r w:rsidRPr="00E45E57">
        <w:rPr>
          <w:rFonts w:ascii="Times New Roman" w:hAnsi="Times New Roman" w:cs="Times New Roman"/>
          <w:color w:val="000000" w:themeColor="text1"/>
          <w:sz w:val="28"/>
          <w:szCs w:val="28"/>
          <w:lang w:val="en-US"/>
        </w:rPr>
        <w:t xml:space="preserve">mics in Mozambique according to UN medium scenario and </w:t>
      </w:r>
      <w:r w:rsidR="00EF3E81" w:rsidRPr="00E45E57">
        <w:rPr>
          <w:rFonts w:ascii="Times New Roman" w:hAnsi="Times New Roman" w:cs="Times New Roman"/>
          <w:color w:val="000000" w:themeColor="text1"/>
          <w:sz w:val="28"/>
          <w:szCs w:val="28"/>
          <w:lang w:val="en-US"/>
        </w:rPr>
        <w:t>our stall-adjusted scenario, compared to TFR dynamics projected in Zambia, Malawi, and Tanzania, children per woman, up to 2100</w:t>
      </w:r>
    </w:p>
    <w:p w:rsidR="00CC5A5A" w:rsidRPr="00E45E57" w:rsidRDefault="00E80878" w:rsidP="00361A73">
      <w:pPr>
        <w:autoSpaceDE w:val="0"/>
        <w:autoSpaceDN w:val="0"/>
        <w:adjustRightInd w:val="0"/>
        <w:spacing w:after="0" w:line="360" w:lineRule="auto"/>
        <w:ind w:right="-143"/>
        <w:jc w:val="both"/>
        <w:rPr>
          <w:rFonts w:ascii="Times New Roman" w:hAnsi="Times New Roman" w:cs="Times New Roman"/>
          <w:color w:val="000000" w:themeColor="text1"/>
          <w:sz w:val="28"/>
          <w:szCs w:val="28"/>
        </w:rPr>
      </w:pPr>
      <w:r w:rsidRPr="00E45E57">
        <w:rPr>
          <w:rFonts w:ascii="Times New Roman" w:hAnsi="Times New Roman" w:cs="Times New Roman"/>
          <w:noProof/>
          <w:color w:val="000000" w:themeColor="text1"/>
          <w:sz w:val="28"/>
          <w:szCs w:val="28"/>
        </w:rPr>
        <w:drawing>
          <wp:inline distT="0" distB="0" distL="0" distR="0">
            <wp:extent cx="5940425" cy="3966210"/>
            <wp:effectExtent l="19050" t="0" r="222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6A23" w:rsidRPr="00E45E57" w:rsidRDefault="00316A23" w:rsidP="00E45E57">
      <w:pPr>
        <w:pStyle w:val="ad"/>
        <w:spacing w:line="360" w:lineRule="auto"/>
        <w:ind w:firstLine="567"/>
        <w:rPr>
          <w:sz w:val="28"/>
          <w:szCs w:val="28"/>
        </w:rPr>
      </w:pPr>
    </w:p>
    <w:p w:rsidR="00741853" w:rsidRPr="00E45E57" w:rsidRDefault="00B976F6" w:rsidP="00361A73">
      <w:pPr>
        <w:pStyle w:val="ad"/>
        <w:spacing w:line="360" w:lineRule="auto"/>
        <w:rPr>
          <w:sz w:val="28"/>
          <w:szCs w:val="28"/>
          <w:highlight w:val="yellow"/>
          <w:lang w:val="en-US"/>
        </w:rPr>
      </w:pPr>
      <w:r w:rsidRPr="00E45E57">
        <w:rPr>
          <w:sz w:val="28"/>
          <w:szCs w:val="28"/>
          <w:lang w:val="en-US"/>
        </w:rPr>
        <w:t xml:space="preserve">Fig. 5 makes it clear that the fertility decline rates projected for Mozambique in the UN medium scenario are the fastest and the most “optimistic” among the four countries. Thus, from a given fertility level of 5.5 children per woman during a given number of years (say, 10) Mozambique is expected to decline to 4.7 children per woman, while Tanzania is bound to reach only 5.0 children per woman. However, our investigation of data on recent fertility dynamics in Mozambique </w:t>
      </w:r>
      <w:r w:rsidRPr="00E45E57">
        <w:rPr>
          <w:sz w:val="28"/>
          <w:szCs w:val="28"/>
          <w:lang w:val="en-US"/>
        </w:rPr>
        <w:lastRenderedPageBreak/>
        <w:t xml:space="preserve">hardly gives any grounds for assuming that fertility decline here will be significantly faster in the coming years than in the three other countries. Thus, it seemed logical to make some more adjustments to modeling the population projections for Mozambique – what </w:t>
      </w:r>
      <w:r w:rsidR="007F14F7" w:rsidRPr="00E45E57">
        <w:rPr>
          <w:sz w:val="28"/>
          <w:szCs w:val="28"/>
          <w:lang w:val="en-US"/>
        </w:rPr>
        <w:t>will</w:t>
      </w:r>
      <w:r w:rsidRPr="00E45E57">
        <w:rPr>
          <w:sz w:val="28"/>
          <w:szCs w:val="28"/>
          <w:lang w:val="en-US"/>
        </w:rPr>
        <w:t xml:space="preserve"> the population dynamics be</w:t>
      </w:r>
      <w:r w:rsidR="007F14F7" w:rsidRPr="00E45E57">
        <w:rPr>
          <w:sz w:val="28"/>
          <w:szCs w:val="28"/>
          <w:lang w:val="en-US"/>
        </w:rPr>
        <w:t>,</w:t>
      </w:r>
      <w:r w:rsidRPr="00E45E57">
        <w:rPr>
          <w:sz w:val="28"/>
          <w:szCs w:val="28"/>
          <w:lang w:val="en-US"/>
        </w:rPr>
        <w:t xml:space="preserve"> </w:t>
      </w:r>
      <w:r w:rsidR="007F14F7" w:rsidRPr="00E45E57">
        <w:rPr>
          <w:sz w:val="28"/>
          <w:szCs w:val="28"/>
          <w:lang w:val="en-US"/>
        </w:rPr>
        <w:t xml:space="preserve">if the fertility decline proceeds at the same pace as projected for the neighboring Tanzania? </w:t>
      </w:r>
      <w:r w:rsidRPr="00E45E57">
        <w:rPr>
          <w:sz w:val="28"/>
          <w:szCs w:val="28"/>
          <w:lang w:val="en-US"/>
        </w:rPr>
        <w:t xml:space="preserve"> </w:t>
      </w:r>
    </w:p>
    <w:p w:rsidR="00C57D5C" w:rsidRPr="00E45E57" w:rsidRDefault="0075690F" w:rsidP="00E45E57">
      <w:pPr>
        <w:pStyle w:val="ad"/>
        <w:spacing w:line="360" w:lineRule="auto"/>
        <w:ind w:firstLine="567"/>
        <w:rPr>
          <w:sz w:val="28"/>
          <w:szCs w:val="28"/>
          <w:lang w:val="en-US"/>
        </w:rPr>
      </w:pPr>
      <w:r w:rsidRPr="00E45E57">
        <w:rPr>
          <w:sz w:val="28"/>
          <w:szCs w:val="28"/>
          <w:lang w:val="en-US"/>
        </w:rPr>
        <w:t xml:space="preserve">This scenario was modeled through the same algorithm as the previous one. The only difference was that we took projected TFR values and corresponding age-specific fertility rates from the UN medium scenario on Tanzania. Modeling results are presented in Fig. 6 in comparison to the pervious scenario and to the initial UN medium scenario. </w:t>
      </w:r>
    </w:p>
    <w:p w:rsidR="00C57D5C" w:rsidRPr="00E45E57" w:rsidRDefault="00C57D5C" w:rsidP="00E45E57">
      <w:pPr>
        <w:pStyle w:val="ad"/>
        <w:spacing w:line="360" w:lineRule="auto"/>
        <w:ind w:firstLine="567"/>
        <w:rPr>
          <w:sz w:val="28"/>
          <w:szCs w:val="28"/>
          <w:lang w:val="en-US"/>
        </w:rPr>
      </w:pPr>
    </w:p>
    <w:p w:rsidR="00C57D5C" w:rsidRPr="00E45E57" w:rsidRDefault="00B46EE4" w:rsidP="00361A73">
      <w:pPr>
        <w:pStyle w:val="ad"/>
        <w:spacing w:line="360" w:lineRule="auto"/>
        <w:rPr>
          <w:sz w:val="28"/>
          <w:szCs w:val="28"/>
          <w:lang w:val="en-US"/>
        </w:rPr>
      </w:pPr>
      <w:proofErr w:type="gramStart"/>
      <w:r w:rsidRPr="00E45E57">
        <w:rPr>
          <w:b/>
          <w:sz w:val="28"/>
          <w:szCs w:val="28"/>
          <w:lang w:val="en-US"/>
        </w:rPr>
        <w:t>Fig</w:t>
      </w:r>
      <w:r w:rsidR="00C57D5C" w:rsidRPr="00E45E57">
        <w:rPr>
          <w:b/>
          <w:sz w:val="28"/>
          <w:szCs w:val="28"/>
          <w:lang w:val="en-US"/>
        </w:rPr>
        <w:t>. 6.</w:t>
      </w:r>
      <w:proofErr w:type="gramEnd"/>
      <w:r w:rsidR="00C57D5C" w:rsidRPr="00E45E57">
        <w:rPr>
          <w:sz w:val="28"/>
          <w:szCs w:val="28"/>
          <w:lang w:val="en-US"/>
        </w:rPr>
        <w:t xml:space="preserve"> </w:t>
      </w:r>
      <w:r w:rsidR="006D776F" w:rsidRPr="00E45E57">
        <w:rPr>
          <w:sz w:val="28"/>
          <w:szCs w:val="28"/>
          <w:lang w:val="en-US"/>
        </w:rPr>
        <w:t xml:space="preserve">Projected population dynamics for Mozambique u to 2100 as forecasted by the UN medium scenario, our stall-adjusted scenario, and our stall-adjusted scenario with lower (Tanzanian) rates of projected fertility decline </w:t>
      </w:r>
    </w:p>
    <w:p w:rsidR="00741853" w:rsidRPr="00E45E57" w:rsidRDefault="00CD0804" w:rsidP="00361A73">
      <w:pPr>
        <w:spacing w:after="0" w:line="360" w:lineRule="auto"/>
        <w:rPr>
          <w:rFonts w:ascii="Times New Roman" w:hAnsi="Times New Roman" w:cs="Times New Roman"/>
          <w:color w:val="000000" w:themeColor="text1"/>
          <w:sz w:val="28"/>
          <w:szCs w:val="28"/>
        </w:rPr>
      </w:pPr>
      <w:r w:rsidRPr="00E45E57">
        <w:rPr>
          <w:rFonts w:ascii="Times New Roman" w:hAnsi="Times New Roman" w:cs="Times New Roman"/>
          <w:noProof/>
          <w:color w:val="000000" w:themeColor="text1"/>
          <w:sz w:val="28"/>
          <w:szCs w:val="28"/>
        </w:rPr>
        <w:drawing>
          <wp:inline distT="0" distB="0" distL="0" distR="0">
            <wp:extent cx="5610226" cy="4143376"/>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1A73" w:rsidRDefault="00361A73" w:rsidP="00361A73">
      <w:pPr>
        <w:spacing w:after="0" w:line="360" w:lineRule="auto"/>
        <w:jc w:val="both"/>
        <w:rPr>
          <w:rFonts w:ascii="Times New Roman" w:hAnsi="Times New Roman" w:cs="Times New Roman"/>
          <w:sz w:val="28"/>
          <w:szCs w:val="28"/>
          <w:lang w:val="en-US"/>
        </w:rPr>
      </w:pPr>
    </w:p>
    <w:p w:rsidR="00866335" w:rsidRPr="00E45E57" w:rsidRDefault="005153EC" w:rsidP="00361A73">
      <w:pPr>
        <w:spacing w:after="0" w:line="360" w:lineRule="auto"/>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lastRenderedPageBreak/>
        <w:t>Fig 6 reveals</w:t>
      </w:r>
      <w:r w:rsidR="0026287A" w:rsidRPr="00E45E57">
        <w:rPr>
          <w:rFonts w:ascii="Times New Roman" w:hAnsi="Times New Roman" w:cs="Times New Roman"/>
          <w:sz w:val="28"/>
          <w:szCs w:val="28"/>
          <w:lang w:val="en-US"/>
        </w:rPr>
        <w:t xml:space="preserve"> that the forecast accounting for both the recent absence of fertility decline and the continuing fertility stall at a high level</w:t>
      </w:r>
      <w:r w:rsidRPr="00E45E57">
        <w:rPr>
          <w:rFonts w:ascii="Times New Roman" w:hAnsi="Times New Roman" w:cs="Times New Roman"/>
          <w:sz w:val="28"/>
          <w:szCs w:val="28"/>
          <w:lang w:val="en-US"/>
        </w:rPr>
        <w:t xml:space="preserve"> </w:t>
      </w:r>
      <w:r w:rsidR="0026287A" w:rsidRPr="00E45E57">
        <w:rPr>
          <w:rFonts w:ascii="Times New Roman" w:hAnsi="Times New Roman" w:cs="Times New Roman"/>
          <w:sz w:val="28"/>
          <w:szCs w:val="28"/>
          <w:lang w:val="en-US"/>
        </w:rPr>
        <w:t xml:space="preserve">(much higher than implied by the UN scenario), and lower projected fertility decline rates (similar to those implied by the UN for Tanzania) </w:t>
      </w:r>
      <w:r w:rsidR="00866335" w:rsidRPr="00E45E57">
        <w:rPr>
          <w:rFonts w:ascii="Times New Roman" w:hAnsi="Times New Roman" w:cs="Times New Roman"/>
          <w:sz w:val="28"/>
          <w:szCs w:val="28"/>
          <w:lang w:val="en-US"/>
        </w:rPr>
        <w:t>presents much hig</w:t>
      </w:r>
      <w:r w:rsidR="0091092B" w:rsidRPr="00E45E57">
        <w:rPr>
          <w:rFonts w:ascii="Times New Roman" w:hAnsi="Times New Roman" w:cs="Times New Roman"/>
          <w:sz w:val="28"/>
          <w:szCs w:val="28"/>
          <w:lang w:val="en-US"/>
        </w:rPr>
        <w:t>her projected population values </w:t>
      </w:r>
      <w:r w:rsidR="00866335" w:rsidRPr="00E45E57">
        <w:rPr>
          <w:rFonts w:ascii="Times New Roman" w:hAnsi="Times New Roman" w:cs="Times New Roman"/>
          <w:sz w:val="28"/>
          <w:szCs w:val="28"/>
          <w:lang w:val="en-US"/>
        </w:rPr>
        <w:t xml:space="preserve">– exceeding the UN population estimate by 60 </w:t>
      </w:r>
      <w:proofErr w:type="spellStart"/>
      <w:r w:rsidR="00866335" w:rsidRPr="00E45E57">
        <w:rPr>
          <w:rFonts w:ascii="Times New Roman" w:hAnsi="Times New Roman" w:cs="Times New Roman"/>
          <w:sz w:val="28"/>
          <w:szCs w:val="28"/>
          <w:lang w:val="en-US"/>
        </w:rPr>
        <w:t>mln</w:t>
      </w:r>
      <w:proofErr w:type="spellEnd"/>
      <w:r w:rsidR="00866335" w:rsidRPr="00E45E57">
        <w:rPr>
          <w:rFonts w:ascii="Times New Roman" w:hAnsi="Times New Roman" w:cs="Times New Roman"/>
          <w:sz w:val="28"/>
          <w:szCs w:val="28"/>
          <w:lang w:val="en-US"/>
        </w:rPr>
        <w:t xml:space="preserve"> by 2100. </w:t>
      </w:r>
    </w:p>
    <w:p w:rsidR="00C81E10" w:rsidRPr="00E45E57" w:rsidRDefault="00C81E10" w:rsidP="00E45E57">
      <w:pPr>
        <w:shd w:val="clear" w:color="auto" w:fill="FFFFFF"/>
        <w:spacing w:after="0" w:line="360" w:lineRule="auto"/>
        <w:ind w:firstLine="567"/>
        <w:jc w:val="both"/>
        <w:rPr>
          <w:rFonts w:ascii="Times New Roman" w:hAnsi="Times New Roman" w:cs="Times New Roman"/>
          <w:i/>
          <w:sz w:val="28"/>
          <w:szCs w:val="28"/>
          <w:lang w:val="en-US"/>
        </w:rPr>
      </w:pPr>
    </w:p>
    <w:p w:rsidR="00670C4A" w:rsidRPr="00E45E57" w:rsidRDefault="00C81E10" w:rsidP="00361A73">
      <w:pPr>
        <w:shd w:val="clear" w:color="auto" w:fill="FFFFFF"/>
        <w:spacing w:after="0" w:line="360" w:lineRule="auto"/>
        <w:jc w:val="both"/>
        <w:rPr>
          <w:rFonts w:ascii="Times New Roman" w:hAnsi="Times New Roman" w:cs="Times New Roman"/>
          <w:i/>
          <w:sz w:val="28"/>
          <w:szCs w:val="28"/>
          <w:lang w:val="en-US"/>
        </w:rPr>
      </w:pPr>
      <w:r w:rsidRPr="00E45E57">
        <w:rPr>
          <w:rFonts w:ascii="Times New Roman" w:hAnsi="Times New Roman" w:cs="Times New Roman"/>
          <w:i/>
          <w:sz w:val="28"/>
          <w:szCs w:val="28"/>
          <w:lang w:val="en-US"/>
        </w:rPr>
        <w:t xml:space="preserve">Projecting the scenarios of Mozambican demographic future </w:t>
      </w:r>
    </w:p>
    <w:p w:rsidR="00C81E10" w:rsidRPr="00E45E57" w:rsidRDefault="00C81E10" w:rsidP="00E45E57">
      <w:pPr>
        <w:shd w:val="clear" w:color="auto" w:fill="FFFFFF"/>
        <w:spacing w:after="0" w:line="360" w:lineRule="auto"/>
        <w:ind w:firstLine="567"/>
        <w:jc w:val="both"/>
        <w:rPr>
          <w:rFonts w:ascii="Times New Roman" w:hAnsi="Times New Roman" w:cs="Times New Roman"/>
          <w:sz w:val="28"/>
          <w:szCs w:val="28"/>
          <w:lang w:val="en-US"/>
        </w:rPr>
      </w:pPr>
    </w:p>
    <w:p w:rsidR="00B313CD" w:rsidRPr="00E45E57" w:rsidRDefault="00B313CD" w:rsidP="00361A73">
      <w:pPr>
        <w:spacing w:after="0" w:line="360" w:lineRule="auto"/>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The impact of demographic dynamics on African development performance has been very significant so far and is likely to get utterly critical in the nearest decades – taking into account the projected population growth. However, in order to understand the prospects of demographic influence upon (and demographic risks to) growth and development in the region, we first need to evaluate (with a sufficient degree of precision) the future dynamics of the population numbers in general and the various groups within the age structure (dependents, young dependents, school-age children, youths, working-age population, etc.) for each particular country. </w:t>
      </w:r>
    </w:p>
    <w:p w:rsidR="00635025" w:rsidRPr="00E45E57" w:rsidRDefault="00635025"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Ho</w:t>
      </w:r>
      <w:r w:rsidR="00B313CD" w:rsidRPr="00E45E57">
        <w:rPr>
          <w:rFonts w:ascii="Times New Roman" w:hAnsi="Times New Roman" w:cs="Times New Roman"/>
          <w:sz w:val="28"/>
          <w:szCs w:val="28"/>
          <w:lang w:val="en-US"/>
        </w:rPr>
        <w:t xml:space="preserve">wever, the specific method used for the UN </w:t>
      </w:r>
      <w:r w:rsidRPr="00E45E57">
        <w:rPr>
          <w:rFonts w:ascii="Times New Roman" w:hAnsi="Times New Roman" w:cs="Times New Roman"/>
          <w:sz w:val="28"/>
          <w:szCs w:val="28"/>
          <w:lang w:val="en-US"/>
        </w:rPr>
        <w:t xml:space="preserve">projections </w:t>
      </w:r>
      <w:r w:rsidR="00B313CD" w:rsidRPr="00E45E57">
        <w:rPr>
          <w:rFonts w:ascii="Times New Roman" w:hAnsi="Times New Roman" w:cs="Times New Roman"/>
          <w:sz w:val="28"/>
          <w:szCs w:val="28"/>
          <w:lang w:val="en-US"/>
        </w:rPr>
        <w:t>limits their applicability for such a task</w:t>
      </w:r>
      <w:r w:rsidRPr="00E45E57">
        <w:rPr>
          <w:rFonts w:ascii="Times New Roman" w:hAnsi="Times New Roman" w:cs="Times New Roman"/>
          <w:sz w:val="28"/>
          <w:szCs w:val="28"/>
          <w:lang w:val="en-US"/>
        </w:rPr>
        <w:t xml:space="preserve">. Most importantly, the universal set of scenarios (“high”, “medium”, and “low”) does not allow to account for the specific demographic features of </w:t>
      </w:r>
      <w:r w:rsidR="00B313CD" w:rsidRPr="00E45E57">
        <w:rPr>
          <w:rFonts w:ascii="Times New Roman" w:hAnsi="Times New Roman" w:cs="Times New Roman"/>
          <w:sz w:val="28"/>
          <w:szCs w:val="28"/>
          <w:lang w:val="en-US"/>
        </w:rPr>
        <w:t>a</w:t>
      </w:r>
      <w:r w:rsidRPr="00E45E57">
        <w:rPr>
          <w:rFonts w:ascii="Times New Roman" w:hAnsi="Times New Roman" w:cs="Times New Roman"/>
          <w:sz w:val="28"/>
          <w:szCs w:val="28"/>
          <w:lang w:val="en-US"/>
        </w:rPr>
        <w:t xml:space="preserve"> particular country, the recent events of its demographic history (such as experiencing a long fertility stall, or having an effective family planning campaign introduced). These projections, therefore, outline the possible diapason within which the African demographic future will most likely reveal itself, but fail to answer practical questions, which are crucial when trying to account for the demographic trends in development forecasts – e.g., What if the fertility stall ends right now? What if it continues for another 15 years? How large will the population increase be if a country preserves its current rates of fertility decline unchanged? To what extent will the population explosion get curbed if a country manages to reach the Iranian (or Rwandan) pace of fertility decline? </w:t>
      </w:r>
    </w:p>
    <w:p w:rsidR="00635025" w:rsidRPr="00E45E57" w:rsidRDefault="00635025"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lastRenderedPageBreak/>
        <w:t xml:space="preserve">Getting answers to this type of questions is vital for making policy decisions. Indeed, one can then compare the difference in population numbers and age structure (including the numbers of specific age groups), say, in the inertial scenario (current trends continue at their current pace) versus the fertility decline acceleration scenario (specific policies are introduced, aimed at increasing the availability of family planning, spreading the female education, securing the legal age at marriage, etc.). Once this difference is estimated, it can be easily transferred into all spheres of development. One will be able to calculate the cost of not taking action (inertial scenario) vs. taking action (aimed at accelerating the fertility decline) in terms of population density, population pressure on land, pasturage, water etc., the increase in the absolute numbers of rural-urban migrants, the cost of expanding urban infrastructure and accommodation for these migrants, the increase in the government absolute spending on education and health to sustain their universality (or, at least, the current rate of coverage), the necessary number of new workplaces to be created annually for the increasing numbers of young people entering the labor market, and so on. </w:t>
      </w:r>
    </w:p>
    <w:p w:rsidR="00635025" w:rsidRPr="00E45E57" w:rsidRDefault="00635025"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It is critically important to understand here that certain (for some countries, very considerable) population increase is already inevitable due to the colossal demographic inertia gained in the recent decades of very high (stalled) fertility. Taking a closer look at the optimistic scenario (implying </w:t>
      </w:r>
      <w:proofErr w:type="gramStart"/>
      <w:r w:rsidRPr="00E45E57">
        <w:rPr>
          <w:rFonts w:ascii="Times New Roman" w:hAnsi="Times New Roman" w:cs="Times New Roman"/>
          <w:sz w:val="28"/>
          <w:szCs w:val="28"/>
          <w:lang w:val="en-US"/>
        </w:rPr>
        <w:t>an acceleration</w:t>
      </w:r>
      <w:proofErr w:type="gramEnd"/>
      <w:r w:rsidRPr="00E45E57">
        <w:rPr>
          <w:rFonts w:ascii="Times New Roman" w:hAnsi="Times New Roman" w:cs="Times New Roman"/>
          <w:sz w:val="28"/>
          <w:szCs w:val="28"/>
          <w:lang w:val="en-US"/>
        </w:rPr>
        <w:t xml:space="preserve"> in fertility decline up to the pace of Iran, with its fastest fertility transition in the world</w:t>
      </w:r>
      <w:r w:rsidRPr="00E45E57">
        <w:rPr>
          <w:rStyle w:val="a8"/>
          <w:rFonts w:ascii="Times New Roman" w:hAnsi="Times New Roman" w:cs="Times New Roman"/>
          <w:sz w:val="28"/>
          <w:szCs w:val="28"/>
          <w:lang w:val="en-US"/>
        </w:rPr>
        <w:footnoteReference w:id="4"/>
      </w:r>
      <w:r w:rsidRPr="00E45E57">
        <w:rPr>
          <w:rFonts w:ascii="Times New Roman" w:hAnsi="Times New Roman" w:cs="Times New Roman"/>
          <w:sz w:val="28"/>
          <w:szCs w:val="28"/>
          <w:lang w:val="en-US"/>
        </w:rPr>
        <w:t>) helps to understand what population increase will happen in any case, even if the most effective fe</w:t>
      </w:r>
      <w:r w:rsidR="00B313CD" w:rsidRPr="00E45E57">
        <w:rPr>
          <w:rFonts w:ascii="Times New Roman" w:hAnsi="Times New Roman" w:cs="Times New Roman"/>
          <w:sz w:val="28"/>
          <w:szCs w:val="28"/>
          <w:lang w:val="en-US"/>
        </w:rPr>
        <w:t xml:space="preserve">rtility-inhibiting measures are </w:t>
      </w:r>
      <w:r w:rsidRPr="00E45E57">
        <w:rPr>
          <w:rFonts w:ascii="Times New Roman" w:hAnsi="Times New Roman" w:cs="Times New Roman"/>
          <w:sz w:val="28"/>
          <w:szCs w:val="28"/>
          <w:lang w:val="en-US"/>
        </w:rPr>
        <w:t xml:space="preserve">taken right immediately. This unavoidable population growth is vital for the policy-makers to be aware of, as it should be taken into account in all development forecasts, as well as in major national social and economic policies. </w:t>
      </w:r>
    </w:p>
    <w:p w:rsidR="00635025" w:rsidRPr="00E45E57" w:rsidRDefault="00635025" w:rsidP="00E45E57">
      <w:pPr>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On the other hand, the inertial scenario – or, more exactly, its difference from the optimistic scenario – helps to assess the preventable demographic burden, </w:t>
      </w:r>
      <w:r w:rsidRPr="00E45E57">
        <w:rPr>
          <w:rFonts w:ascii="Times New Roman" w:hAnsi="Times New Roman" w:cs="Times New Roman"/>
          <w:i/>
          <w:sz w:val="28"/>
          <w:szCs w:val="28"/>
          <w:lang w:val="en-US"/>
        </w:rPr>
        <w:t>i.e</w:t>
      </w:r>
      <w:r w:rsidRPr="00E45E57">
        <w:rPr>
          <w:rFonts w:ascii="Times New Roman" w:hAnsi="Times New Roman" w:cs="Times New Roman"/>
          <w:sz w:val="28"/>
          <w:szCs w:val="28"/>
          <w:lang w:val="en-US"/>
        </w:rPr>
        <w:t xml:space="preserve">. </w:t>
      </w:r>
      <w:r w:rsidRPr="00E45E57">
        <w:rPr>
          <w:rFonts w:ascii="Times New Roman" w:hAnsi="Times New Roman" w:cs="Times New Roman"/>
          <w:sz w:val="28"/>
          <w:szCs w:val="28"/>
          <w:lang w:val="en-US"/>
        </w:rPr>
        <w:lastRenderedPageBreak/>
        <w:t xml:space="preserve">how much additional strain upon economy and social infrastructure can be avoided (and to what extent the risks of socio-political instability can be mitigated) through accelerated fertility transition; and, vice versa, how much additional strain the population explosion will put upon all spheres of development if no urgent and effective policies are introduced to bring down the extremely high fertility rates. </w:t>
      </w:r>
    </w:p>
    <w:p w:rsidR="00635025" w:rsidRPr="00E45E57" w:rsidRDefault="00635025" w:rsidP="00E45E57">
      <w:pPr>
        <w:shd w:val="clear" w:color="auto" w:fill="FFFFFF"/>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We should emphasize here that scenario forecasts of population dynamics possess considerably high degree of accuracy and reliability, indeed, simply from the current age structure (and the data on age-specific mortality coefficients) we can forecast very reliably the number of school-age children in the next 7 – 10 years, the number of working age people in the next 20 years, etc. – as all these people are already born. Moreover, the advantage of scenario forecasts is that they do not state “it will be like this”. Rather, they imply the following: “even if the policy-makers do their best to accelerate the fertility decline in this country, and do it really effectively, the population increase will be no less than this value – and it will have its consequences and implications in all spheres of development. If the policy-makers let things pass just as they are right now, the population will not simply increase, but rather explode – and its consequences and implications in all spheres of development will be much more serious and c</w:t>
      </w:r>
      <w:r w:rsidR="00E45E57" w:rsidRPr="00E45E57">
        <w:rPr>
          <w:rFonts w:ascii="Times New Roman" w:hAnsi="Times New Roman" w:cs="Times New Roman"/>
          <w:sz w:val="28"/>
          <w:szCs w:val="28"/>
          <w:lang w:val="en-US"/>
        </w:rPr>
        <w:t>an, indeed, become catastrophic”</w:t>
      </w:r>
      <w:r w:rsidRPr="00E45E57">
        <w:rPr>
          <w:rFonts w:ascii="Times New Roman" w:hAnsi="Times New Roman" w:cs="Times New Roman"/>
          <w:sz w:val="28"/>
          <w:szCs w:val="28"/>
          <w:lang w:val="en-US"/>
        </w:rPr>
        <w:t>.</w:t>
      </w:r>
    </w:p>
    <w:p w:rsidR="00E45E57" w:rsidRPr="00E45E57" w:rsidRDefault="00E45E57" w:rsidP="00E45E57">
      <w:pPr>
        <w:spacing w:after="0" w:line="360" w:lineRule="auto"/>
        <w:ind w:firstLine="567"/>
        <w:jc w:val="both"/>
        <w:rPr>
          <w:rFonts w:ascii="Times New Roman" w:hAnsi="Times New Roman" w:cs="Times New Roman"/>
          <w:color w:val="000000" w:themeColor="text1"/>
          <w:sz w:val="28"/>
          <w:szCs w:val="28"/>
          <w:lang w:val="en-US"/>
        </w:rPr>
      </w:pPr>
      <w:r w:rsidRPr="00E45E57">
        <w:rPr>
          <w:rFonts w:ascii="Times New Roman" w:hAnsi="Times New Roman" w:cs="Times New Roman"/>
          <w:sz w:val="28"/>
          <w:szCs w:val="28"/>
          <w:lang w:val="en-US"/>
        </w:rPr>
        <w:t xml:space="preserve">Below we present a calculation of such basic population dynamics scenarios for Mozambique. </w:t>
      </w:r>
      <w:r w:rsidR="00361A73">
        <w:rPr>
          <w:rFonts w:ascii="Times New Roman" w:hAnsi="Times New Roman" w:cs="Times New Roman"/>
          <w:sz w:val="28"/>
          <w:szCs w:val="28"/>
          <w:lang w:val="en-US"/>
        </w:rPr>
        <w:t xml:space="preserve">For these </w:t>
      </w:r>
      <w:r w:rsidRPr="00E45E57">
        <w:rPr>
          <w:rFonts w:ascii="Times New Roman" w:hAnsi="Times New Roman" w:cs="Times New Roman"/>
          <w:color w:val="000000" w:themeColor="text1"/>
          <w:sz w:val="28"/>
          <w:szCs w:val="28"/>
          <w:lang w:val="en-US"/>
        </w:rPr>
        <w:t>we used the age-sex population structure as stated by the UN Population Division, and the age-specific mortality rates corresponding to the life expectancy values projected in the UN Population Division “medium” scenario. The values of the current TFR and the age-specific fertility rates were taken from the latest DHS survey. We modelled two basic scenarios:</w:t>
      </w:r>
    </w:p>
    <w:p w:rsidR="00E45E57" w:rsidRPr="00E45E57" w:rsidRDefault="00E45E57" w:rsidP="00E45E57">
      <w:pPr>
        <w:spacing w:after="0" w:line="360" w:lineRule="auto"/>
        <w:ind w:left="567"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a) </w:t>
      </w:r>
      <w:proofErr w:type="gramStart"/>
      <w:r w:rsidRPr="00E45E57">
        <w:rPr>
          <w:rFonts w:ascii="Times New Roman" w:hAnsi="Times New Roman" w:cs="Times New Roman"/>
          <w:sz w:val="28"/>
          <w:szCs w:val="28"/>
          <w:lang w:val="en-US"/>
        </w:rPr>
        <w:t>the</w:t>
      </w:r>
      <w:proofErr w:type="gramEnd"/>
      <w:r w:rsidRPr="00E45E57">
        <w:rPr>
          <w:rFonts w:ascii="Times New Roman" w:hAnsi="Times New Roman" w:cs="Times New Roman"/>
          <w:sz w:val="28"/>
          <w:szCs w:val="28"/>
          <w:lang w:val="en-US"/>
        </w:rPr>
        <w:t xml:space="preserve"> inertial scenario – here we model the effect of a continuation of the stall for the next 15 years, with subsequent fertility decline at 0.1 children per woman annually (which is the rate of decline currently observed in a number of African countries). Unfortunately, this scenario </w:t>
      </w:r>
      <w:proofErr w:type="spellStart"/>
      <w:r w:rsidRPr="00E45E57">
        <w:rPr>
          <w:rFonts w:ascii="Times New Roman" w:hAnsi="Times New Roman" w:cs="Times New Roman"/>
          <w:sz w:val="28"/>
          <w:szCs w:val="28"/>
          <w:lang w:val="en-US"/>
        </w:rPr>
        <w:t>can not</w:t>
      </w:r>
      <w:proofErr w:type="spellEnd"/>
      <w:r w:rsidRPr="00E45E57">
        <w:rPr>
          <w:rFonts w:ascii="Times New Roman" w:hAnsi="Times New Roman" w:cs="Times New Roman"/>
          <w:sz w:val="28"/>
          <w:szCs w:val="28"/>
          <w:lang w:val="en-US"/>
        </w:rPr>
        <w:t xml:space="preserve"> be called overly pessimistic and is, in fact, rather probable if policy-makers continue </w:t>
      </w:r>
      <w:r w:rsidRPr="00E45E57">
        <w:rPr>
          <w:rFonts w:ascii="Times New Roman" w:hAnsi="Times New Roman" w:cs="Times New Roman"/>
          <w:sz w:val="28"/>
          <w:szCs w:val="28"/>
          <w:lang w:val="en-US"/>
        </w:rPr>
        <w:lastRenderedPageBreak/>
        <w:t xml:space="preserve">regarding development as “the best contraceptive”, even though the most recent economic achievements (Mozambican where GDP per capita has nearly doubled since the mid-1990s) hardly seem to demonstrate any pronounced fertility-decline-accelerating effect. </w:t>
      </w:r>
    </w:p>
    <w:p w:rsidR="00635025" w:rsidRPr="00E45E57" w:rsidRDefault="00E45E57" w:rsidP="00E45E57">
      <w:pPr>
        <w:spacing w:after="0" w:line="360" w:lineRule="auto"/>
        <w:ind w:left="567"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b) </w:t>
      </w:r>
      <w:proofErr w:type="gramStart"/>
      <w:r w:rsidRPr="00E45E57">
        <w:rPr>
          <w:rFonts w:ascii="Times New Roman" w:hAnsi="Times New Roman" w:cs="Times New Roman"/>
          <w:sz w:val="28"/>
          <w:szCs w:val="28"/>
          <w:lang w:val="en-US"/>
        </w:rPr>
        <w:t>the</w:t>
      </w:r>
      <w:proofErr w:type="gramEnd"/>
      <w:r w:rsidRPr="00E45E57">
        <w:rPr>
          <w:rFonts w:ascii="Times New Roman" w:hAnsi="Times New Roman" w:cs="Times New Roman"/>
          <w:sz w:val="28"/>
          <w:szCs w:val="28"/>
          <w:lang w:val="en-US"/>
        </w:rPr>
        <w:t xml:space="preserve"> optimistic scenario – this implies an immediate acceleration in fertility decline up to the fastest pace known in the developing world (such as that of Iran in the 1980s and 1990s, by about 4 children per woman in 20 years). This scenario helps to reveal the already inevitable population increase – even if fertility decline in Mozambique countries accelerates to the Iranian pace, the population increase will be huge, as the current generation of children (who will become parents in 20 years) exceeds the current generation of parents by 2 – 3 times. However, reaching this scenario appears for many countries an indispensable condition for avoiding the catastrophic population explosions.</w:t>
      </w:r>
    </w:p>
    <w:p w:rsidR="00E45E57" w:rsidRPr="00E45E57" w:rsidRDefault="00E45E57" w:rsidP="00E45E57">
      <w:pPr>
        <w:spacing w:after="0" w:line="360" w:lineRule="auto"/>
        <w:ind w:firstLine="567"/>
        <w:rPr>
          <w:rFonts w:ascii="Times New Roman" w:hAnsi="Times New Roman" w:cs="Times New Roman"/>
          <w:sz w:val="28"/>
          <w:szCs w:val="28"/>
          <w:lang w:val="en-US"/>
        </w:rPr>
      </w:pPr>
    </w:p>
    <w:p w:rsidR="00670C4A" w:rsidRPr="00E45E57" w:rsidRDefault="00670C4A" w:rsidP="00361A73">
      <w:pPr>
        <w:shd w:val="clear" w:color="auto" w:fill="FFFFFF"/>
        <w:spacing w:after="0" w:line="360" w:lineRule="auto"/>
        <w:jc w:val="both"/>
        <w:rPr>
          <w:rFonts w:ascii="Times New Roman" w:hAnsi="Times New Roman" w:cs="Times New Roman"/>
          <w:sz w:val="28"/>
          <w:szCs w:val="28"/>
          <w:lang w:val="en-US"/>
        </w:rPr>
      </w:pPr>
      <w:proofErr w:type="gramStart"/>
      <w:r w:rsidRPr="00E45E57">
        <w:rPr>
          <w:rFonts w:ascii="Times New Roman" w:hAnsi="Times New Roman" w:cs="Times New Roman"/>
          <w:sz w:val="28"/>
          <w:szCs w:val="28"/>
          <w:lang w:val="en-US"/>
        </w:rPr>
        <w:t xml:space="preserve">Fig. </w:t>
      </w:r>
      <w:r w:rsidR="00E45E57" w:rsidRPr="00E45E57">
        <w:rPr>
          <w:rFonts w:ascii="Times New Roman" w:hAnsi="Times New Roman" w:cs="Times New Roman"/>
          <w:sz w:val="28"/>
          <w:szCs w:val="28"/>
          <w:lang w:val="en-US"/>
        </w:rPr>
        <w:t>7</w:t>
      </w:r>
      <w:r w:rsidRPr="00E45E57">
        <w:rPr>
          <w:rFonts w:ascii="Times New Roman" w:hAnsi="Times New Roman" w:cs="Times New Roman"/>
          <w:sz w:val="28"/>
          <w:szCs w:val="28"/>
          <w:lang w:val="en-US"/>
        </w:rPr>
        <w:t>.</w:t>
      </w:r>
      <w:proofErr w:type="gramEnd"/>
      <w:r w:rsidRPr="00E45E57">
        <w:rPr>
          <w:rFonts w:ascii="Times New Roman" w:hAnsi="Times New Roman" w:cs="Times New Roman"/>
          <w:sz w:val="28"/>
          <w:szCs w:val="28"/>
          <w:lang w:val="en-US"/>
        </w:rPr>
        <w:t xml:space="preserve"> Forecasts scenarios of population dynamics in Mozambique, up to 2100</w:t>
      </w:r>
    </w:p>
    <w:p w:rsidR="00670C4A" w:rsidRPr="00E45E57" w:rsidRDefault="00670C4A" w:rsidP="00E45E57">
      <w:pPr>
        <w:shd w:val="clear" w:color="auto" w:fill="FFFFFF"/>
        <w:spacing w:after="0" w:line="360" w:lineRule="auto"/>
        <w:ind w:firstLine="567"/>
        <w:jc w:val="center"/>
        <w:rPr>
          <w:rFonts w:ascii="Times New Roman" w:hAnsi="Times New Roman" w:cs="Times New Roman"/>
          <w:sz w:val="28"/>
          <w:szCs w:val="28"/>
          <w:lang w:val="en-US"/>
        </w:rPr>
      </w:pPr>
      <w:r w:rsidRPr="00E45E57">
        <w:rPr>
          <w:rFonts w:ascii="Times New Roman" w:hAnsi="Times New Roman" w:cs="Times New Roman"/>
          <w:noProof/>
          <w:sz w:val="28"/>
          <w:szCs w:val="28"/>
        </w:rPr>
        <w:drawing>
          <wp:inline distT="0" distB="0" distL="0" distR="0" wp14:anchorId="458E6995" wp14:editId="03756388">
            <wp:extent cx="4914900" cy="42195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0C4A" w:rsidRPr="00E45E57" w:rsidRDefault="00670C4A" w:rsidP="00E45E57">
      <w:pPr>
        <w:shd w:val="clear" w:color="auto" w:fill="FFFFFF"/>
        <w:spacing w:after="0" w:line="360" w:lineRule="auto"/>
        <w:ind w:firstLine="567"/>
        <w:jc w:val="both"/>
        <w:rPr>
          <w:rFonts w:ascii="Times New Roman" w:hAnsi="Times New Roman" w:cs="Times New Roman"/>
          <w:sz w:val="28"/>
          <w:szCs w:val="28"/>
          <w:lang w:val="en-US"/>
        </w:rPr>
      </w:pPr>
    </w:p>
    <w:p w:rsidR="00670C4A" w:rsidRPr="00E45E57" w:rsidRDefault="00670C4A" w:rsidP="00E45E57">
      <w:pPr>
        <w:shd w:val="clear" w:color="auto" w:fill="FFFFFF"/>
        <w:spacing w:after="0" w:line="360" w:lineRule="auto"/>
        <w:ind w:firstLine="567"/>
        <w:jc w:val="both"/>
        <w:rPr>
          <w:rFonts w:ascii="Times New Roman" w:hAnsi="Times New Roman" w:cs="Times New Roman"/>
          <w:sz w:val="28"/>
          <w:szCs w:val="28"/>
          <w:lang w:val="en-US"/>
        </w:rPr>
      </w:pPr>
      <w:proofErr w:type="gramStart"/>
      <w:r w:rsidRPr="00E45E57">
        <w:rPr>
          <w:rFonts w:ascii="Times New Roman" w:hAnsi="Times New Roman" w:cs="Times New Roman"/>
          <w:sz w:val="28"/>
          <w:szCs w:val="28"/>
          <w:lang w:val="en-US"/>
        </w:rPr>
        <w:t>Tab</w:t>
      </w:r>
      <w:r w:rsidR="00E45E57" w:rsidRPr="00E45E57">
        <w:rPr>
          <w:rFonts w:ascii="Times New Roman" w:hAnsi="Times New Roman" w:cs="Times New Roman"/>
          <w:sz w:val="28"/>
          <w:szCs w:val="28"/>
          <w:lang w:val="en-US"/>
        </w:rPr>
        <w:t>le 2</w:t>
      </w:r>
      <w:r w:rsidRPr="00E45E57">
        <w:rPr>
          <w:rFonts w:ascii="Times New Roman" w:hAnsi="Times New Roman" w:cs="Times New Roman"/>
          <w:sz w:val="28"/>
          <w:szCs w:val="28"/>
          <w:lang w:val="en-US"/>
        </w:rPr>
        <w:t>.</w:t>
      </w:r>
      <w:proofErr w:type="gramEnd"/>
      <w:r w:rsidRPr="00E45E57">
        <w:rPr>
          <w:rFonts w:ascii="Times New Roman" w:hAnsi="Times New Roman" w:cs="Times New Roman"/>
          <w:sz w:val="28"/>
          <w:szCs w:val="28"/>
          <w:lang w:val="en-US"/>
        </w:rPr>
        <w:t xml:space="preserve"> Absolute population numbers (</w:t>
      </w:r>
      <w:proofErr w:type="spellStart"/>
      <w:r w:rsidRPr="00E45E57">
        <w:rPr>
          <w:rFonts w:ascii="Times New Roman" w:hAnsi="Times New Roman" w:cs="Times New Roman"/>
          <w:sz w:val="28"/>
          <w:szCs w:val="28"/>
          <w:lang w:val="en-US"/>
        </w:rPr>
        <w:t>mln</w:t>
      </w:r>
      <w:proofErr w:type="spellEnd"/>
      <w:r w:rsidRPr="00E45E57">
        <w:rPr>
          <w:rFonts w:ascii="Times New Roman" w:hAnsi="Times New Roman" w:cs="Times New Roman"/>
          <w:sz w:val="28"/>
          <w:szCs w:val="28"/>
          <w:lang w:val="en-US"/>
        </w:rPr>
        <w:t>) according to various forecast scenarios for Mozambique</w:t>
      </w:r>
    </w:p>
    <w:tbl>
      <w:tblPr>
        <w:tblStyle w:val="a9"/>
        <w:tblW w:w="0" w:type="auto"/>
        <w:tblLook w:val="04A0" w:firstRow="1" w:lastRow="0" w:firstColumn="1" w:lastColumn="0" w:noHBand="0" w:noVBand="1"/>
      </w:tblPr>
      <w:tblGrid>
        <w:gridCol w:w="1555"/>
        <w:gridCol w:w="2551"/>
        <w:gridCol w:w="2551"/>
        <w:gridCol w:w="2552"/>
      </w:tblGrid>
      <w:tr w:rsidR="00670C4A" w:rsidRPr="00270E35" w:rsidTr="00CF33D9">
        <w:tc>
          <w:tcPr>
            <w:tcW w:w="1555" w:type="dxa"/>
          </w:tcPr>
          <w:p w:rsidR="00670C4A" w:rsidRPr="00E45E57" w:rsidRDefault="00670C4A" w:rsidP="00E45E57">
            <w:pPr>
              <w:spacing w:line="360" w:lineRule="auto"/>
              <w:ind w:firstLine="567"/>
              <w:jc w:val="both"/>
              <w:rPr>
                <w:rFonts w:ascii="Times New Roman" w:hAnsi="Times New Roman" w:cs="Times New Roman"/>
                <w:sz w:val="28"/>
                <w:szCs w:val="28"/>
                <w:lang w:val="en-US"/>
              </w:rPr>
            </w:pPr>
          </w:p>
        </w:tc>
        <w:tc>
          <w:tcPr>
            <w:tcW w:w="2551" w:type="dxa"/>
          </w:tcPr>
          <w:p w:rsidR="00670C4A" w:rsidRPr="00E45E57" w:rsidRDefault="00670C4A" w:rsidP="00E45E57">
            <w:pPr>
              <w:spacing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Accelerated fertility decline to 1,8 children per woman</w:t>
            </w:r>
          </w:p>
        </w:tc>
        <w:tc>
          <w:tcPr>
            <w:tcW w:w="2551" w:type="dxa"/>
          </w:tcPr>
          <w:p w:rsidR="00670C4A" w:rsidRPr="00E45E57" w:rsidRDefault="00670C4A" w:rsidP="00E45E57">
            <w:pPr>
              <w:spacing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Accelerated fertility decline to 2,1 children per woman</w:t>
            </w:r>
          </w:p>
        </w:tc>
        <w:tc>
          <w:tcPr>
            <w:tcW w:w="2552" w:type="dxa"/>
            <w:vAlign w:val="center"/>
          </w:tcPr>
          <w:p w:rsidR="00670C4A" w:rsidRPr="00E45E57" w:rsidRDefault="00670C4A" w:rsidP="00E45E57">
            <w:pPr>
              <w:spacing w:line="360" w:lineRule="auto"/>
              <w:ind w:firstLine="567"/>
              <w:jc w:val="both"/>
              <w:rPr>
                <w:rFonts w:ascii="Times New Roman" w:hAnsi="Times New Roman" w:cs="Times New Roman"/>
                <w:color w:val="000000"/>
                <w:sz w:val="28"/>
                <w:szCs w:val="28"/>
                <w:lang w:val="en-US"/>
              </w:rPr>
            </w:pPr>
            <w:r w:rsidRPr="00E45E57">
              <w:rPr>
                <w:rFonts w:ascii="Times New Roman" w:hAnsi="Times New Roman" w:cs="Times New Roman"/>
                <w:color w:val="000000"/>
                <w:sz w:val="28"/>
                <w:szCs w:val="28"/>
                <w:lang w:val="en-US"/>
              </w:rPr>
              <w:t>15-year long continuation of fertility stall with subsequent decline at 0.1 children per woman annually</w:t>
            </w:r>
          </w:p>
        </w:tc>
      </w:tr>
      <w:tr w:rsidR="00670C4A" w:rsidRPr="00E45E57" w:rsidTr="00CF33D9">
        <w:tc>
          <w:tcPr>
            <w:tcW w:w="1555"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2050</w:t>
            </w:r>
          </w:p>
        </w:tc>
        <w:tc>
          <w:tcPr>
            <w:tcW w:w="2551"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4</w:t>
            </w:r>
            <w:r w:rsidRPr="00E45E57">
              <w:rPr>
                <w:rFonts w:ascii="Times New Roman" w:hAnsi="Times New Roman" w:cs="Times New Roman"/>
                <w:color w:val="000000"/>
                <w:sz w:val="28"/>
                <w:szCs w:val="28"/>
                <w:lang w:val="en-US"/>
              </w:rPr>
              <w:t>4,0</w:t>
            </w:r>
          </w:p>
        </w:tc>
        <w:tc>
          <w:tcPr>
            <w:tcW w:w="2551"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45</w:t>
            </w:r>
            <w:r w:rsidRPr="00E45E57">
              <w:rPr>
                <w:rFonts w:ascii="Times New Roman" w:hAnsi="Times New Roman" w:cs="Times New Roman"/>
                <w:color w:val="000000"/>
                <w:sz w:val="28"/>
                <w:szCs w:val="28"/>
                <w:lang w:val="en-US"/>
              </w:rPr>
              <w:t>,</w:t>
            </w:r>
            <w:r w:rsidRPr="00E45E57">
              <w:rPr>
                <w:rFonts w:ascii="Times New Roman" w:hAnsi="Times New Roman" w:cs="Times New Roman"/>
                <w:color w:val="000000"/>
                <w:sz w:val="28"/>
                <w:szCs w:val="28"/>
              </w:rPr>
              <w:t>6</w:t>
            </w:r>
          </w:p>
        </w:tc>
        <w:tc>
          <w:tcPr>
            <w:tcW w:w="2552"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78</w:t>
            </w:r>
            <w:r w:rsidRPr="00E45E57">
              <w:rPr>
                <w:rFonts w:ascii="Times New Roman" w:hAnsi="Times New Roman" w:cs="Times New Roman"/>
                <w:color w:val="000000"/>
                <w:sz w:val="28"/>
                <w:szCs w:val="28"/>
                <w:lang w:val="en-US"/>
              </w:rPr>
              <w:t>,</w:t>
            </w:r>
            <w:r w:rsidRPr="00E45E57">
              <w:rPr>
                <w:rFonts w:ascii="Times New Roman" w:hAnsi="Times New Roman" w:cs="Times New Roman"/>
                <w:color w:val="000000"/>
                <w:sz w:val="28"/>
                <w:szCs w:val="28"/>
              </w:rPr>
              <w:t>0</w:t>
            </w:r>
          </w:p>
        </w:tc>
      </w:tr>
      <w:tr w:rsidR="00670C4A" w:rsidRPr="00E45E57" w:rsidTr="00CF33D9">
        <w:tc>
          <w:tcPr>
            <w:tcW w:w="1555"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2100</w:t>
            </w:r>
          </w:p>
        </w:tc>
        <w:tc>
          <w:tcPr>
            <w:tcW w:w="2551"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45</w:t>
            </w:r>
            <w:r w:rsidRPr="00E45E57">
              <w:rPr>
                <w:rFonts w:ascii="Times New Roman" w:hAnsi="Times New Roman" w:cs="Times New Roman"/>
                <w:color w:val="000000"/>
                <w:sz w:val="28"/>
                <w:szCs w:val="28"/>
                <w:lang w:val="en-US"/>
              </w:rPr>
              <w:t>,6</w:t>
            </w:r>
          </w:p>
        </w:tc>
        <w:tc>
          <w:tcPr>
            <w:tcW w:w="2551"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55</w:t>
            </w:r>
            <w:r w:rsidRPr="00E45E57">
              <w:rPr>
                <w:rFonts w:ascii="Times New Roman" w:hAnsi="Times New Roman" w:cs="Times New Roman"/>
                <w:color w:val="000000"/>
                <w:sz w:val="28"/>
                <w:szCs w:val="28"/>
                <w:lang w:val="en-US"/>
              </w:rPr>
              <w:t>,8</w:t>
            </w:r>
          </w:p>
        </w:tc>
        <w:tc>
          <w:tcPr>
            <w:tcW w:w="2552" w:type="dxa"/>
            <w:vAlign w:val="bottom"/>
          </w:tcPr>
          <w:p w:rsidR="00670C4A" w:rsidRPr="00E45E57" w:rsidRDefault="00670C4A" w:rsidP="00E45E57">
            <w:pPr>
              <w:spacing w:line="360" w:lineRule="auto"/>
              <w:ind w:firstLine="567"/>
              <w:jc w:val="right"/>
              <w:rPr>
                <w:rFonts w:ascii="Times New Roman" w:hAnsi="Times New Roman" w:cs="Times New Roman"/>
                <w:color w:val="000000"/>
                <w:sz w:val="28"/>
                <w:szCs w:val="28"/>
              </w:rPr>
            </w:pPr>
            <w:r w:rsidRPr="00E45E57">
              <w:rPr>
                <w:rFonts w:ascii="Times New Roman" w:hAnsi="Times New Roman" w:cs="Times New Roman"/>
                <w:color w:val="000000"/>
                <w:sz w:val="28"/>
                <w:szCs w:val="28"/>
              </w:rPr>
              <w:t>198</w:t>
            </w:r>
            <w:r w:rsidRPr="00E45E57">
              <w:rPr>
                <w:rFonts w:ascii="Times New Roman" w:hAnsi="Times New Roman" w:cs="Times New Roman"/>
                <w:color w:val="000000"/>
                <w:sz w:val="28"/>
                <w:szCs w:val="28"/>
                <w:lang w:val="en-US"/>
              </w:rPr>
              <w:t>,8</w:t>
            </w:r>
          </w:p>
        </w:tc>
      </w:tr>
    </w:tbl>
    <w:p w:rsidR="00670C4A" w:rsidRPr="00E45E57" w:rsidRDefault="00670C4A" w:rsidP="00E45E57">
      <w:pPr>
        <w:shd w:val="clear" w:color="auto" w:fill="FFFFFF"/>
        <w:spacing w:after="0" w:line="360" w:lineRule="auto"/>
        <w:ind w:firstLine="567"/>
        <w:jc w:val="both"/>
        <w:rPr>
          <w:rFonts w:ascii="Times New Roman" w:hAnsi="Times New Roman" w:cs="Times New Roman"/>
          <w:sz w:val="28"/>
          <w:szCs w:val="28"/>
          <w:lang w:val="en-US"/>
        </w:rPr>
      </w:pPr>
    </w:p>
    <w:p w:rsidR="00670C4A" w:rsidRPr="00E45E57" w:rsidRDefault="00670C4A" w:rsidP="00E45E57">
      <w:pPr>
        <w:shd w:val="clear" w:color="auto" w:fill="FFFFFF"/>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In terms of fertility transition dynamics, Mozambique is among the most threatened countries – for more than a decade it has been experiencing not just a stall, but a growth in fertility – from 5.2 in 1997 to 5.5 in 2003 and 5.9 in 2011. If no urgent action is taken to reverse the trend and achieve a fast decline of fertility, the country will encounter a full-scale demographic catastrophe, with population more than tripling from 23 </w:t>
      </w:r>
      <w:proofErr w:type="spellStart"/>
      <w:r w:rsidRPr="00E45E57">
        <w:rPr>
          <w:rFonts w:ascii="Times New Roman" w:hAnsi="Times New Roman" w:cs="Times New Roman"/>
          <w:sz w:val="28"/>
          <w:szCs w:val="28"/>
          <w:lang w:val="en-US"/>
        </w:rPr>
        <w:t>mln</w:t>
      </w:r>
      <w:proofErr w:type="spellEnd"/>
      <w:r w:rsidRPr="00E45E57">
        <w:rPr>
          <w:rFonts w:ascii="Times New Roman" w:hAnsi="Times New Roman" w:cs="Times New Roman"/>
          <w:sz w:val="28"/>
          <w:szCs w:val="28"/>
          <w:lang w:val="en-US"/>
        </w:rPr>
        <w:t xml:space="preserve"> to 78 in 2050 (and overall growth by nearly an order of magnitude during the century). So, a dramatic acceleration of fertility transition is necessary for this country to avoid the catastrophic scenarios (however, population doubling by 2050 is already inevitable in any case, which should be taken into account in all development plans and forecasts). A closer look at the numbers of particular age groups and age-d</w:t>
      </w:r>
      <w:r w:rsidR="00E45E57" w:rsidRPr="00E45E57">
        <w:rPr>
          <w:rFonts w:ascii="Times New Roman" w:hAnsi="Times New Roman" w:cs="Times New Roman"/>
          <w:sz w:val="28"/>
          <w:szCs w:val="28"/>
          <w:lang w:val="en-US"/>
        </w:rPr>
        <w:t>ependency ratios (see Table 3</w:t>
      </w:r>
      <w:r w:rsidRPr="00E45E57">
        <w:rPr>
          <w:rFonts w:ascii="Times New Roman" w:hAnsi="Times New Roman" w:cs="Times New Roman"/>
          <w:sz w:val="28"/>
          <w:szCs w:val="28"/>
          <w:lang w:val="en-US"/>
        </w:rPr>
        <w:t>) further emphasizes that the absence of very urgent acceleration in fertility transition will bear colossal risks for sociopolitical stability and will seriously undermine Mozambican prospects for development.</w:t>
      </w:r>
    </w:p>
    <w:p w:rsidR="00BF65DF" w:rsidRPr="00E45E57" w:rsidRDefault="00BF65DF" w:rsidP="00E45E57">
      <w:pPr>
        <w:shd w:val="clear" w:color="auto" w:fill="FFFFFF"/>
        <w:spacing w:after="0" w:line="360" w:lineRule="auto"/>
        <w:ind w:firstLine="567"/>
        <w:jc w:val="both"/>
        <w:rPr>
          <w:rFonts w:ascii="Times New Roman" w:hAnsi="Times New Roman" w:cs="Times New Roman"/>
          <w:sz w:val="28"/>
          <w:szCs w:val="28"/>
          <w:lang w:val="en-US"/>
        </w:rPr>
      </w:pPr>
    </w:p>
    <w:p w:rsidR="00270E35" w:rsidRDefault="00270E3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70C4A" w:rsidRPr="00E45E57" w:rsidRDefault="00E45E57" w:rsidP="00361A73">
      <w:pPr>
        <w:shd w:val="clear" w:color="auto" w:fill="FFFFFF"/>
        <w:spacing w:after="0" w:line="360" w:lineRule="auto"/>
        <w:jc w:val="both"/>
        <w:rPr>
          <w:rFonts w:ascii="Times New Roman" w:hAnsi="Times New Roman" w:cs="Times New Roman"/>
          <w:sz w:val="28"/>
          <w:szCs w:val="28"/>
          <w:lang w:val="en-US"/>
        </w:rPr>
      </w:pPr>
      <w:proofErr w:type="gramStart"/>
      <w:r w:rsidRPr="00E45E57">
        <w:rPr>
          <w:rFonts w:ascii="Times New Roman" w:hAnsi="Times New Roman" w:cs="Times New Roman"/>
          <w:sz w:val="28"/>
          <w:szCs w:val="28"/>
          <w:lang w:val="en-US"/>
        </w:rPr>
        <w:lastRenderedPageBreak/>
        <w:t>Table 3.</w:t>
      </w:r>
      <w:proofErr w:type="gramEnd"/>
      <w:r w:rsidR="00670C4A" w:rsidRPr="00E45E57">
        <w:rPr>
          <w:rFonts w:ascii="Times New Roman" w:hAnsi="Times New Roman" w:cs="Times New Roman"/>
          <w:sz w:val="28"/>
          <w:szCs w:val="28"/>
          <w:lang w:val="en-US"/>
        </w:rPr>
        <w:t xml:space="preserve"> Absolute sizes of certain age groups according to various forecasts scenarios of population dynamics in Mozambique, by 2050</w:t>
      </w:r>
    </w:p>
    <w:tbl>
      <w:tblPr>
        <w:tblStyle w:val="a9"/>
        <w:tblW w:w="0" w:type="auto"/>
        <w:tblLayout w:type="fixed"/>
        <w:tblLook w:val="04A0" w:firstRow="1" w:lastRow="0" w:firstColumn="1" w:lastColumn="0" w:noHBand="0" w:noVBand="1"/>
      </w:tblPr>
      <w:tblGrid>
        <w:gridCol w:w="1841"/>
        <w:gridCol w:w="1842"/>
        <w:gridCol w:w="1842"/>
        <w:gridCol w:w="1842"/>
        <w:gridCol w:w="1842"/>
      </w:tblGrid>
      <w:tr w:rsidR="00670C4A" w:rsidRPr="00270E35" w:rsidTr="00270E35">
        <w:trPr>
          <w:tblHeader/>
        </w:trPr>
        <w:tc>
          <w:tcPr>
            <w:tcW w:w="1841" w:type="dxa"/>
          </w:tcPr>
          <w:p w:rsidR="00670C4A" w:rsidRPr="00270E35" w:rsidRDefault="00670C4A" w:rsidP="00270E35">
            <w:pPr>
              <w:jc w:val="both"/>
              <w:rPr>
                <w:rFonts w:ascii="Times New Roman" w:hAnsi="Times New Roman" w:cs="Times New Roman"/>
                <w:i/>
                <w:sz w:val="24"/>
                <w:szCs w:val="24"/>
                <w:lang w:val="en-US"/>
              </w:rPr>
            </w:pPr>
          </w:p>
        </w:tc>
        <w:tc>
          <w:tcPr>
            <w:tcW w:w="1842" w:type="dxa"/>
          </w:tcPr>
          <w:p w:rsidR="00670C4A" w:rsidRPr="00270E35" w:rsidRDefault="00670C4A" w:rsidP="00270E35">
            <w:pPr>
              <w:jc w:val="both"/>
              <w:rPr>
                <w:rFonts w:ascii="Times New Roman" w:hAnsi="Times New Roman" w:cs="Times New Roman"/>
                <w:i/>
                <w:sz w:val="24"/>
                <w:szCs w:val="24"/>
                <w:lang w:val="en-US"/>
              </w:rPr>
            </w:pPr>
            <w:r w:rsidRPr="00270E35">
              <w:rPr>
                <w:rFonts w:ascii="Times New Roman" w:hAnsi="Times New Roman" w:cs="Times New Roman"/>
                <w:i/>
                <w:sz w:val="24"/>
                <w:szCs w:val="24"/>
                <w:lang w:val="en-US"/>
              </w:rPr>
              <w:t>Value in 2010, for comparison</w:t>
            </w:r>
          </w:p>
        </w:tc>
        <w:tc>
          <w:tcPr>
            <w:tcW w:w="1842" w:type="dxa"/>
          </w:tcPr>
          <w:p w:rsidR="00670C4A" w:rsidRPr="00270E35" w:rsidRDefault="00670C4A" w:rsidP="00270E35">
            <w:pPr>
              <w:jc w:val="both"/>
              <w:rPr>
                <w:rFonts w:ascii="Times New Roman" w:hAnsi="Times New Roman" w:cs="Times New Roman"/>
                <w:i/>
                <w:sz w:val="24"/>
                <w:szCs w:val="24"/>
                <w:lang w:val="en-US"/>
              </w:rPr>
            </w:pPr>
            <w:r w:rsidRPr="00270E35">
              <w:rPr>
                <w:rFonts w:ascii="Times New Roman" w:hAnsi="Times New Roman" w:cs="Times New Roman"/>
                <w:i/>
                <w:sz w:val="24"/>
                <w:szCs w:val="24"/>
                <w:lang w:val="en-US"/>
              </w:rPr>
              <w:t>Accelerated fertility decline to 1,8 children per woman</w:t>
            </w:r>
          </w:p>
        </w:tc>
        <w:tc>
          <w:tcPr>
            <w:tcW w:w="1842" w:type="dxa"/>
          </w:tcPr>
          <w:p w:rsidR="00670C4A" w:rsidRPr="00270E35" w:rsidRDefault="00670C4A" w:rsidP="00270E35">
            <w:pPr>
              <w:jc w:val="both"/>
              <w:rPr>
                <w:rFonts w:ascii="Times New Roman" w:hAnsi="Times New Roman" w:cs="Times New Roman"/>
                <w:i/>
                <w:sz w:val="24"/>
                <w:szCs w:val="24"/>
                <w:lang w:val="en-US"/>
              </w:rPr>
            </w:pPr>
            <w:r w:rsidRPr="00270E35">
              <w:rPr>
                <w:rFonts w:ascii="Times New Roman" w:hAnsi="Times New Roman" w:cs="Times New Roman"/>
                <w:i/>
                <w:sz w:val="24"/>
                <w:szCs w:val="24"/>
                <w:lang w:val="en-US"/>
              </w:rPr>
              <w:t>Accelerated fertility decline to 2,1 children per woman</w:t>
            </w:r>
          </w:p>
        </w:tc>
        <w:tc>
          <w:tcPr>
            <w:tcW w:w="1842" w:type="dxa"/>
            <w:vAlign w:val="center"/>
          </w:tcPr>
          <w:p w:rsidR="00670C4A" w:rsidRPr="00270E35" w:rsidRDefault="00670C4A" w:rsidP="00270E35">
            <w:pPr>
              <w:jc w:val="both"/>
              <w:rPr>
                <w:rFonts w:ascii="Times New Roman" w:hAnsi="Times New Roman" w:cs="Times New Roman"/>
                <w:i/>
                <w:color w:val="000000"/>
                <w:sz w:val="24"/>
                <w:szCs w:val="24"/>
                <w:lang w:val="en-US"/>
              </w:rPr>
            </w:pPr>
            <w:r w:rsidRPr="00270E35">
              <w:rPr>
                <w:rFonts w:ascii="Times New Roman" w:hAnsi="Times New Roman" w:cs="Times New Roman"/>
                <w:i/>
                <w:color w:val="000000"/>
                <w:sz w:val="24"/>
                <w:szCs w:val="24"/>
                <w:lang w:val="en-US"/>
              </w:rPr>
              <w:t>15-year long continuation of fertility stall with subsequent decline at 0.1 children per woman annually</w:t>
            </w:r>
          </w:p>
        </w:tc>
      </w:tr>
      <w:tr w:rsidR="00670C4A" w:rsidRPr="00361A73" w:rsidTr="00270E35">
        <w:tc>
          <w:tcPr>
            <w:tcW w:w="1841" w:type="dxa"/>
            <w:vAlign w:val="bottom"/>
          </w:tcPr>
          <w:p w:rsidR="00670C4A" w:rsidRPr="00361A73" w:rsidRDefault="00670C4A" w:rsidP="00270E35">
            <w:pPr>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 xml:space="preserve">School-age children, </w:t>
            </w:r>
            <w:proofErr w:type="spellStart"/>
            <w:r w:rsidRPr="00361A73">
              <w:rPr>
                <w:rFonts w:ascii="Times New Roman" w:hAnsi="Times New Roman" w:cs="Times New Roman"/>
                <w:color w:val="000000"/>
                <w:sz w:val="24"/>
                <w:szCs w:val="24"/>
                <w:lang w:val="en-US"/>
              </w:rPr>
              <w:t>mln</w:t>
            </w:r>
            <w:proofErr w:type="spellEnd"/>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7,9</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8</w:t>
            </w:r>
            <w:r w:rsidRPr="00361A73">
              <w:rPr>
                <w:rFonts w:ascii="Times New Roman" w:hAnsi="Times New Roman" w:cs="Times New Roman"/>
                <w:color w:val="000000"/>
                <w:sz w:val="24"/>
                <w:szCs w:val="24"/>
                <w:lang w:val="en-US"/>
              </w:rPr>
              <w:t>,1</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9</w:t>
            </w:r>
            <w:r w:rsidRPr="00361A73">
              <w:rPr>
                <w:rFonts w:ascii="Times New Roman" w:hAnsi="Times New Roman" w:cs="Times New Roman"/>
                <w:color w:val="000000"/>
                <w:sz w:val="24"/>
                <w:szCs w:val="24"/>
                <w:lang w:val="en-US"/>
              </w:rPr>
              <w:t>,</w:t>
            </w:r>
            <w:r w:rsidRPr="00361A73">
              <w:rPr>
                <w:rFonts w:ascii="Times New Roman" w:hAnsi="Times New Roman" w:cs="Times New Roman"/>
                <w:color w:val="000000"/>
                <w:sz w:val="24"/>
                <w:szCs w:val="24"/>
              </w:rPr>
              <w:t>1</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24</w:t>
            </w:r>
            <w:r w:rsidRPr="00361A73">
              <w:rPr>
                <w:rFonts w:ascii="Times New Roman" w:hAnsi="Times New Roman" w:cs="Times New Roman"/>
                <w:color w:val="000000"/>
                <w:sz w:val="24"/>
                <w:szCs w:val="24"/>
                <w:lang w:val="en-US"/>
              </w:rPr>
              <w:t>,6</w:t>
            </w:r>
          </w:p>
        </w:tc>
      </w:tr>
      <w:tr w:rsidR="00670C4A" w:rsidRPr="00361A73" w:rsidTr="00270E35">
        <w:tc>
          <w:tcPr>
            <w:tcW w:w="1841" w:type="dxa"/>
            <w:vAlign w:val="bottom"/>
          </w:tcPr>
          <w:p w:rsidR="00670C4A" w:rsidRPr="00361A73" w:rsidRDefault="00670C4A" w:rsidP="00270E35">
            <w:pPr>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 xml:space="preserve">Youths aged 15 – 24, </w:t>
            </w:r>
            <w:proofErr w:type="spellStart"/>
            <w:r w:rsidRPr="00361A73">
              <w:rPr>
                <w:rFonts w:ascii="Times New Roman" w:hAnsi="Times New Roman" w:cs="Times New Roman"/>
                <w:color w:val="000000"/>
                <w:sz w:val="24"/>
                <w:szCs w:val="24"/>
                <w:lang w:val="en-US"/>
              </w:rPr>
              <w:t>mln</w:t>
            </w:r>
            <w:proofErr w:type="spellEnd"/>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4,6</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6</w:t>
            </w:r>
            <w:r w:rsidRPr="00361A73">
              <w:rPr>
                <w:rFonts w:ascii="Times New Roman" w:hAnsi="Times New Roman" w:cs="Times New Roman"/>
                <w:color w:val="000000"/>
                <w:sz w:val="24"/>
                <w:szCs w:val="24"/>
                <w:lang w:val="en-US"/>
              </w:rPr>
              <w:t>,</w:t>
            </w:r>
            <w:r w:rsidRPr="00361A73">
              <w:rPr>
                <w:rFonts w:ascii="Times New Roman" w:hAnsi="Times New Roman" w:cs="Times New Roman"/>
                <w:color w:val="000000"/>
                <w:sz w:val="24"/>
                <w:szCs w:val="24"/>
              </w:rPr>
              <w:t>4</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6</w:t>
            </w:r>
            <w:r w:rsidRPr="00361A73">
              <w:rPr>
                <w:rFonts w:ascii="Times New Roman" w:hAnsi="Times New Roman" w:cs="Times New Roman"/>
                <w:color w:val="000000"/>
                <w:sz w:val="24"/>
                <w:szCs w:val="24"/>
                <w:lang w:val="en-US"/>
              </w:rPr>
              <w:t>,6</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15</w:t>
            </w:r>
            <w:r w:rsidRPr="00361A73">
              <w:rPr>
                <w:rFonts w:ascii="Times New Roman" w:hAnsi="Times New Roman" w:cs="Times New Roman"/>
                <w:color w:val="000000"/>
                <w:sz w:val="24"/>
                <w:szCs w:val="24"/>
                <w:lang w:val="en-US"/>
              </w:rPr>
              <w:t>,6</w:t>
            </w:r>
          </w:p>
        </w:tc>
      </w:tr>
      <w:tr w:rsidR="00670C4A" w:rsidRPr="00361A73" w:rsidTr="00270E35">
        <w:tc>
          <w:tcPr>
            <w:tcW w:w="1841" w:type="dxa"/>
            <w:vAlign w:val="bottom"/>
          </w:tcPr>
          <w:p w:rsidR="00670C4A" w:rsidRPr="00361A73" w:rsidRDefault="00670C4A" w:rsidP="00270E35">
            <w:pPr>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 xml:space="preserve">Youth aged 20 – 29, </w:t>
            </w:r>
            <w:proofErr w:type="spellStart"/>
            <w:r w:rsidRPr="00361A73">
              <w:rPr>
                <w:rFonts w:ascii="Times New Roman" w:hAnsi="Times New Roman" w:cs="Times New Roman"/>
                <w:color w:val="000000"/>
                <w:sz w:val="24"/>
                <w:szCs w:val="24"/>
                <w:lang w:val="en-US"/>
              </w:rPr>
              <w:t>mln</w:t>
            </w:r>
            <w:proofErr w:type="spellEnd"/>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3,9</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7</w:t>
            </w:r>
            <w:r w:rsidRPr="00361A73">
              <w:rPr>
                <w:rFonts w:ascii="Times New Roman" w:hAnsi="Times New Roman" w:cs="Times New Roman"/>
                <w:color w:val="000000"/>
                <w:sz w:val="24"/>
                <w:szCs w:val="24"/>
                <w:lang w:val="en-US"/>
              </w:rPr>
              <w:t>,6</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7</w:t>
            </w:r>
            <w:r w:rsidRPr="00361A73">
              <w:rPr>
                <w:rFonts w:ascii="Times New Roman" w:hAnsi="Times New Roman" w:cs="Times New Roman"/>
                <w:color w:val="000000"/>
                <w:sz w:val="24"/>
                <w:szCs w:val="24"/>
                <w:lang w:val="en-US"/>
              </w:rPr>
              <w:t>,6</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13</w:t>
            </w:r>
            <w:r w:rsidRPr="00361A73">
              <w:rPr>
                <w:rFonts w:ascii="Times New Roman" w:hAnsi="Times New Roman" w:cs="Times New Roman"/>
                <w:color w:val="000000"/>
                <w:sz w:val="24"/>
                <w:szCs w:val="24"/>
                <w:lang w:val="en-US"/>
              </w:rPr>
              <w:t>,</w:t>
            </w:r>
            <w:r w:rsidRPr="00361A73">
              <w:rPr>
                <w:rFonts w:ascii="Times New Roman" w:hAnsi="Times New Roman" w:cs="Times New Roman"/>
                <w:color w:val="000000"/>
                <w:sz w:val="24"/>
                <w:szCs w:val="24"/>
              </w:rPr>
              <w:t>2</w:t>
            </w:r>
          </w:p>
        </w:tc>
      </w:tr>
      <w:tr w:rsidR="00670C4A" w:rsidRPr="00361A73" w:rsidTr="00270E35">
        <w:tc>
          <w:tcPr>
            <w:tcW w:w="1841" w:type="dxa"/>
            <w:vAlign w:val="bottom"/>
          </w:tcPr>
          <w:p w:rsidR="00670C4A" w:rsidRPr="00361A73" w:rsidRDefault="00670C4A" w:rsidP="00270E35">
            <w:pPr>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Age-dependency ratio (people aged&lt;15 and &gt;60 per working-age person)</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1,00</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0,46</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0,51</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0,87</w:t>
            </w:r>
          </w:p>
        </w:tc>
      </w:tr>
      <w:tr w:rsidR="00670C4A" w:rsidRPr="00361A73" w:rsidTr="00270E35">
        <w:tc>
          <w:tcPr>
            <w:tcW w:w="1841" w:type="dxa"/>
            <w:vAlign w:val="bottom"/>
          </w:tcPr>
          <w:p w:rsidR="00670C4A" w:rsidRPr="00361A73" w:rsidRDefault="00670C4A" w:rsidP="00270E35">
            <w:pPr>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Age-dependency ratio (people aged&lt;20 and &gt;60 per working-age person)</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1,53</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0,62</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0,68</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1,3</w:t>
            </w:r>
            <w:r w:rsidRPr="00361A73">
              <w:rPr>
                <w:rFonts w:ascii="Times New Roman" w:hAnsi="Times New Roman" w:cs="Times New Roman"/>
                <w:color w:val="000000"/>
                <w:sz w:val="24"/>
                <w:szCs w:val="24"/>
                <w:lang w:val="en-US"/>
              </w:rPr>
              <w:t>4</w:t>
            </w:r>
          </w:p>
        </w:tc>
      </w:tr>
      <w:tr w:rsidR="00670C4A" w:rsidRPr="00361A73" w:rsidTr="00270E35">
        <w:tc>
          <w:tcPr>
            <w:tcW w:w="1841" w:type="dxa"/>
            <w:vAlign w:val="bottom"/>
          </w:tcPr>
          <w:p w:rsidR="00670C4A" w:rsidRPr="00361A73" w:rsidRDefault="00670C4A" w:rsidP="00270E35">
            <w:pPr>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Youth age-dependency ratio (people aged&lt;15 per working-age person)</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0,91</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0,3</w:t>
            </w:r>
            <w:r w:rsidRPr="00361A73">
              <w:rPr>
                <w:rFonts w:ascii="Times New Roman" w:hAnsi="Times New Roman" w:cs="Times New Roman"/>
                <w:color w:val="000000"/>
                <w:sz w:val="24"/>
                <w:szCs w:val="24"/>
                <w:lang w:val="en-US"/>
              </w:rPr>
              <w:t>3</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0,3</w:t>
            </w:r>
            <w:r w:rsidRPr="00361A73">
              <w:rPr>
                <w:rFonts w:ascii="Times New Roman" w:hAnsi="Times New Roman" w:cs="Times New Roman"/>
                <w:color w:val="000000"/>
                <w:sz w:val="24"/>
                <w:szCs w:val="24"/>
                <w:lang w:val="en-US"/>
              </w:rPr>
              <w:t>8</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0,77</w:t>
            </w:r>
          </w:p>
        </w:tc>
      </w:tr>
      <w:tr w:rsidR="00670C4A" w:rsidRPr="00361A73" w:rsidTr="00270E35">
        <w:tc>
          <w:tcPr>
            <w:tcW w:w="1841" w:type="dxa"/>
            <w:vAlign w:val="bottom"/>
          </w:tcPr>
          <w:p w:rsidR="00670C4A" w:rsidRPr="00361A73" w:rsidRDefault="00670C4A" w:rsidP="00270E35">
            <w:pPr>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Youth age-dependency ratio (people aged&lt;20 per working-age person)</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lang w:val="en-US"/>
              </w:rPr>
            </w:pPr>
            <w:r w:rsidRPr="00361A73">
              <w:rPr>
                <w:rFonts w:ascii="Times New Roman" w:hAnsi="Times New Roman" w:cs="Times New Roman"/>
                <w:color w:val="000000"/>
                <w:sz w:val="24"/>
                <w:szCs w:val="24"/>
                <w:lang w:val="en-US"/>
              </w:rPr>
              <w:t>1,41</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0,47</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0,53</w:t>
            </w:r>
          </w:p>
        </w:tc>
        <w:tc>
          <w:tcPr>
            <w:tcW w:w="1842" w:type="dxa"/>
            <w:vAlign w:val="center"/>
          </w:tcPr>
          <w:p w:rsidR="00670C4A" w:rsidRPr="00361A73" w:rsidRDefault="00670C4A" w:rsidP="00361A73">
            <w:pPr>
              <w:spacing w:line="360" w:lineRule="auto"/>
              <w:jc w:val="right"/>
              <w:rPr>
                <w:rFonts w:ascii="Times New Roman" w:hAnsi="Times New Roman" w:cs="Times New Roman"/>
                <w:color w:val="000000"/>
                <w:sz w:val="24"/>
                <w:szCs w:val="24"/>
              </w:rPr>
            </w:pPr>
            <w:r w:rsidRPr="00361A73">
              <w:rPr>
                <w:rFonts w:ascii="Times New Roman" w:hAnsi="Times New Roman" w:cs="Times New Roman"/>
                <w:color w:val="000000"/>
                <w:sz w:val="24"/>
                <w:szCs w:val="24"/>
              </w:rPr>
              <w:t>1,2</w:t>
            </w:r>
            <w:r w:rsidRPr="00361A73">
              <w:rPr>
                <w:rFonts w:ascii="Times New Roman" w:hAnsi="Times New Roman" w:cs="Times New Roman"/>
                <w:color w:val="000000"/>
                <w:sz w:val="24"/>
                <w:szCs w:val="24"/>
                <w:lang w:val="en-US"/>
              </w:rPr>
              <w:t>2</w:t>
            </w:r>
          </w:p>
        </w:tc>
      </w:tr>
    </w:tbl>
    <w:p w:rsidR="00670C4A" w:rsidRPr="00E45E57" w:rsidRDefault="00670C4A" w:rsidP="00E45E57">
      <w:pPr>
        <w:shd w:val="clear" w:color="auto" w:fill="FFFFFF"/>
        <w:spacing w:after="0" w:line="360" w:lineRule="auto"/>
        <w:ind w:firstLine="567"/>
        <w:jc w:val="both"/>
        <w:rPr>
          <w:rFonts w:ascii="Times New Roman" w:hAnsi="Times New Roman" w:cs="Times New Roman"/>
          <w:sz w:val="28"/>
          <w:szCs w:val="28"/>
          <w:lang w:val="en-US"/>
        </w:rPr>
      </w:pPr>
    </w:p>
    <w:p w:rsidR="00670C4A" w:rsidRPr="00E45E57" w:rsidRDefault="00670C4A" w:rsidP="00361A73">
      <w:pPr>
        <w:shd w:val="clear" w:color="auto" w:fill="FFFFFF"/>
        <w:spacing w:after="0" w:line="360" w:lineRule="auto"/>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Thus, if no urgent action is taken to curb the extremely high fertility, the </w:t>
      </w:r>
      <w:proofErr w:type="gramStart"/>
      <w:r w:rsidRPr="00E45E57">
        <w:rPr>
          <w:rFonts w:ascii="Times New Roman" w:hAnsi="Times New Roman" w:cs="Times New Roman"/>
          <w:sz w:val="28"/>
          <w:szCs w:val="28"/>
          <w:lang w:val="en-US"/>
        </w:rPr>
        <w:t>number of school-age children will</w:t>
      </w:r>
      <w:proofErr w:type="gramEnd"/>
      <w:r w:rsidRPr="00E45E57">
        <w:rPr>
          <w:rFonts w:ascii="Times New Roman" w:hAnsi="Times New Roman" w:cs="Times New Roman"/>
          <w:sz w:val="28"/>
          <w:szCs w:val="28"/>
          <w:lang w:val="en-US"/>
        </w:rPr>
        <w:t xml:space="preserve"> more than triple in less than 40 years! Mozambique managed to almost doubly increase its net primary enrolment from 48% in 2000 to 86% in 2012, but still fails to provide the universal primary education (UPE) so far. Secondary enrolment lags far behind, with only 17% of the relevant age group </w:t>
      </w:r>
      <w:r w:rsidRPr="00E45E57">
        <w:rPr>
          <w:rFonts w:ascii="Times New Roman" w:hAnsi="Times New Roman" w:cs="Times New Roman"/>
          <w:sz w:val="28"/>
          <w:szCs w:val="28"/>
          <w:lang w:val="en-US"/>
        </w:rPr>
        <w:lastRenderedPageBreak/>
        <w:t xml:space="preserve">being enrolled in secondary schools in 2012. It looks extremely unlikely that Mozambican educational system will be able to absorb the tripled number of pupils in the next three decades. Meanwhile, </w:t>
      </w:r>
      <w:proofErr w:type="gramStart"/>
      <w:r w:rsidRPr="00E45E57">
        <w:rPr>
          <w:rFonts w:ascii="Times New Roman" w:hAnsi="Times New Roman" w:cs="Times New Roman"/>
          <w:sz w:val="28"/>
          <w:szCs w:val="28"/>
          <w:lang w:val="en-US"/>
        </w:rPr>
        <w:t>an acceleration</w:t>
      </w:r>
      <w:proofErr w:type="gramEnd"/>
      <w:r w:rsidRPr="00E45E57">
        <w:rPr>
          <w:rFonts w:ascii="Times New Roman" w:hAnsi="Times New Roman" w:cs="Times New Roman"/>
          <w:sz w:val="28"/>
          <w:szCs w:val="28"/>
          <w:lang w:val="en-US"/>
        </w:rPr>
        <w:t xml:space="preserve"> in fertility transition up to Iranian pace will help keep the number of school-age cohorts at roughly the current level with only some increase.</w:t>
      </w:r>
    </w:p>
    <w:p w:rsidR="00670C4A" w:rsidRPr="00E45E57" w:rsidRDefault="00670C4A" w:rsidP="00E45E57">
      <w:pPr>
        <w:shd w:val="clear" w:color="auto" w:fill="FFFFFF"/>
        <w:spacing w:after="0" w:line="360" w:lineRule="auto"/>
        <w:ind w:firstLine="567"/>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Youth cohorts (15 – 24) will experience a growth by 1.5 times even with the fastest fertility decline – simply due to the demographic inertia; however, the inertial scenario will lead to their quadrupling – again, in less than 40 years, which extremely enhances the country’s risks for severe sociopolitical destabilization. Finally, the age-dependency ratios will remain very unfavorable if no acceleration in fertility decline is achieved – presenting a huge hindrance to economic growth, as has been shown in a number of World Bank works on African economic underperformance. Indeed, for the inertial </w:t>
      </w:r>
      <w:r w:rsidRPr="00E45E57">
        <w:rPr>
          <w:rFonts w:ascii="Times New Roman" w:hAnsi="Times New Roman" w:cs="Times New Roman"/>
          <w:i/>
          <w:sz w:val="28"/>
          <w:szCs w:val="28"/>
          <w:lang w:val="en-US"/>
        </w:rPr>
        <w:t>vs</w:t>
      </w:r>
      <w:r w:rsidRPr="00E45E57">
        <w:rPr>
          <w:rFonts w:ascii="Times New Roman" w:hAnsi="Times New Roman" w:cs="Times New Roman"/>
          <w:sz w:val="28"/>
          <w:szCs w:val="28"/>
          <w:lang w:val="en-US"/>
        </w:rPr>
        <w:t>. accelerated fertility transition the difference in age-dependency ratios will reach 3 times by 2050!</w:t>
      </w:r>
    </w:p>
    <w:p w:rsidR="00670C4A" w:rsidRPr="00E45E57" w:rsidRDefault="00670C4A" w:rsidP="00E45E57">
      <w:pPr>
        <w:shd w:val="clear" w:color="auto" w:fill="FFFFFF"/>
        <w:spacing w:after="0" w:line="360" w:lineRule="auto"/>
        <w:ind w:firstLine="567"/>
        <w:jc w:val="both"/>
        <w:rPr>
          <w:rFonts w:ascii="Times New Roman" w:hAnsi="Times New Roman" w:cs="Times New Roman"/>
          <w:sz w:val="28"/>
          <w:szCs w:val="28"/>
          <w:highlight w:val="yellow"/>
          <w:lang w:val="en-US"/>
        </w:rPr>
      </w:pPr>
      <w:r w:rsidRPr="00E45E57">
        <w:rPr>
          <w:rFonts w:ascii="Times New Roman" w:hAnsi="Times New Roman" w:cs="Times New Roman"/>
          <w:color w:val="000000" w:themeColor="text1"/>
          <w:sz w:val="28"/>
          <w:szCs w:val="28"/>
          <w:lang w:val="en-US"/>
        </w:rPr>
        <w:t>Despite more than a decade of bright economic performance paralleled by a rapid improvement in calorie intake (by 400 kcal/capita/day, from 1700 to 2100 in 1995 – 2009), Mozambique has still failed to achieve both the WHO minimal energy requirement and the Malthusian trap food consumption threshold of 2350 kcal/capita/day</w:t>
      </w:r>
      <w:r w:rsidR="00361A73">
        <w:rPr>
          <w:rFonts w:ascii="Times New Roman" w:hAnsi="Times New Roman" w:cs="Times New Roman"/>
          <w:color w:val="000000" w:themeColor="text1"/>
          <w:sz w:val="28"/>
          <w:szCs w:val="28"/>
          <w:lang w:val="en-US"/>
        </w:rPr>
        <w:t xml:space="preserve"> (for more detail see Clark 2007)</w:t>
      </w:r>
      <w:r w:rsidRPr="00E45E57">
        <w:rPr>
          <w:rFonts w:ascii="Times New Roman" w:hAnsi="Times New Roman" w:cs="Times New Roman"/>
          <w:color w:val="000000" w:themeColor="text1"/>
          <w:sz w:val="28"/>
          <w:szCs w:val="28"/>
          <w:lang w:val="en-US"/>
        </w:rPr>
        <w:t>. Securing further growth in per capita food consumption (or, at least, securely preserving the level achieved by now) will require sustaining not just high GDP growth rates, but high GDP per capita growth which, taking into account the inevitable population doubling in the next 35 years, will be very challenging. However, if fertility transition fails to accelerate, the population will triple – and this can collapse the food supplies situation.</w:t>
      </w:r>
    </w:p>
    <w:p w:rsidR="00670C4A" w:rsidRPr="00E45E57" w:rsidRDefault="00670C4A" w:rsidP="00E45E57">
      <w:pPr>
        <w:spacing w:after="0" w:line="360" w:lineRule="auto"/>
        <w:ind w:firstLine="567"/>
        <w:jc w:val="both"/>
        <w:rPr>
          <w:rFonts w:ascii="Times New Roman" w:hAnsi="Times New Roman" w:cs="Times New Roman"/>
          <w:sz w:val="28"/>
          <w:szCs w:val="28"/>
          <w:lang w:val="en-US"/>
        </w:rPr>
      </w:pPr>
    </w:p>
    <w:p w:rsidR="00C81E10" w:rsidRPr="00E45E57" w:rsidRDefault="00E45E57" w:rsidP="00361A73">
      <w:pPr>
        <w:spacing w:after="0" w:line="360" w:lineRule="auto"/>
        <w:jc w:val="both"/>
        <w:rPr>
          <w:rFonts w:ascii="Times New Roman" w:hAnsi="Times New Roman" w:cs="Times New Roman"/>
          <w:i/>
          <w:sz w:val="28"/>
          <w:szCs w:val="28"/>
          <w:lang w:val="en-US"/>
        </w:rPr>
      </w:pPr>
      <w:r w:rsidRPr="00E45E57">
        <w:rPr>
          <w:rFonts w:ascii="Times New Roman" w:hAnsi="Times New Roman" w:cs="Times New Roman"/>
          <w:i/>
          <w:sz w:val="28"/>
          <w:szCs w:val="28"/>
          <w:lang w:val="en-US"/>
        </w:rPr>
        <w:t>Conclusion</w:t>
      </w:r>
      <w:r w:rsidR="00C81E10" w:rsidRPr="00E45E57">
        <w:rPr>
          <w:rFonts w:ascii="Times New Roman" w:hAnsi="Times New Roman" w:cs="Times New Roman"/>
          <w:i/>
          <w:sz w:val="28"/>
          <w:szCs w:val="28"/>
          <w:lang w:val="en-US"/>
        </w:rPr>
        <w:t xml:space="preserve"> </w:t>
      </w:r>
    </w:p>
    <w:p w:rsidR="00361A73" w:rsidRDefault="00361A73" w:rsidP="00361A73">
      <w:pPr>
        <w:spacing w:after="0" w:line="360" w:lineRule="auto"/>
        <w:jc w:val="both"/>
        <w:rPr>
          <w:rFonts w:ascii="Times New Roman" w:hAnsi="Times New Roman" w:cs="Times New Roman"/>
          <w:sz w:val="28"/>
          <w:szCs w:val="28"/>
          <w:lang w:val="en-US"/>
        </w:rPr>
      </w:pPr>
    </w:p>
    <w:p w:rsidR="00C81E10" w:rsidRPr="00AE5B8D" w:rsidRDefault="00C81E10" w:rsidP="00361A73">
      <w:pPr>
        <w:spacing w:after="0" w:line="360" w:lineRule="auto"/>
        <w:jc w:val="both"/>
        <w:rPr>
          <w:rFonts w:ascii="Times New Roman" w:hAnsi="Times New Roman" w:cs="Times New Roman"/>
          <w:sz w:val="28"/>
          <w:szCs w:val="28"/>
          <w:lang w:val="en-US"/>
        </w:rPr>
      </w:pPr>
      <w:r w:rsidRPr="00E45E57">
        <w:rPr>
          <w:rFonts w:ascii="Times New Roman" w:hAnsi="Times New Roman" w:cs="Times New Roman"/>
          <w:sz w:val="28"/>
          <w:szCs w:val="28"/>
          <w:lang w:val="en-US"/>
        </w:rPr>
        <w:t xml:space="preserve">To draw a conclusion, we can state that UN population projections for Mozambique made according to the medium scenario are proven to be too </w:t>
      </w:r>
      <w:r w:rsidRPr="00E45E57">
        <w:rPr>
          <w:rFonts w:ascii="Times New Roman" w:hAnsi="Times New Roman" w:cs="Times New Roman"/>
          <w:sz w:val="28"/>
          <w:szCs w:val="28"/>
          <w:lang w:val="en-US"/>
        </w:rPr>
        <w:lastRenderedPageBreak/>
        <w:t>optimistic. Projected population increase, in our opinion, is considerably underestimated as the fertility decline implied in the scenario was not observed in real fertility dynamics; on the contrary, according to recent data, fertility stall continues, and fertility rate has even somewhat increased. This means that the risks of explosive population growth in Mozambique will become a highly acute problem in the coming decades, which obviously requires urgently taking effective measures aimed at bringing down the fertilit</w:t>
      </w:r>
      <w:r w:rsidRPr="00AE5B8D">
        <w:rPr>
          <w:rFonts w:ascii="Times New Roman" w:hAnsi="Times New Roman" w:cs="Times New Roman"/>
          <w:sz w:val="28"/>
          <w:szCs w:val="28"/>
          <w:lang w:val="en-US"/>
        </w:rPr>
        <w:t xml:space="preserve">y rates and population growth rates. </w:t>
      </w:r>
    </w:p>
    <w:p w:rsidR="00AE5B8D" w:rsidRPr="00AE5B8D" w:rsidRDefault="00AE5B8D" w:rsidP="00AE5B8D">
      <w:pPr>
        <w:spacing w:after="0" w:line="360" w:lineRule="auto"/>
        <w:ind w:firstLine="708"/>
        <w:jc w:val="both"/>
        <w:rPr>
          <w:rFonts w:ascii="Times New Roman" w:hAnsi="Times New Roman" w:cs="Times New Roman"/>
          <w:sz w:val="28"/>
          <w:szCs w:val="28"/>
          <w:lang w:val="en-US"/>
        </w:rPr>
      </w:pPr>
      <w:r w:rsidRPr="00AE5B8D">
        <w:rPr>
          <w:rFonts w:ascii="Times New Roman" w:hAnsi="Times New Roman" w:cs="Times New Roman"/>
          <w:sz w:val="28"/>
          <w:szCs w:val="28"/>
          <w:lang w:val="en-US"/>
        </w:rPr>
        <w:t>Moreover, with a view to t</w:t>
      </w:r>
      <w:r w:rsidR="00E5499D" w:rsidRPr="00AE5B8D">
        <w:rPr>
          <w:rFonts w:ascii="Times New Roman" w:hAnsi="Times New Roman" w:cs="Times New Roman"/>
          <w:sz w:val="28"/>
          <w:szCs w:val="28"/>
          <w:lang w:val="en-US"/>
        </w:rPr>
        <w:t xml:space="preserve">he impact of demographic dynamics on </w:t>
      </w:r>
      <w:r w:rsidRPr="00AE5B8D">
        <w:rPr>
          <w:rFonts w:ascii="Times New Roman" w:hAnsi="Times New Roman" w:cs="Times New Roman"/>
          <w:sz w:val="28"/>
          <w:szCs w:val="28"/>
          <w:lang w:val="en-US"/>
        </w:rPr>
        <w:t xml:space="preserve">African development performance, which </w:t>
      </w:r>
      <w:r w:rsidR="00E5499D" w:rsidRPr="00AE5B8D">
        <w:rPr>
          <w:rFonts w:ascii="Times New Roman" w:hAnsi="Times New Roman" w:cs="Times New Roman"/>
          <w:sz w:val="28"/>
          <w:szCs w:val="28"/>
          <w:lang w:val="en-US"/>
        </w:rPr>
        <w:t>has been very significant so far and is likely to get utterly critical in the nearest decades</w:t>
      </w:r>
      <w:r w:rsidRPr="00AE5B8D">
        <w:rPr>
          <w:rFonts w:ascii="Times New Roman" w:hAnsi="Times New Roman" w:cs="Times New Roman"/>
          <w:sz w:val="28"/>
          <w:szCs w:val="28"/>
          <w:lang w:val="en-US"/>
        </w:rPr>
        <w:t xml:space="preserve">, the issue of demographic forecasting acquires a whole new meaning for understanding the prospects of African development and practical policy making in its various spheres. </w:t>
      </w:r>
    </w:p>
    <w:p w:rsidR="00E5499D" w:rsidRDefault="00E5499D" w:rsidP="00E5499D">
      <w:pPr>
        <w:spacing w:after="0" w:line="360" w:lineRule="auto"/>
        <w:ind w:firstLine="567"/>
        <w:jc w:val="both"/>
        <w:rPr>
          <w:rFonts w:ascii="Times New Roman" w:hAnsi="Times New Roman" w:cs="Times New Roman"/>
          <w:sz w:val="28"/>
          <w:szCs w:val="28"/>
          <w:lang w:val="en-US"/>
        </w:rPr>
      </w:pPr>
      <w:r w:rsidRPr="00AE5B8D">
        <w:rPr>
          <w:rFonts w:ascii="Times New Roman" w:hAnsi="Times New Roman" w:cs="Times New Roman"/>
          <w:sz w:val="28"/>
          <w:szCs w:val="28"/>
          <w:lang w:val="en-US"/>
        </w:rPr>
        <w:t xml:space="preserve">However, the specific method used for the UN projections </w:t>
      </w:r>
      <w:r w:rsidR="00AE5B8D" w:rsidRPr="00AE5B8D">
        <w:rPr>
          <w:rFonts w:ascii="Times New Roman" w:hAnsi="Times New Roman" w:cs="Times New Roman"/>
          <w:sz w:val="28"/>
          <w:szCs w:val="28"/>
          <w:lang w:val="en-US"/>
        </w:rPr>
        <w:t>is somewhat limited in its</w:t>
      </w:r>
      <w:r w:rsidRPr="00AE5B8D">
        <w:rPr>
          <w:rFonts w:ascii="Times New Roman" w:hAnsi="Times New Roman" w:cs="Times New Roman"/>
          <w:sz w:val="28"/>
          <w:szCs w:val="28"/>
          <w:lang w:val="en-US"/>
        </w:rPr>
        <w:t xml:space="preserve"> applicability for such a task. Most importantly, the universal set of scenarios (“high”, “medium”, and “low”) outline</w:t>
      </w:r>
      <w:r w:rsidR="00AE5B8D" w:rsidRPr="00AE5B8D">
        <w:rPr>
          <w:rFonts w:ascii="Times New Roman" w:hAnsi="Times New Roman" w:cs="Times New Roman"/>
          <w:sz w:val="28"/>
          <w:szCs w:val="28"/>
          <w:lang w:val="en-US"/>
        </w:rPr>
        <w:t>s</w:t>
      </w:r>
      <w:r w:rsidRPr="00AE5B8D">
        <w:rPr>
          <w:rFonts w:ascii="Times New Roman" w:hAnsi="Times New Roman" w:cs="Times New Roman"/>
          <w:sz w:val="28"/>
          <w:szCs w:val="28"/>
          <w:lang w:val="en-US"/>
        </w:rPr>
        <w:t xml:space="preserve"> the possible diapason within which the African demographic future will most likely reveal itself, but fail</w:t>
      </w:r>
      <w:r w:rsidR="00AE5B8D" w:rsidRPr="00AE5B8D">
        <w:rPr>
          <w:rFonts w:ascii="Times New Roman" w:hAnsi="Times New Roman" w:cs="Times New Roman"/>
          <w:sz w:val="28"/>
          <w:szCs w:val="28"/>
          <w:lang w:val="en-US"/>
        </w:rPr>
        <w:t>s</w:t>
      </w:r>
      <w:r w:rsidRPr="00AE5B8D">
        <w:rPr>
          <w:rFonts w:ascii="Times New Roman" w:hAnsi="Times New Roman" w:cs="Times New Roman"/>
          <w:sz w:val="28"/>
          <w:szCs w:val="28"/>
          <w:lang w:val="en-US"/>
        </w:rPr>
        <w:t xml:space="preserve"> to answer practical questions, which are crucial when trying to account for the demographic trends in development forecasts – e.g., What </w:t>
      </w:r>
      <w:r w:rsidR="00AE5B8D" w:rsidRPr="00AE5B8D">
        <w:rPr>
          <w:rFonts w:ascii="Times New Roman" w:hAnsi="Times New Roman" w:cs="Times New Roman"/>
          <w:sz w:val="28"/>
          <w:szCs w:val="28"/>
          <w:lang w:val="en-US"/>
        </w:rPr>
        <w:t xml:space="preserve">population growth will a country have by 2050 </w:t>
      </w:r>
      <w:r w:rsidRPr="00AE5B8D">
        <w:rPr>
          <w:rFonts w:ascii="Times New Roman" w:hAnsi="Times New Roman" w:cs="Times New Roman"/>
          <w:sz w:val="28"/>
          <w:szCs w:val="28"/>
          <w:lang w:val="en-US"/>
        </w:rPr>
        <w:t xml:space="preserve">if the fertility stall ends right now? </w:t>
      </w:r>
      <w:r w:rsidR="00AE5B8D" w:rsidRPr="00AE5B8D">
        <w:rPr>
          <w:rFonts w:ascii="Times New Roman" w:hAnsi="Times New Roman" w:cs="Times New Roman"/>
          <w:sz w:val="28"/>
          <w:szCs w:val="28"/>
          <w:lang w:val="en-US"/>
        </w:rPr>
        <w:t>How many more workplaces will be needed annually for the young labor market entrants</w:t>
      </w:r>
      <w:r w:rsidRPr="00AE5B8D">
        <w:rPr>
          <w:rFonts w:ascii="Times New Roman" w:hAnsi="Times New Roman" w:cs="Times New Roman"/>
          <w:sz w:val="28"/>
          <w:szCs w:val="28"/>
          <w:lang w:val="en-US"/>
        </w:rPr>
        <w:t xml:space="preserve"> if </w:t>
      </w:r>
      <w:r w:rsidR="00AE5B8D" w:rsidRPr="00AE5B8D">
        <w:rPr>
          <w:rFonts w:ascii="Times New Roman" w:hAnsi="Times New Roman" w:cs="Times New Roman"/>
          <w:sz w:val="28"/>
          <w:szCs w:val="28"/>
          <w:lang w:val="en-US"/>
        </w:rPr>
        <w:t>the fertility stall now</w:t>
      </w:r>
      <w:r w:rsidRPr="00AE5B8D">
        <w:rPr>
          <w:rFonts w:ascii="Times New Roman" w:hAnsi="Times New Roman" w:cs="Times New Roman"/>
          <w:sz w:val="28"/>
          <w:szCs w:val="28"/>
          <w:lang w:val="en-US"/>
        </w:rPr>
        <w:t xml:space="preserve"> continues for another 15 years? How </w:t>
      </w:r>
      <w:r w:rsidR="00AE5B8D" w:rsidRPr="00AE5B8D">
        <w:rPr>
          <w:rFonts w:ascii="Times New Roman" w:hAnsi="Times New Roman" w:cs="Times New Roman"/>
          <w:sz w:val="28"/>
          <w:szCs w:val="28"/>
          <w:lang w:val="en-US"/>
        </w:rPr>
        <w:t>many more new schools will have to be created for children if</w:t>
      </w:r>
      <w:r w:rsidRPr="00AE5B8D">
        <w:rPr>
          <w:rFonts w:ascii="Times New Roman" w:hAnsi="Times New Roman" w:cs="Times New Roman"/>
          <w:sz w:val="28"/>
          <w:szCs w:val="28"/>
          <w:lang w:val="en-US"/>
        </w:rPr>
        <w:t xml:space="preserve"> current rates of fertility decline </w:t>
      </w:r>
      <w:r w:rsidR="00AE5B8D" w:rsidRPr="00AE5B8D">
        <w:rPr>
          <w:rFonts w:ascii="Times New Roman" w:hAnsi="Times New Roman" w:cs="Times New Roman"/>
          <w:sz w:val="28"/>
          <w:szCs w:val="28"/>
          <w:lang w:val="en-US"/>
        </w:rPr>
        <w:t xml:space="preserve">remain </w:t>
      </w:r>
      <w:r w:rsidRPr="00AE5B8D">
        <w:rPr>
          <w:rFonts w:ascii="Times New Roman" w:hAnsi="Times New Roman" w:cs="Times New Roman"/>
          <w:sz w:val="28"/>
          <w:szCs w:val="28"/>
          <w:lang w:val="en-US"/>
        </w:rPr>
        <w:t>unchanged</w:t>
      </w:r>
      <w:r w:rsidR="00AE5B8D" w:rsidRPr="00AE5B8D">
        <w:rPr>
          <w:rFonts w:ascii="Times New Roman" w:hAnsi="Times New Roman" w:cs="Times New Roman"/>
          <w:sz w:val="28"/>
          <w:szCs w:val="28"/>
          <w:lang w:val="en-US"/>
        </w:rPr>
        <w:t xml:space="preserve"> as compared to the scenario of reaching </w:t>
      </w:r>
      <w:r w:rsidRPr="00AE5B8D">
        <w:rPr>
          <w:rFonts w:ascii="Times New Roman" w:hAnsi="Times New Roman" w:cs="Times New Roman"/>
          <w:sz w:val="28"/>
          <w:szCs w:val="28"/>
          <w:lang w:val="en-US"/>
        </w:rPr>
        <w:t xml:space="preserve">the Iranian (or Rwandan) pace of fertility decline? </w:t>
      </w:r>
      <w:r w:rsidR="00AE5B8D" w:rsidRPr="00AE5B8D">
        <w:rPr>
          <w:rFonts w:ascii="Times New Roman" w:hAnsi="Times New Roman" w:cs="Times New Roman"/>
          <w:sz w:val="28"/>
          <w:szCs w:val="28"/>
          <w:lang w:val="en-US"/>
        </w:rPr>
        <w:t>And, most importantly – what population increase (in all age groups, including schoolchildren, youths, working-age population etc.) is already inevitable by 2030 (2040, 2050) because of demographic inertia and what policy implications (the amount of workplaces, schools, hospitals, accommodation etc.) have to be created to embrace this increasing population?</w:t>
      </w:r>
    </w:p>
    <w:p w:rsidR="0082130F" w:rsidRPr="00AE5B8D" w:rsidRDefault="0082130F" w:rsidP="00E5499D">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answers to such questions can hardly be derived from the UN projections (despite their indisputable value and usefulness for a whole range of other </w:t>
      </w:r>
      <w:r>
        <w:rPr>
          <w:rFonts w:ascii="Times New Roman" w:hAnsi="Times New Roman" w:cs="Times New Roman"/>
          <w:sz w:val="28"/>
          <w:szCs w:val="28"/>
          <w:lang w:val="en-US"/>
        </w:rPr>
        <w:lastRenderedPageBreak/>
        <w:t xml:space="preserve">purposes), but can be obtained through scenario demographic modelling which we applied in this paper to the case of Mozambique to </w:t>
      </w:r>
      <w:r w:rsidR="007A2D7E">
        <w:rPr>
          <w:rFonts w:ascii="Times New Roman" w:hAnsi="Times New Roman" w:cs="Times New Roman"/>
          <w:sz w:val="28"/>
          <w:szCs w:val="28"/>
          <w:lang w:val="en-US"/>
        </w:rPr>
        <w:t xml:space="preserve">reveal the implications of various scenarios of the country’s demographic future. In our opinion, further application of this method to other high-fertility developing countries (the absolute majority of which are concentrated in Africa) </w:t>
      </w:r>
      <w:r w:rsidR="004C2EA1">
        <w:rPr>
          <w:rFonts w:ascii="Times New Roman" w:hAnsi="Times New Roman" w:cs="Times New Roman"/>
          <w:sz w:val="28"/>
          <w:szCs w:val="28"/>
          <w:lang w:val="en-US"/>
        </w:rPr>
        <w:t>can significantly contribute to our knowledge on the impact of their demographic situation on their development prospects.</w:t>
      </w:r>
    </w:p>
    <w:p w:rsidR="00E5499D" w:rsidRPr="00E45E57" w:rsidRDefault="00E5499D" w:rsidP="00E5499D">
      <w:pPr>
        <w:spacing w:after="0" w:line="360" w:lineRule="auto"/>
        <w:jc w:val="both"/>
        <w:rPr>
          <w:rFonts w:ascii="Times New Roman" w:hAnsi="Times New Roman" w:cs="Times New Roman"/>
          <w:sz w:val="28"/>
          <w:szCs w:val="28"/>
          <w:lang w:val="en-US"/>
        </w:rPr>
      </w:pPr>
    </w:p>
    <w:p w:rsidR="00C81E10" w:rsidRPr="00E45E57" w:rsidRDefault="00C81E10" w:rsidP="00E45E57">
      <w:pPr>
        <w:spacing w:after="0" w:line="360" w:lineRule="auto"/>
        <w:ind w:firstLine="567"/>
        <w:jc w:val="both"/>
        <w:rPr>
          <w:rFonts w:ascii="Times New Roman" w:hAnsi="Times New Roman" w:cs="Times New Roman"/>
          <w:sz w:val="28"/>
          <w:szCs w:val="28"/>
          <w:lang w:val="en-US"/>
        </w:rPr>
      </w:pPr>
    </w:p>
    <w:p w:rsidR="00AC5F18" w:rsidRPr="00E45E57" w:rsidRDefault="00AC5F18" w:rsidP="00361A73">
      <w:pPr>
        <w:autoSpaceDE w:val="0"/>
        <w:autoSpaceDN w:val="0"/>
        <w:adjustRightInd w:val="0"/>
        <w:spacing w:after="0" w:line="360" w:lineRule="auto"/>
        <w:rPr>
          <w:rFonts w:ascii="Times New Roman" w:hAnsi="Times New Roman" w:cs="Times New Roman"/>
          <w:b/>
          <w:bCs/>
          <w:sz w:val="28"/>
          <w:szCs w:val="28"/>
          <w:lang w:val="en-US"/>
        </w:rPr>
      </w:pPr>
      <w:r w:rsidRPr="00E45E57">
        <w:rPr>
          <w:rFonts w:ascii="Times New Roman" w:hAnsi="Times New Roman" w:cs="Times New Roman"/>
          <w:b/>
          <w:bCs/>
          <w:sz w:val="28"/>
          <w:szCs w:val="28"/>
          <w:lang w:val="en-US"/>
        </w:rPr>
        <w:t xml:space="preserve">ACKNOWLEDGEMENT </w:t>
      </w:r>
    </w:p>
    <w:p w:rsidR="00AC5F18" w:rsidRPr="00E45E57" w:rsidRDefault="00AC5F18" w:rsidP="00361A73">
      <w:pPr>
        <w:autoSpaceDE w:val="0"/>
        <w:autoSpaceDN w:val="0"/>
        <w:adjustRightInd w:val="0"/>
        <w:spacing w:after="0" w:line="360" w:lineRule="auto"/>
        <w:rPr>
          <w:rFonts w:ascii="Times New Roman" w:hAnsi="Times New Roman" w:cs="Times New Roman"/>
          <w:sz w:val="28"/>
          <w:szCs w:val="28"/>
          <w:lang w:val="en-US"/>
        </w:rPr>
      </w:pPr>
      <w:r w:rsidRPr="00E45E57">
        <w:rPr>
          <w:rFonts w:ascii="Times New Roman" w:hAnsi="Times New Roman" w:cs="Times New Roman"/>
          <w:sz w:val="28"/>
          <w:szCs w:val="28"/>
          <w:lang w:val="en-US"/>
        </w:rPr>
        <w:t>This article has been supported by the Russian Foundation for Basic Research</w:t>
      </w:r>
    </w:p>
    <w:p w:rsidR="00AC5F18" w:rsidRPr="00E45E57" w:rsidRDefault="00AC5F18" w:rsidP="00E45E57">
      <w:pPr>
        <w:spacing w:after="0" w:line="360" w:lineRule="auto"/>
        <w:ind w:firstLine="567"/>
        <w:jc w:val="both"/>
        <w:rPr>
          <w:rFonts w:ascii="Times New Roman" w:hAnsi="Times New Roman" w:cs="Times New Roman"/>
          <w:b/>
          <w:sz w:val="28"/>
          <w:szCs w:val="28"/>
          <w:lang w:val="en-US"/>
        </w:rPr>
      </w:pPr>
      <w:proofErr w:type="gramStart"/>
      <w:r w:rsidRPr="00E45E57">
        <w:rPr>
          <w:rFonts w:ascii="Times New Roman" w:hAnsi="Times New Roman" w:cs="Times New Roman"/>
          <w:sz w:val="28"/>
          <w:szCs w:val="28"/>
          <w:lang w:val="en-US"/>
        </w:rPr>
        <w:t>(Project #13-06-00336).</w:t>
      </w:r>
      <w:proofErr w:type="gramEnd"/>
    </w:p>
    <w:p w:rsidR="00AC5F18" w:rsidRPr="00E45E57" w:rsidRDefault="00AC5F18" w:rsidP="00E45E57">
      <w:pPr>
        <w:spacing w:after="0" w:line="360" w:lineRule="auto"/>
        <w:ind w:firstLine="567"/>
        <w:jc w:val="both"/>
        <w:rPr>
          <w:rFonts w:ascii="Times New Roman" w:hAnsi="Times New Roman" w:cs="Times New Roman"/>
          <w:b/>
          <w:sz w:val="28"/>
          <w:szCs w:val="28"/>
          <w:lang w:val="en-US"/>
        </w:rPr>
      </w:pPr>
    </w:p>
    <w:p w:rsidR="00EA5619" w:rsidRPr="00E45E57" w:rsidRDefault="00EE05D0" w:rsidP="00361A73">
      <w:pPr>
        <w:spacing w:after="0" w:line="360" w:lineRule="auto"/>
        <w:jc w:val="both"/>
        <w:rPr>
          <w:rFonts w:ascii="Times New Roman" w:hAnsi="Times New Roman" w:cs="Times New Roman"/>
          <w:b/>
          <w:sz w:val="28"/>
          <w:szCs w:val="28"/>
          <w:lang w:val="en-US"/>
        </w:rPr>
      </w:pPr>
      <w:r w:rsidRPr="00E45E57">
        <w:rPr>
          <w:rFonts w:ascii="Times New Roman" w:hAnsi="Times New Roman" w:cs="Times New Roman"/>
          <w:b/>
          <w:sz w:val="28"/>
          <w:szCs w:val="28"/>
          <w:lang w:val="en-US"/>
        </w:rPr>
        <w:t>BIBLIOGRAPHY</w:t>
      </w:r>
    </w:p>
    <w:p w:rsidR="00464B6C" w:rsidRPr="00E45E57" w:rsidRDefault="00464B6C" w:rsidP="00E45E57">
      <w:pPr>
        <w:pStyle w:val="11"/>
        <w:spacing w:line="360" w:lineRule="auto"/>
        <w:ind w:left="284" w:right="-143" w:firstLine="567"/>
        <w:rPr>
          <w:sz w:val="28"/>
          <w:szCs w:val="28"/>
          <w:lang w:val="en-US"/>
        </w:rPr>
      </w:pPr>
    </w:p>
    <w:p w:rsidR="00E32A13" w:rsidRPr="00361A73" w:rsidRDefault="00E32A13" w:rsidP="00361A73">
      <w:pPr>
        <w:autoSpaceDE w:val="0"/>
        <w:autoSpaceDN w:val="0"/>
        <w:adjustRightInd w:val="0"/>
        <w:spacing w:after="0" w:line="360" w:lineRule="auto"/>
        <w:ind w:left="567" w:right="-143" w:hanging="567"/>
        <w:jc w:val="both"/>
        <w:rPr>
          <w:rFonts w:ascii="Times New Roman" w:hAnsi="Times New Roman" w:cs="Times New Roman"/>
          <w:color w:val="000000" w:themeColor="text1"/>
          <w:sz w:val="28"/>
          <w:szCs w:val="28"/>
          <w:lang w:val="en-US"/>
        </w:rPr>
      </w:pPr>
      <w:proofErr w:type="spellStart"/>
      <w:r w:rsidRPr="00361A73">
        <w:rPr>
          <w:rFonts w:ascii="Times New Roman" w:hAnsi="Times New Roman" w:cs="Times New Roman"/>
          <w:color w:val="000000" w:themeColor="text1"/>
          <w:sz w:val="28"/>
          <w:szCs w:val="28"/>
          <w:lang w:val="en-US"/>
        </w:rPr>
        <w:t>Bongaarts</w:t>
      </w:r>
      <w:proofErr w:type="spellEnd"/>
      <w:r w:rsidRPr="00361A73">
        <w:rPr>
          <w:rFonts w:ascii="Times New Roman" w:hAnsi="Times New Roman" w:cs="Times New Roman"/>
          <w:color w:val="000000" w:themeColor="text1"/>
          <w:sz w:val="28"/>
          <w:szCs w:val="28"/>
          <w:lang w:val="en-US"/>
        </w:rPr>
        <w:t xml:space="preserve"> J. 2008. </w:t>
      </w:r>
      <w:r w:rsidRPr="00361A73">
        <w:rPr>
          <w:rFonts w:ascii="Times New Roman" w:hAnsi="Times New Roman" w:cs="Times New Roman"/>
          <w:bCs/>
          <w:color w:val="000000" w:themeColor="text1"/>
          <w:sz w:val="28"/>
          <w:szCs w:val="28"/>
          <w:lang w:val="en-US"/>
        </w:rPr>
        <w:t xml:space="preserve">Fertility Transitions in Developing Countries: Progress or Stagnation? </w:t>
      </w:r>
      <w:r w:rsidRPr="00361A73">
        <w:rPr>
          <w:rFonts w:ascii="Times New Roman" w:hAnsi="Times New Roman" w:cs="Times New Roman"/>
          <w:color w:val="000000" w:themeColor="text1"/>
          <w:sz w:val="28"/>
          <w:szCs w:val="28"/>
          <w:lang w:val="en-US"/>
        </w:rPr>
        <w:t xml:space="preserve">Working Paper No. 7 2008. </w:t>
      </w:r>
      <w:proofErr w:type="gramStart"/>
      <w:r w:rsidRPr="00361A73">
        <w:rPr>
          <w:rFonts w:ascii="Times New Roman" w:hAnsi="Times New Roman" w:cs="Times New Roman"/>
          <w:color w:val="000000" w:themeColor="text1"/>
          <w:sz w:val="28"/>
          <w:szCs w:val="28"/>
          <w:lang w:val="en-US"/>
        </w:rPr>
        <w:t>Poverty, Gender, and Youth.</w:t>
      </w:r>
      <w:proofErr w:type="gramEnd"/>
      <w:r w:rsidRPr="00361A73">
        <w:rPr>
          <w:rFonts w:ascii="Times New Roman" w:hAnsi="Times New Roman" w:cs="Times New Roman"/>
          <w:color w:val="000000" w:themeColor="text1"/>
          <w:sz w:val="28"/>
          <w:szCs w:val="28"/>
          <w:lang w:val="en-US"/>
        </w:rPr>
        <w:t xml:space="preserve"> New York: Population Council.</w:t>
      </w:r>
    </w:p>
    <w:p w:rsidR="00361A73" w:rsidRPr="00361A73" w:rsidRDefault="00361A73" w:rsidP="00361A73">
      <w:pPr>
        <w:spacing w:after="0"/>
        <w:ind w:left="567" w:right="-1" w:hanging="567"/>
        <w:jc w:val="both"/>
        <w:rPr>
          <w:rFonts w:ascii="Times New Roman" w:hAnsi="Times New Roman" w:cs="Times New Roman"/>
          <w:sz w:val="28"/>
          <w:szCs w:val="28"/>
          <w:lang w:val="en-US"/>
        </w:rPr>
      </w:pPr>
      <w:proofErr w:type="spellStart"/>
      <w:proofErr w:type="gramStart"/>
      <w:r w:rsidRPr="00361A73">
        <w:rPr>
          <w:rFonts w:ascii="Times New Roman" w:hAnsi="Times New Roman" w:cs="Times New Roman"/>
          <w:sz w:val="28"/>
          <w:szCs w:val="28"/>
          <w:lang w:val="en-US"/>
        </w:rPr>
        <w:t>Bongaarts</w:t>
      </w:r>
      <w:proofErr w:type="spellEnd"/>
      <w:r w:rsidRPr="00361A73">
        <w:rPr>
          <w:rFonts w:ascii="Times New Roman" w:hAnsi="Times New Roman" w:cs="Times New Roman"/>
          <w:sz w:val="28"/>
          <w:szCs w:val="28"/>
          <w:lang w:val="en-US"/>
        </w:rPr>
        <w:t xml:space="preserve">, John, and John </w:t>
      </w:r>
      <w:proofErr w:type="spellStart"/>
      <w:r w:rsidRPr="00361A73">
        <w:rPr>
          <w:rFonts w:ascii="Times New Roman" w:hAnsi="Times New Roman" w:cs="Times New Roman"/>
          <w:sz w:val="28"/>
          <w:szCs w:val="28"/>
          <w:lang w:val="en-US"/>
        </w:rPr>
        <w:t>Casterline</w:t>
      </w:r>
      <w:proofErr w:type="spellEnd"/>
      <w:r w:rsidRPr="00361A73">
        <w:rPr>
          <w:rFonts w:ascii="Times New Roman" w:hAnsi="Times New Roman" w:cs="Times New Roman"/>
          <w:sz w:val="28"/>
          <w:szCs w:val="28"/>
          <w:lang w:val="en-US"/>
        </w:rPr>
        <w:t>.</w:t>
      </w:r>
      <w:proofErr w:type="gramEnd"/>
      <w:r w:rsidRPr="00361A73">
        <w:rPr>
          <w:rFonts w:ascii="Times New Roman" w:hAnsi="Times New Roman" w:cs="Times New Roman"/>
          <w:sz w:val="28"/>
          <w:szCs w:val="28"/>
          <w:lang w:val="en-US"/>
        </w:rPr>
        <w:t xml:space="preserve"> 2012. “Fertility Transition: Is sub-Saharan Africa Different?” </w:t>
      </w:r>
      <w:r w:rsidRPr="00361A73">
        <w:rPr>
          <w:rFonts w:ascii="Times New Roman" w:hAnsi="Times New Roman" w:cs="Times New Roman"/>
          <w:i/>
          <w:sz w:val="28"/>
          <w:szCs w:val="28"/>
          <w:lang w:val="en-US"/>
        </w:rPr>
        <w:t xml:space="preserve">Population and Development Review </w:t>
      </w:r>
      <w:r w:rsidRPr="00361A73">
        <w:rPr>
          <w:rFonts w:ascii="Times New Roman" w:hAnsi="Times New Roman" w:cs="Times New Roman"/>
          <w:sz w:val="28"/>
          <w:szCs w:val="28"/>
          <w:lang w:val="en-US"/>
        </w:rPr>
        <w:t xml:space="preserve">38: 153–168. </w:t>
      </w:r>
    </w:p>
    <w:p w:rsidR="00361A73" w:rsidRPr="00361A73" w:rsidRDefault="00361A73" w:rsidP="00361A73">
      <w:pPr>
        <w:spacing w:after="0"/>
        <w:ind w:left="567" w:right="-1" w:hanging="567"/>
        <w:jc w:val="both"/>
        <w:rPr>
          <w:rFonts w:ascii="Times New Roman" w:hAnsi="Times New Roman" w:cs="Times New Roman"/>
          <w:sz w:val="28"/>
          <w:szCs w:val="28"/>
          <w:lang w:val="en-US"/>
        </w:rPr>
      </w:pPr>
      <w:r w:rsidRPr="00361A73">
        <w:rPr>
          <w:rFonts w:ascii="Times New Roman" w:hAnsi="Times New Roman" w:cs="Times New Roman"/>
          <w:bCs/>
          <w:sz w:val="28"/>
          <w:szCs w:val="28"/>
          <w:lang w:val="en-US"/>
        </w:rPr>
        <w:t xml:space="preserve">Clark, Gregory. 2007. </w:t>
      </w:r>
      <w:r w:rsidRPr="00361A73">
        <w:rPr>
          <w:rFonts w:ascii="Times New Roman" w:hAnsi="Times New Roman" w:cs="Times New Roman"/>
          <w:i/>
          <w:sz w:val="28"/>
          <w:szCs w:val="28"/>
          <w:lang w:val="en-US"/>
        </w:rPr>
        <w:t>A farewell to alms: a brief economic history of the world</w:t>
      </w:r>
      <w:r w:rsidRPr="00361A73">
        <w:rPr>
          <w:rFonts w:ascii="Times New Roman" w:hAnsi="Times New Roman" w:cs="Times New Roman"/>
          <w:sz w:val="28"/>
          <w:szCs w:val="28"/>
          <w:lang w:val="en-US"/>
        </w:rPr>
        <w:t>. Princeton, NJ: Princeton University Press.</w:t>
      </w:r>
    </w:p>
    <w:p w:rsidR="000D26B1" w:rsidRPr="00361A73" w:rsidRDefault="000D26B1" w:rsidP="00361A73">
      <w:pPr>
        <w:autoSpaceDE w:val="0"/>
        <w:autoSpaceDN w:val="0"/>
        <w:adjustRightInd w:val="0"/>
        <w:spacing w:after="0" w:line="360" w:lineRule="auto"/>
        <w:ind w:left="567" w:right="-143" w:hanging="567"/>
        <w:jc w:val="both"/>
        <w:rPr>
          <w:rFonts w:ascii="Times New Roman" w:hAnsi="Times New Roman" w:cs="Times New Roman"/>
          <w:color w:val="000000" w:themeColor="text1"/>
          <w:sz w:val="28"/>
          <w:szCs w:val="28"/>
          <w:lang w:val="en-US"/>
        </w:rPr>
      </w:pPr>
      <w:proofErr w:type="gramStart"/>
      <w:r w:rsidRPr="00361A73">
        <w:rPr>
          <w:rFonts w:ascii="Times New Roman" w:hAnsi="Times New Roman" w:cs="Times New Roman"/>
          <w:color w:val="000000" w:themeColor="text1"/>
          <w:sz w:val="28"/>
          <w:szCs w:val="28"/>
          <w:lang w:val="en-US"/>
        </w:rPr>
        <w:t>da</w:t>
      </w:r>
      <w:proofErr w:type="gramEnd"/>
      <w:r w:rsidRPr="00361A73">
        <w:rPr>
          <w:rFonts w:ascii="Times New Roman" w:hAnsi="Times New Roman" w:cs="Times New Roman"/>
          <w:color w:val="000000" w:themeColor="text1"/>
          <w:sz w:val="28"/>
          <w:szCs w:val="28"/>
          <w:lang w:val="en-US"/>
        </w:rPr>
        <w:t xml:space="preserve"> Costa Gaspar</w:t>
      </w:r>
      <w:r w:rsidR="00316A23" w:rsidRPr="00361A73">
        <w:rPr>
          <w:rFonts w:ascii="Times New Roman" w:hAnsi="Times New Roman" w:cs="Times New Roman"/>
          <w:color w:val="000000" w:themeColor="text1"/>
          <w:sz w:val="28"/>
          <w:szCs w:val="28"/>
          <w:lang w:val="en-US"/>
        </w:rPr>
        <w:t xml:space="preserve"> M.</w:t>
      </w:r>
      <w:r w:rsidR="00BF0BE1" w:rsidRPr="00361A73">
        <w:rPr>
          <w:rFonts w:ascii="Times New Roman" w:hAnsi="Times New Roman" w:cs="Times New Roman"/>
          <w:color w:val="000000" w:themeColor="text1"/>
          <w:sz w:val="28"/>
          <w:szCs w:val="28"/>
          <w:lang w:val="en-US"/>
        </w:rPr>
        <w:t xml:space="preserve">, </w:t>
      </w:r>
      <w:proofErr w:type="spellStart"/>
      <w:r w:rsidRPr="00361A73">
        <w:rPr>
          <w:rFonts w:ascii="Times New Roman" w:hAnsi="Times New Roman" w:cs="Times New Roman"/>
          <w:color w:val="000000" w:themeColor="text1"/>
          <w:sz w:val="28"/>
          <w:szCs w:val="28"/>
          <w:lang w:val="en-US"/>
        </w:rPr>
        <w:t>Cossa</w:t>
      </w:r>
      <w:proofErr w:type="spellEnd"/>
      <w:r w:rsidR="00BF0BE1" w:rsidRPr="00361A73">
        <w:rPr>
          <w:rFonts w:ascii="Times New Roman" w:hAnsi="Times New Roman" w:cs="Times New Roman"/>
          <w:color w:val="000000" w:themeColor="text1"/>
          <w:sz w:val="28"/>
          <w:szCs w:val="28"/>
          <w:lang w:val="en-US"/>
        </w:rPr>
        <w:t xml:space="preserve"> H.A., </w:t>
      </w:r>
      <w:r w:rsidRPr="00361A73">
        <w:rPr>
          <w:rFonts w:ascii="Times New Roman" w:hAnsi="Times New Roman" w:cs="Times New Roman"/>
          <w:color w:val="000000" w:themeColor="text1"/>
          <w:sz w:val="28"/>
          <w:szCs w:val="28"/>
          <w:lang w:val="en-US"/>
        </w:rPr>
        <w:t>dos Santos</w:t>
      </w:r>
      <w:r w:rsidR="00BF0BE1" w:rsidRPr="00361A73">
        <w:rPr>
          <w:rFonts w:ascii="Times New Roman" w:hAnsi="Times New Roman" w:cs="Times New Roman"/>
          <w:color w:val="000000" w:themeColor="text1"/>
          <w:sz w:val="28"/>
          <w:szCs w:val="28"/>
          <w:lang w:val="en-US"/>
        </w:rPr>
        <w:t xml:space="preserve"> C.R., </w:t>
      </w:r>
      <w:proofErr w:type="spellStart"/>
      <w:r w:rsidRPr="00361A73">
        <w:rPr>
          <w:rFonts w:ascii="Times New Roman" w:hAnsi="Times New Roman" w:cs="Times New Roman"/>
          <w:color w:val="000000" w:themeColor="text1"/>
          <w:sz w:val="28"/>
          <w:szCs w:val="28"/>
          <w:lang w:val="en-US"/>
        </w:rPr>
        <w:t>Manjate</w:t>
      </w:r>
      <w:proofErr w:type="spellEnd"/>
      <w:r w:rsidR="00BF0BE1" w:rsidRPr="00361A73">
        <w:rPr>
          <w:rFonts w:ascii="Times New Roman" w:hAnsi="Times New Roman" w:cs="Times New Roman"/>
          <w:color w:val="000000" w:themeColor="text1"/>
          <w:sz w:val="28"/>
          <w:szCs w:val="28"/>
          <w:lang w:val="en-US"/>
        </w:rPr>
        <w:t xml:space="preserve"> R.M.</w:t>
      </w:r>
      <w:r w:rsidRPr="00361A73">
        <w:rPr>
          <w:rFonts w:ascii="Times New Roman" w:hAnsi="Times New Roman" w:cs="Times New Roman"/>
          <w:color w:val="000000" w:themeColor="text1"/>
          <w:sz w:val="28"/>
          <w:szCs w:val="28"/>
          <w:lang w:val="en-US"/>
        </w:rPr>
        <w:t xml:space="preserve">, </w:t>
      </w:r>
      <w:proofErr w:type="spellStart"/>
      <w:r w:rsidRPr="00361A73">
        <w:rPr>
          <w:rFonts w:ascii="Times New Roman" w:hAnsi="Times New Roman" w:cs="Times New Roman"/>
          <w:color w:val="000000" w:themeColor="text1"/>
          <w:sz w:val="28"/>
          <w:szCs w:val="28"/>
          <w:lang w:val="en-US"/>
        </w:rPr>
        <w:t>Schoemaker</w:t>
      </w:r>
      <w:proofErr w:type="spellEnd"/>
      <w:r w:rsidR="00BF0BE1" w:rsidRPr="00361A73">
        <w:rPr>
          <w:rFonts w:ascii="Times New Roman" w:hAnsi="Times New Roman" w:cs="Times New Roman"/>
          <w:color w:val="000000" w:themeColor="text1"/>
          <w:sz w:val="28"/>
          <w:szCs w:val="28"/>
          <w:lang w:val="en-US"/>
        </w:rPr>
        <w:t> J</w:t>
      </w:r>
      <w:r w:rsidRPr="00361A73">
        <w:rPr>
          <w:rFonts w:ascii="Times New Roman" w:hAnsi="Times New Roman" w:cs="Times New Roman"/>
          <w:color w:val="000000" w:themeColor="text1"/>
          <w:sz w:val="28"/>
          <w:szCs w:val="28"/>
          <w:lang w:val="en-US"/>
        </w:rPr>
        <w:t>.</w:t>
      </w:r>
      <w:r w:rsidR="007D02F6" w:rsidRPr="00361A73">
        <w:rPr>
          <w:rFonts w:ascii="Times New Roman" w:hAnsi="Times New Roman" w:cs="Times New Roman"/>
          <w:color w:val="000000" w:themeColor="text1"/>
          <w:sz w:val="28"/>
          <w:szCs w:val="28"/>
          <w:lang w:val="en-US"/>
        </w:rPr>
        <w:t xml:space="preserve"> 1998.</w:t>
      </w:r>
      <w:r w:rsidRPr="00361A73">
        <w:rPr>
          <w:rFonts w:ascii="Times New Roman" w:hAnsi="Times New Roman" w:cs="Times New Roman"/>
          <w:color w:val="000000" w:themeColor="text1"/>
          <w:sz w:val="28"/>
          <w:szCs w:val="28"/>
          <w:lang w:val="en-US"/>
        </w:rPr>
        <w:t xml:space="preserve"> </w:t>
      </w:r>
      <w:proofErr w:type="spellStart"/>
      <w:proofErr w:type="gramStart"/>
      <w:r w:rsidRPr="00361A73">
        <w:rPr>
          <w:rFonts w:ascii="Times New Roman" w:hAnsi="Times New Roman" w:cs="Times New Roman"/>
          <w:i/>
          <w:color w:val="000000" w:themeColor="text1"/>
          <w:sz w:val="28"/>
          <w:szCs w:val="28"/>
          <w:lang w:val="en-US"/>
        </w:rPr>
        <w:t>Moçambique</w:t>
      </w:r>
      <w:proofErr w:type="spellEnd"/>
      <w:r w:rsidRPr="00361A73">
        <w:rPr>
          <w:rFonts w:ascii="Times New Roman" w:hAnsi="Times New Roman" w:cs="Times New Roman"/>
          <w:i/>
          <w:color w:val="000000" w:themeColor="text1"/>
          <w:sz w:val="28"/>
          <w:szCs w:val="28"/>
          <w:lang w:val="en-US"/>
        </w:rPr>
        <w:t xml:space="preserve"> </w:t>
      </w:r>
      <w:proofErr w:type="spellStart"/>
      <w:r w:rsidRPr="00361A73">
        <w:rPr>
          <w:rFonts w:ascii="Times New Roman" w:hAnsi="Times New Roman" w:cs="Times New Roman"/>
          <w:i/>
          <w:color w:val="000000" w:themeColor="text1"/>
          <w:sz w:val="28"/>
          <w:szCs w:val="28"/>
          <w:lang w:val="en-US"/>
        </w:rPr>
        <w:t>Inquérito</w:t>
      </w:r>
      <w:proofErr w:type="spellEnd"/>
      <w:r w:rsidRPr="00361A73">
        <w:rPr>
          <w:rFonts w:ascii="Times New Roman" w:hAnsi="Times New Roman" w:cs="Times New Roman"/>
          <w:i/>
          <w:color w:val="000000" w:themeColor="text1"/>
          <w:sz w:val="28"/>
          <w:szCs w:val="28"/>
          <w:lang w:val="en-US"/>
        </w:rPr>
        <w:t xml:space="preserve"> </w:t>
      </w:r>
      <w:proofErr w:type="spellStart"/>
      <w:r w:rsidRPr="00361A73">
        <w:rPr>
          <w:rFonts w:ascii="Times New Roman" w:hAnsi="Times New Roman" w:cs="Times New Roman"/>
          <w:i/>
          <w:color w:val="000000" w:themeColor="text1"/>
          <w:sz w:val="28"/>
          <w:szCs w:val="28"/>
          <w:lang w:val="en-US"/>
        </w:rPr>
        <w:t>Demográfico</w:t>
      </w:r>
      <w:proofErr w:type="spellEnd"/>
      <w:r w:rsidRPr="00361A73">
        <w:rPr>
          <w:rFonts w:ascii="Times New Roman" w:hAnsi="Times New Roman" w:cs="Times New Roman"/>
          <w:i/>
          <w:color w:val="000000" w:themeColor="text1"/>
          <w:sz w:val="28"/>
          <w:szCs w:val="28"/>
          <w:lang w:val="en-US"/>
        </w:rPr>
        <w:t xml:space="preserve"> e de </w:t>
      </w:r>
      <w:proofErr w:type="spellStart"/>
      <w:r w:rsidRPr="00361A73">
        <w:rPr>
          <w:rFonts w:ascii="Times New Roman" w:hAnsi="Times New Roman" w:cs="Times New Roman"/>
          <w:i/>
          <w:color w:val="000000" w:themeColor="text1"/>
          <w:sz w:val="28"/>
          <w:szCs w:val="28"/>
          <w:lang w:val="en-US"/>
        </w:rPr>
        <w:t>Saúde</w:t>
      </w:r>
      <w:proofErr w:type="spellEnd"/>
      <w:r w:rsidRPr="00361A73">
        <w:rPr>
          <w:rFonts w:ascii="Times New Roman" w:hAnsi="Times New Roman" w:cs="Times New Roman"/>
          <w:i/>
          <w:color w:val="000000" w:themeColor="text1"/>
          <w:sz w:val="28"/>
          <w:szCs w:val="28"/>
          <w:lang w:val="en-US"/>
        </w:rPr>
        <w:t xml:space="preserve"> 1997.</w:t>
      </w:r>
      <w:proofErr w:type="gramEnd"/>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Instituto</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Nacional</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de</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Estat</w:t>
      </w:r>
      <w:r w:rsidRPr="00361A73">
        <w:rPr>
          <w:rFonts w:ascii="Times New Roman" w:hAnsi="Times New Roman" w:cs="Times New Roman"/>
          <w:color w:val="000000" w:themeColor="text1"/>
          <w:sz w:val="28"/>
          <w:szCs w:val="28"/>
          <w:lang w:val="en-US"/>
        </w:rPr>
        <w:t>í</w:t>
      </w:r>
      <w:r w:rsidRPr="00361A73">
        <w:rPr>
          <w:rFonts w:ascii="Times New Roman" w:hAnsi="Times New Roman" w:cs="Times New Roman"/>
          <w:color w:val="000000" w:themeColor="text1"/>
          <w:sz w:val="28"/>
          <w:szCs w:val="28"/>
          <w:lang w:val="fr-FR"/>
        </w:rPr>
        <w:t>stica</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Maputo</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Mo</w:t>
      </w:r>
      <w:r w:rsidRPr="00361A73">
        <w:rPr>
          <w:rFonts w:ascii="Times New Roman" w:hAnsi="Times New Roman" w:cs="Times New Roman"/>
          <w:color w:val="000000" w:themeColor="text1"/>
          <w:sz w:val="28"/>
          <w:szCs w:val="28"/>
          <w:lang w:val="en-US"/>
        </w:rPr>
        <w:t>ç</w:t>
      </w:r>
      <w:r w:rsidRPr="00361A73">
        <w:rPr>
          <w:rFonts w:ascii="Times New Roman" w:hAnsi="Times New Roman" w:cs="Times New Roman"/>
          <w:color w:val="000000" w:themeColor="text1"/>
          <w:sz w:val="28"/>
          <w:szCs w:val="28"/>
          <w:lang w:val="fr-FR"/>
        </w:rPr>
        <w:t>ambique</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Macro</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International</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Inc</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Calverton</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Maryland</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USA</w:t>
      </w:r>
      <w:r w:rsidRPr="00361A73">
        <w:rPr>
          <w:rFonts w:ascii="Times New Roman" w:hAnsi="Times New Roman" w:cs="Times New Roman"/>
          <w:color w:val="000000" w:themeColor="text1"/>
          <w:sz w:val="28"/>
          <w:szCs w:val="28"/>
          <w:lang w:val="en-US"/>
        </w:rPr>
        <w:t>.</w:t>
      </w:r>
    </w:p>
    <w:p w:rsidR="00361A73" w:rsidRPr="00361A73" w:rsidRDefault="00361A73" w:rsidP="00361A73">
      <w:pPr>
        <w:autoSpaceDE w:val="0"/>
        <w:autoSpaceDN w:val="0"/>
        <w:adjustRightInd w:val="0"/>
        <w:spacing w:after="0"/>
        <w:ind w:left="567" w:right="-1" w:hanging="567"/>
        <w:jc w:val="both"/>
        <w:rPr>
          <w:rFonts w:ascii="Times New Roman" w:hAnsi="Times New Roman" w:cs="Times New Roman"/>
          <w:sz w:val="28"/>
          <w:szCs w:val="28"/>
          <w:lang w:val="en-US"/>
        </w:rPr>
      </w:pPr>
      <w:proofErr w:type="spellStart"/>
      <w:proofErr w:type="gramStart"/>
      <w:r w:rsidRPr="00361A73">
        <w:rPr>
          <w:rFonts w:ascii="Times New Roman" w:hAnsi="Times New Roman" w:cs="Times New Roman"/>
          <w:sz w:val="28"/>
          <w:szCs w:val="28"/>
          <w:lang w:val="en-US"/>
        </w:rPr>
        <w:t>Ezeh</w:t>
      </w:r>
      <w:proofErr w:type="spellEnd"/>
      <w:r w:rsidRPr="00361A73">
        <w:rPr>
          <w:rFonts w:ascii="Times New Roman" w:hAnsi="Times New Roman" w:cs="Times New Roman"/>
          <w:sz w:val="28"/>
          <w:szCs w:val="28"/>
          <w:lang w:val="en-US"/>
        </w:rPr>
        <w:t xml:space="preserve">, Alex C., Blessing U. </w:t>
      </w:r>
      <w:proofErr w:type="spellStart"/>
      <w:r w:rsidRPr="00361A73">
        <w:rPr>
          <w:rFonts w:ascii="Times New Roman" w:hAnsi="Times New Roman" w:cs="Times New Roman"/>
          <w:sz w:val="28"/>
          <w:szCs w:val="28"/>
          <w:lang w:val="en-US"/>
        </w:rPr>
        <w:t>Mberu</w:t>
      </w:r>
      <w:proofErr w:type="spellEnd"/>
      <w:r w:rsidRPr="00361A73">
        <w:rPr>
          <w:rFonts w:ascii="Times New Roman" w:hAnsi="Times New Roman" w:cs="Times New Roman"/>
          <w:sz w:val="28"/>
          <w:szCs w:val="28"/>
          <w:lang w:val="en-US"/>
        </w:rPr>
        <w:t xml:space="preserve">, and Jacques O. </w:t>
      </w:r>
      <w:proofErr w:type="spellStart"/>
      <w:r w:rsidRPr="00361A73">
        <w:rPr>
          <w:rFonts w:ascii="Times New Roman" w:hAnsi="Times New Roman" w:cs="Times New Roman"/>
          <w:sz w:val="28"/>
          <w:szCs w:val="28"/>
          <w:lang w:val="en-US"/>
        </w:rPr>
        <w:t>Emina</w:t>
      </w:r>
      <w:proofErr w:type="spellEnd"/>
      <w:r w:rsidRPr="00361A73">
        <w:rPr>
          <w:rFonts w:ascii="Times New Roman" w:hAnsi="Times New Roman" w:cs="Times New Roman"/>
          <w:sz w:val="28"/>
          <w:szCs w:val="28"/>
          <w:lang w:val="en-US"/>
        </w:rPr>
        <w:t>.</w:t>
      </w:r>
      <w:proofErr w:type="gramEnd"/>
      <w:r w:rsidRPr="00361A73">
        <w:rPr>
          <w:rFonts w:ascii="Times New Roman" w:hAnsi="Times New Roman" w:cs="Times New Roman"/>
          <w:sz w:val="28"/>
          <w:szCs w:val="28"/>
          <w:lang w:val="en-US"/>
        </w:rPr>
        <w:t xml:space="preserve"> 2009. “Stall in fertility decline in Eastern African countries: regional analysis of patterns, determinants and implications,” </w:t>
      </w:r>
      <w:r w:rsidRPr="00361A73">
        <w:rPr>
          <w:rFonts w:ascii="Times New Roman" w:hAnsi="Times New Roman" w:cs="Times New Roman"/>
          <w:i/>
          <w:sz w:val="28"/>
          <w:szCs w:val="28"/>
          <w:lang w:val="en-US"/>
        </w:rPr>
        <w:t>Philosophical Transactions of the Royal Society B Biological Sciences</w:t>
      </w:r>
      <w:r w:rsidRPr="00361A73">
        <w:rPr>
          <w:rFonts w:ascii="Times New Roman" w:hAnsi="Times New Roman" w:cs="Times New Roman"/>
          <w:sz w:val="28"/>
          <w:szCs w:val="28"/>
          <w:lang w:val="en-US"/>
        </w:rPr>
        <w:t xml:space="preserve"> 364(1532): 2991–3007.</w:t>
      </w:r>
    </w:p>
    <w:p w:rsidR="00BF0BE1" w:rsidRPr="00361A73" w:rsidRDefault="00BF0BE1" w:rsidP="00361A73">
      <w:pPr>
        <w:spacing w:after="0" w:line="360" w:lineRule="auto"/>
        <w:ind w:left="567" w:hanging="567"/>
        <w:jc w:val="both"/>
        <w:rPr>
          <w:rFonts w:ascii="Times New Roman" w:hAnsi="Times New Roman" w:cs="Times New Roman"/>
          <w:sz w:val="28"/>
          <w:szCs w:val="28"/>
          <w:lang w:val="en-US"/>
        </w:rPr>
      </w:pPr>
      <w:r w:rsidRPr="00361A73">
        <w:rPr>
          <w:rFonts w:ascii="Times New Roman" w:hAnsi="Times New Roman" w:cs="Times New Roman"/>
          <w:sz w:val="28"/>
          <w:szCs w:val="28"/>
          <w:lang w:val="fr-FR"/>
        </w:rPr>
        <w:t>Maunze</w:t>
      </w:r>
      <w:r w:rsidRPr="00361A73">
        <w:rPr>
          <w:rFonts w:ascii="Times New Roman" w:hAnsi="Times New Roman" w:cs="Times New Roman"/>
          <w:sz w:val="28"/>
          <w:szCs w:val="28"/>
          <w:lang w:val="en-US"/>
        </w:rPr>
        <w:t xml:space="preserve"> </w:t>
      </w:r>
      <w:r w:rsidRPr="00361A73">
        <w:rPr>
          <w:rFonts w:ascii="Times New Roman" w:hAnsi="Times New Roman" w:cs="Times New Roman"/>
          <w:sz w:val="28"/>
          <w:szCs w:val="28"/>
          <w:lang w:val="fr-FR"/>
        </w:rPr>
        <w:t>X</w:t>
      </w:r>
      <w:r w:rsidRPr="00361A73">
        <w:rPr>
          <w:rFonts w:ascii="Times New Roman" w:hAnsi="Times New Roman" w:cs="Times New Roman"/>
          <w:sz w:val="28"/>
          <w:szCs w:val="28"/>
          <w:lang w:val="en-US"/>
        </w:rPr>
        <w:t xml:space="preserve">. </w:t>
      </w:r>
      <w:r w:rsidR="007D02F6" w:rsidRPr="00361A73">
        <w:rPr>
          <w:rFonts w:ascii="Times New Roman" w:hAnsi="Times New Roman" w:cs="Times New Roman"/>
          <w:sz w:val="28"/>
          <w:szCs w:val="28"/>
          <w:lang w:val="en-US"/>
        </w:rPr>
        <w:t xml:space="preserve">2009. </w:t>
      </w:r>
      <w:r w:rsidRPr="00361A73">
        <w:rPr>
          <w:rFonts w:ascii="Times New Roman" w:hAnsi="Times New Roman" w:cs="Times New Roman"/>
          <w:sz w:val="28"/>
          <w:szCs w:val="28"/>
          <w:lang w:val="fr-FR"/>
        </w:rPr>
        <w:t>Population</w:t>
      </w:r>
      <w:r w:rsidRPr="00361A73">
        <w:rPr>
          <w:rFonts w:ascii="Times New Roman" w:hAnsi="Times New Roman" w:cs="Times New Roman"/>
          <w:sz w:val="28"/>
          <w:szCs w:val="28"/>
          <w:lang w:val="en-US"/>
        </w:rPr>
        <w:t xml:space="preserve"> </w:t>
      </w:r>
      <w:r w:rsidRPr="00361A73">
        <w:rPr>
          <w:rFonts w:ascii="Times New Roman" w:hAnsi="Times New Roman" w:cs="Times New Roman"/>
          <w:sz w:val="28"/>
          <w:szCs w:val="28"/>
          <w:lang w:val="fr-FR"/>
        </w:rPr>
        <w:t>Projection</w:t>
      </w:r>
      <w:r w:rsidRPr="00361A73">
        <w:rPr>
          <w:rFonts w:ascii="Times New Roman" w:hAnsi="Times New Roman" w:cs="Times New Roman"/>
          <w:sz w:val="28"/>
          <w:szCs w:val="28"/>
          <w:lang w:val="en-US"/>
        </w:rPr>
        <w:t xml:space="preserve"> </w:t>
      </w:r>
      <w:r w:rsidRPr="00361A73">
        <w:rPr>
          <w:rFonts w:ascii="Times New Roman" w:hAnsi="Times New Roman" w:cs="Times New Roman"/>
          <w:sz w:val="28"/>
          <w:szCs w:val="28"/>
          <w:lang w:val="fr-FR"/>
        </w:rPr>
        <w:t>in</w:t>
      </w:r>
      <w:r w:rsidRPr="00361A73">
        <w:rPr>
          <w:rFonts w:ascii="Times New Roman" w:hAnsi="Times New Roman" w:cs="Times New Roman"/>
          <w:sz w:val="28"/>
          <w:szCs w:val="28"/>
          <w:lang w:val="en-US"/>
        </w:rPr>
        <w:t xml:space="preserve"> </w:t>
      </w:r>
      <w:r w:rsidRPr="00361A73">
        <w:rPr>
          <w:rFonts w:ascii="Times New Roman" w:hAnsi="Times New Roman" w:cs="Times New Roman"/>
          <w:sz w:val="28"/>
          <w:szCs w:val="28"/>
          <w:lang w:val="fr-FR"/>
        </w:rPr>
        <w:t>Mozambique</w:t>
      </w:r>
      <w:r w:rsidRPr="00361A73">
        <w:rPr>
          <w:rFonts w:ascii="Times New Roman" w:hAnsi="Times New Roman" w:cs="Times New Roman"/>
          <w:sz w:val="28"/>
          <w:szCs w:val="28"/>
          <w:lang w:val="en-US"/>
        </w:rPr>
        <w:t xml:space="preserve">. </w:t>
      </w:r>
      <w:proofErr w:type="gramStart"/>
      <w:r w:rsidRPr="00361A73">
        <w:rPr>
          <w:rFonts w:ascii="Times New Roman" w:hAnsi="Times New Roman" w:cs="Times New Roman"/>
          <w:i/>
          <w:sz w:val="28"/>
          <w:szCs w:val="28"/>
          <w:lang w:val="en-US"/>
        </w:rPr>
        <w:t>Presentation for 2010 World Population and Housing Census Program</w:t>
      </w:r>
      <w:r w:rsidRPr="00361A73">
        <w:rPr>
          <w:rFonts w:ascii="Times New Roman" w:hAnsi="Times New Roman" w:cs="Times New Roman"/>
          <w:sz w:val="28"/>
          <w:szCs w:val="28"/>
          <w:lang w:val="en-US"/>
        </w:rPr>
        <w:t>.</w:t>
      </w:r>
      <w:proofErr w:type="gramEnd"/>
      <w:r w:rsidRPr="00361A73">
        <w:rPr>
          <w:rFonts w:ascii="Times New Roman" w:hAnsi="Times New Roman" w:cs="Times New Roman"/>
          <w:sz w:val="28"/>
          <w:szCs w:val="28"/>
          <w:lang w:val="en-US"/>
        </w:rPr>
        <w:t xml:space="preserve"> </w:t>
      </w:r>
      <w:proofErr w:type="gramStart"/>
      <w:r w:rsidRPr="00361A73">
        <w:rPr>
          <w:rFonts w:ascii="Times New Roman" w:hAnsi="Times New Roman" w:cs="Times New Roman"/>
          <w:sz w:val="28"/>
          <w:szCs w:val="28"/>
          <w:lang w:val="en-US"/>
        </w:rPr>
        <w:t xml:space="preserve">Demographic Analysis </w:t>
      </w:r>
      <w:r w:rsidRPr="00361A73">
        <w:rPr>
          <w:rFonts w:ascii="Times New Roman" w:hAnsi="Times New Roman" w:cs="Times New Roman"/>
          <w:sz w:val="28"/>
          <w:szCs w:val="28"/>
          <w:lang w:val="en-US"/>
        </w:rPr>
        <w:lastRenderedPageBreak/>
        <w:t>Department, National Institute of Statistics, Maputo, Mozambique, 31.10 – 02.11.2009.</w:t>
      </w:r>
      <w:proofErr w:type="gramEnd"/>
    </w:p>
    <w:p w:rsidR="000D26B1" w:rsidRPr="00361A73" w:rsidRDefault="000D26B1" w:rsidP="00361A73">
      <w:pPr>
        <w:autoSpaceDE w:val="0"/>
        <w:autoSpaceDN w:val="0"/>
        <w:adjustRightInd w:val="0"/>
        <w:spacing w:after="0" w:line="360" w:lineRule="auto"/>
        <w:ind w:left="567" w:right="-143" w:hanging="567"/>
        <w:jc w:val="both"/>
        <w:rPr>
          <w:rFonts w:ascii="Times New Roman" w:hAnsi="Times New Roman" w:cs="Times New Roman"/>
          <w:color w:val="000000" w:themeColor="text1"/>
          <w:sz w:val="28"/>
          <w:szCs w:val="28"/>
          <w:lang w:val="fr-FR"/>
        </w:rPr>
      </w:pPr>
      <w:r w:rsidRPr="00361A73">
        <w:rPr>
          <w:rFonts w:ascii="Times New Roman" w:hAnsi="Times New Roman" w:cs="Times New Roman"/>
          <w:color w:val="000000" w:themeColor="text1"/>
          <w:sz w:val="28"/>
          <w:szCs w:val="28"/>
          <w:lang w:val="fr-FR"/>
        </w:rPr>
        <w:t>Instituto</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Nacional</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de</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Estat</w:t>
      </w:r>
      <w:r w:rsidRPr="00361A73">
        <w:rPr>
          <w:rFonts w:ascii="Times New Roman" w:hAnsi="Times New Roman" w:cs="Times New Roman"/>
          <w:color w:val="000000" w:themeColor="text1"/>
          <w:sz w:val="28"/>
          <w:szCs w:val="28"/>
          <w:lang w:val="en-US"/>
        </w:rPr>
        <w:t>í</w:t>
      </w:r>
      <w:r w:rsidRPr="00361A73">
        <w:rPr>
          <w:rFonts w:ascii="Times New Roman" w:hAnsi="Times New Roman" w:cs="Times New Roman"/>
          <w:color w:val="000000" w:themeColor="text1"/>
          <w:sz w:val="28"/>
          <w:szCs w:val="28"/>
          <w:lang w:val="fr-FR"/>
        </w:rPr>
        <w:t>stica</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Minist</w:t>
      </w:r>
      <w:r w:rsidRPr="00361A73">
        <w:rPr>
          <w:rFonts w:ascii="Times New Roman" w:hAnsi="Times New Roman" w:cs="Times New Roman"/>
          <w:color w:val="000000" w:themeColor="text1"/>
          <w:sz w:val="28"/>
          <w:szCs w:val="28"/>
          <w:lang w:val="en-US"/>
        </w:rPr>
        <w:t>é</w:t>
      </w:r>
      <w:r w:rsidRPr="00361A73">
        <w:rPr>
          <w:rFonts w:ascii="Times New Roman" w:hAnsi="Times New Roman" w:cs="Times New Roman"/>
          <w:color w:val="000000" w:themeColor="text1"/>
          <w:sz w:val="28"/>
          <w:szCs w:val="28"/>
          <w:lang w:val="fr-FR"/>
        </w:rPr>
        <w:t>rio</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da</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Sa</w:t>
      </w:r>
      <w:r w:rsidRPr="00361A73">
        <w:rPr>
          <w:rFonts w:ascii="Times New Roman" w:hAnsi="Times New Roman" w:cs="Times New Roman"/>
          <w:color w:val="000000" w:themeColor="text1"/>
          <w:sz w:val="28"/>
          <w:szCs w:val="28"/>
          <w:lang w:val="en-US"/>
        </w:rPr>
        <w:t>ú</w:t>
      </w:r>
      <w:r w:rsidRPr="00361A73">
        <w:rPr>
          <w:rFonts w:ascii="Times New Roman" w:hAnsi="Times New Roman" w:cs="Times New Roman"/>
          <w:color w:val="000000" w:themeColor="text1"/>
          <w:sz w:val="28"/>
          <w:szCs w:val="28"/>
          <w:lang w:val="fr-FR"/>
        </w:rPr>
        <w:t>de</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Mo</w:t>
      </w:r>
      <w:r w:rsidRPr="00361A73">
        <w:rPr>
          <w:rFonts w:ascii="Times New Roman" w:hAnsi="Times New Roman" w:cs="Times New Roman"/>
          <w:color w:val="000000" w:themeColor="text1"/>
          <w:sz w:val="28"/>
          <w:szCs w:val="28"/>
          <w:lang w:val="en-US"/>
        </w:rPr>
        <w:t>ç</w:t>
      </w:r>
      <w:r w:rsidRPr="00361A73">
        <w:rPr>
          <w:rFonts w:ascii="Times New Roman" w:hAnsi="Times New Roman" w:cs="Times New Roman"/>
          <w:color w:val="000000" w:themeColor="text1"/>
          <w:sz w:val="28"/>
          <w:szCs w:val="28"/>
          <w:lang w:val="fr-FR"/>
        </w:rPr>
        <w:t>ambique</w:t>
      </w:r>
      <w:r w:rsidRPr="00361A73">
        <w:rPr>
          <w:rFonts w:ascii="Times New Roman" w:hAnsi="Times New Roman" w:cs="Times New Roman"/>
          <w:color w:val="000000" w:themeColor="text1"/>
          <w:sz w:val="28"/>
          <w:szCs w:val="28"/>
          <w:lang w:val="en-US"/>
        </w:rPr>
        <w:t xml:space="preserve">]. </w:t>
      </w:r>
      <w:r w:rsidR="000618D6" w:rsidRPr="00361A73">
        <w:rPr>
          <w:rFonts w:ascii="Times New Roman" w:hAnsi="Times New Roman" w:cs="Times New Roman"/>
          <w:color w:val="000000" w:themeColor="text1"/>
          <w:sz w:val="28"/>
          <w:szCs w:val="28"/>
          <w:lang w:val="fr-FR"/>
        </w:rPr>
        <w:t xml:space="preserve">2005. </w:t>
      </w:r>
      <w:r w:rsidRPr="00361A73">
        <w:rPr>
          <w:rFonts w:ascii="Times New Roman" w:hAnsi="Times New Roman" w:cs="Times New Roman"/>
          <w:i/>
          <w:color w:val="000000" w:themeColor="text1"/>
          <w:sz w:val="28"/>
          <w:szCs w:val="28"/>
          <w:lang w:val="fr-FR"/>
        </w:rPr>
        <w:t>Mo</w:t>
      </w:r>
      <w:r w:rsidRPr="00361A73">
        <w:rPr>
          <w:rFonts w:ascii="Times New Roman" w:hAnsi="Times New Roman" w:cs="Times New Roman"/>
          <w:i/>
          <w:color w:val="000000" w:themeColor="text1"/>
          <w:sz w:val="28"/>
          <w:szCs w:val="28"/>
          <w:lang w:val="en-US"/>
        </w:rPr>
        <w:t>ç</w:t>
      </w:r>
      <w:r w:rsidRPr="00361A73">
        <w:rPr>
          <w:rFonts w:ascii="Times New Roman" w:hAnsi="Times New Roman" w:cs="Times New Roman"/>
          <w:i/>
          <w:color w:val="000000" w:themeColor="text1"/>
          <w:sz w:val="28"/>
          <w:szCs w:val="28"/>
          <w:lang w:val="fr-FR"/>
        </w:rPr>
        <w:t>ambique</w:t>
      </w:r>
      <w:r w:rsidRPr="00361A73">
        <w:rPr>
          <w:rFonts w:ascii="Times New Roman" w:hAnsi="Times New Roman" w:cs="Times New Roman"/>
          <w:i/>
          <w:color w:val="000000" w:themeColor="text1"/>
          <w:sz w:val="28"/>
          <w:szCs w:val="28"/>
          <w:lang w:val="en-US"/>
        </w:rPr>
        <w:t xml:space="preserve"> </w:t>
      </w:r>
      <w:r w:rsidRPr="00361A73">
        <w:rPr>
          <w:rFonts w:ascii="Times New Roman" w:hAnsi="Times New Roman" w:cs="Times New Roman"/>
          <w:i/>
          <w:color w:val="000000" w:themeColor="text1"/>
          <w:sz w:val="28"/>
          <w:szCs w:val="28"/>
          <w:lang w:val="fr-FR"/>
        </w:rPr>
        <w:t>Inqu</w:t>
      </w:r>
      <w:r w:rsidRPr="00361A73">
        <w:rPr>
          <w:rFonts w:ascii="Times New Roman" w:hAnsi="Times New Roman" w:cs="Times New Roman"/>
          <w:i/>
          <w:color w:val="000000" w:themeColor="text1"/>
          <w:sz w:val="28"/>
          <w:szCs w:val="28"/>
          <w:lang w:val="en-US"/>
        </w:rPr>
        <w:t>é</w:t>
      </w:r>
      <w:r w:rsidRPr="00361A73">
        <w:rPr>
          <w:rFonts w:ascii="Times New Roman" w:hAnsi="Times New Roman" w:cs="Times New Roman"/>
          <w:i/>
          <w:color w:val="000000" w:themeColor="text1"/>
          <w:sz w:val="28"/>
          <w:szCs w:val="28"/>
          <w:lang w:val="fr-FR"/>
        </w:rPr>
        <w:t>rito</w:t>
      </w:r>
      <w:r w:rsidRPr="00361A73">
        <w:rPr>
          <w:rFonts w:ascii="Times New Roman" w:hAnsi="Times New Roman" w:cs="Times New Roman"/>
          <w:i/>
          <w:color w:val="000000" w:themeColor="text1"/>
          <w:sz w:val="28"/>
          <w:szCs w:val="28"/>
          <w:lang w:val="en-US"/>
        </w:rPr>
        <w:t xml:space="preserve"> </w:t>
      </w:r>
      <w:r w:rsidRPr="00361A73">
        <w:rPr>
          <w:rFonts w:ascii="Times New Roman" w:hAnsi="Times New Roman" w:cs="Times New Roman"/>
          <w:i/>
          <w:color w:val="000000" w:themeColor="text1"/>
          <w:sz w:val="28"/>
          <w:szCs w:val="28"/>
          <w:lang w:val="fr-FR"/>
        </w:rPr>
        <w:t>Demogr</w:t>
      </w:r>
      <w:r w:rsidRPr="00361A73">
        <w:rPr>
          <w:rFonts w:ascii="Times New Roman" w:hAnsi="Times New Roman" w:cs="Times New Roman"/>
          <w:i/>
          <w:color w:val="000000" w:themeColor="text1"/>
          <w:sz w:val="28"/>
          <w:szCs w:val="28"/>
          <w:lang w:val="en-US"/>
        </w:rPr>
        <w:t>á</w:t>
      </w:r>
      <w:r w:rsidRPr="00361A73">
        <w:rPr>
          <w:rFonts w:ascii="Times New Roman" w:hAnsi="Times New Roman" w:cs="Times New Roman"/>
          <w:i/>
          <w:color w:val="000000" w:themeColor="text1"/>
          <w:sz w:val="28"/>
          <w:szCs w:val="28"/>
          <w:lang w:val="fr-FR"/>
        </w:rPr>
        <w:t>fico</w:t>
      </w:r>
      <w:r w:rsidRPr="00361A73">
        <w:rPr>
          <w:rFonts w:ascii="Times New Roman" w:hAnsi="Times New Roman" w:cs="Times New Roman"/>
          <w:i/>
          <w:color w:val="000000" w:themeColor="text1"/>
          <w:sz w:val="28"/>
          <w:szCs w:val="28"/>
          <w:lang w:val="en-US"/>
        </w:rPr>
        <w:t xml:space="preserve"> </w:t>
      </w:r>
      <w:r w:rsidRPr="00361A73">
        <w:rPr>
          <w:rFonts w:ascii="Times New Roman" w:hAnsi="Times New Roman" w:cs="Times New Roman"/>
          <w:i/>
          <w:color w:val="000000" w:themeColor="text1"/>
          <w:sz w:val="28"/>
          <w:szCs w:val="28"/>
          <w:lang w:val="fr-FR"/>
        </w:rPr>
        <w:t>e</w:t>
      </w:r>
      <w:r w:rsidRPr="00361A73">
        <w:rPr>
          <w:rFonts w:ascii="Times New Roman" w:hAnsi="Times New Roman" w:cs="Times New Roman"/>
          <w:i/>
          <w:color w:val="000000" w:themeColor="text1"/>
          <w:sz w:val="28"/>
          <w:szCs w:val="28"/>
          <w:lang w:val="en-US"/>
        </w:rPr>
        <w:t xml:space="preserve"> </w:t>
      </w:r>
      <w:r w:rsidRPr="00361A73">
        <w:rPr>
          <w:rFonts w:ascii="Times New Roman" w:hAnsi="Times New Roman" w:cs="Times New Roman"/>
          <w:i/>
          <w:color w:val="000000" w:themeColor="text1"/>
          <w:sz w:val="28"/>
          <w:szCs w:val="28"/>
          <w:lang w:val="fr-FR"/>
        </w:rPr>
        <w:t>de</w:t>
      </w:r>
      <w:r w:rsidRPr="00361A73">
        <w:rPr>
          <w:rFonts w:ascii="Times New Roman" w:hAnsi="Times New Roman" w:cs="Times New Roman"/>
          <w:i/>
          <w:color w:val="000000" w:themeColor="text1"/>
          <w:sz w:val="28"/>
          <w:szCs w:val="28"/>
          <w:lang w:val="en-US"/>
        </w:rPr>
        <w:t xml:space="preserve"> </w:t>
      </w:r>
      <w:r w:rsidRPr="00361A73">
        <w:rPr>
          <w:rFonts w:ascii="Times New Roman" w:hAnsi="Times New Roman" w:cs="Times New Roman"/>
          <w:i/>
          <w:color w:val="000000" w:themeColor="text1"/>
          <w:sz w:val="28"/>
          <w:szCs w:val="28"/>
          <w:lang w:val="fr-FR"/>
        </w:rPr>
        <w:t>Sa</w:t>
      </w:r>
      <w:r w:rsidRPr="00361A73">
        <w:rPr>
          <w:rFonts w:ascii="Times New Roman" w:hAnsi="Times New Roman" w:cs="Times New Roman"/>
          <w:i/>
          <w:color w:val="000000" w:themeColor="text1"/>
          <w:sz w:val="28"/>
          <w:szCs w:val="28"/>
          <w:lang w:val="en-US"/>
        </w:rPr>
        <w:t>ú</w:t>
      </w:r>
      <w:r w:rsidRPr="00361A73">
        <w:rPr>
          <w:rFonts w:ascii="Times New Roman" w:hAnsi="Times New Roman" w:cs="Times New Roman"/>
          <w:i/>
          <w:color w:val="000000" w:themeColor="text1"/>
          <w:sz w:val="28"/>
          <w:szCs w:val="28"/>
          <w:lang w:val="fr-FR"/>
        </w:rPr>
        <w:t>de</w:t>
      </w:r>
      <w:r w:rsidRPr="00361A73">
        <w:rPr>
          <w:rFonts w:ascii="Times New Roman" w:hAnsi="Times New Roman" w:cs="Times New Roman"/>
          <w:i/>
          <w:color w:val="000000" w:themeColor="text1"/>
          <w:sz w:val="28"/>
          <w:szCs w:val="28"/>
          <w:lang w:val="en-US"/>
        </w:rPr>
        <w:t xml:space="preserve"> 2003.</w:t>
      </w:r>
      <w:r w:rsidRPr="00361A73">
        <w:rPr>
          <w:rFonts w:ascii="Times New Roman" w:hAnsi="Times New Roman" w:cs="Times New Roman"/>
          <w:color w:val="000000" w:themeColor="text1"/>
          <w:sz w:val="28"/>
          <w:szCs w:val="28"/>
          <w:lang w:val="en-US"/>
        </w:rPr>
        <w:t xml:space="preserve"> </w:t>
      </w:r>
      <w:r w:rsidRPr="00361A73">
        <w:rPr>
          <w:rFonts w:ascii="Times New Roman" w:hAnsi="Times New Roman" w:cs="Times New Roman"/>
          <w:color w:val="000000" w:themeColor="text1"/>
          <w:sz w:val="28"/>
          <w:szCs w:val="28"/>
          <w:lang w:val="fr-FR"/>
        </w:rPr>
        <w:t>Instituto Nacional de Estatística Ministério da Saúde Maputo, Moçambique MEASURE DHS/ICF International.</w:t>
      </w:r>
    </w:p>
    <w:p w:rsidR="000D26B1" w:rsidRPr="00361A73" w:rsidRDefault="000D26B1" w:rsidP="00361A73">
      <w:pPr>
        <w:autoSpaceDE w:val="0"/>
        <w:autoSpaceDN w:val="0"/>
        <w:adjustRightInd w:val="0"/>
        <w:spacing w:after="0" w:line="360" w:lineRule="auto"/>
        <w:ind w:left="567" w:right="-143" w:hanging="567"/>
        <w:jc w:val="both"/>
        <w:rPr>
          <w:rFonts w:ascii="Times New Roman" w:hAnsi="Times New Roman" w:cs="Times New Roman"/>
          <w:color w:val="000000" w:themeColor="text1"/>
          <w:sz w:val="28"/>
          <w:szCs w:val="28"/>
          <w:lang w:val="fr-FR"/>
        </w:rPr>
      </w:pPr>
      <w:r w:rsidRPr="00361A73">
        <w:rPr>
          <w:rFonts w:ascii="Times New Roman" w:hAnsi="Times New Roman" w:cs="Times New Roman"/>
          <w:color w:val="000000" w:themeColor="text1"/>
          <w:sz w:val="28"/>
          <w:szCs w:val="28"/>
          <w:lang w:val="fr-FR"/>
        </w:rPr>
        <w:t xml:space="preserve">Instituto Nacional de Estatística, Ministério da Saúde [Moçambique]. </w:t>
      </w:r>
      <w:r w:rsidR="000618D6" w:rsidRPr="00361A73">
        <w:rPr>
          <w:rFonts w:ascii="Times New Roman" w:hAnsi="Times New Roman" w:cs="Times New Roman"/>
          <w:color w:val="000000" w:themeColor="text1"/>
          <w:sz w:val="28"/>
          <w:szCs w:val="28"/>
          <w:lang w:val="fr-FR"/>
        </w:rPr>
        <w:t xml:space="preserve">2012. </w:t>
      </w:r>
      <w:r w:rsidRPr="00361A73">
        <w:rPr>
          <w:rFonts w:ascii="Times New Roman" w:hAnsi="Times New Roman" w:cs="Times New Roman"/>
          <w:i/>
          <w:color w:val="000000" w:themeColor="text1"/>
          <w:sz w:val="28"/>
          <w:szCs w:val="28"/>
          <w:lang w:val="fr-FR"/>
        </w:rPr>
        <w:t>Moçambique Inquérito Demográfico e de Saúde 2011.</w:t>
      </w:r>
      <w:r w:rsidRPr="00361A73">
        <w:rPr>
          <w:rFonts w:ascii="Times New Roman" w:hAnsi="Times New Roman" w:cs="Times New Roman"/>
          <w:color w:val="000000" w:themeColor="text1"/>
          <w:sz w:val="28"/>
          <w:szCs w:val="28"/>
          <w:lang w:val="fr-FR"/>
        </w:rPr>
        <w:t xml:space="preserve"> Instituto Nacional de Estatística Ministério da Saúde Maputo, Moçambique MEASURE DHS/ICF International.</w:t>
      </w:r>
    </w:p>
    <w:p w:rsidR="00E32A13" w:rsidRPr="00361A73" w:rsidRDefault="00E32A13" w:rsidP="00361A73">
      <w:pPr>
        <w:autoSpaceDE w:val="0"/>
        <w:autoSpaceDN w:val="0"/>
        <w:adjustRightInd w:val="0"/>
        <w:spacing w:after="0" w:line="360" w:lineRule="auto"/>
        <w:ind w:left="567" w:right="-143" w:hanging="567"/>
        <w:jc w:val="both"/>
        <w:rPr>
          <w:rFonts w:ascii="Times New Roman" w:hAnsi="Times New Roman" w:cs="Times New Roman"/>
          <w:color w:val="000000" w:themeColor="text1"/>
          <w:sz w:val="28"/>
          <w:szCs w:val="28"/>
          <w:lang w:val="en-US"/>
        </w:rPr>
      </w:pPr>
      <w:proofErr w:type="spellStart"/>
      <w:proofErr w:type="gramStart"/>
      <w:r w:rsidRPr="00361A73">
        <w:rPr>
          <w:rFonts w:ascii="Times New Roman" w:hAnsi="Times New Roman" w:cs="Times New Roman"/>
          <w:bCs/>
          <w:color w:val="000000" w:themeColor="text1"/>
          <w:sz w:val="28"/>
          <w:szCs w:val="28"/>
          <w:lang w:val="en-US"/>
        </w:rPr>
        <w:t>Kreider</w:t>
      </w:r>
      <w:proofErr w:type="spellEnd"/>
      <w:r w:rsidRPr="00361A73">
        <w:rPr>
          <w:rFonts w:ascii="Times New Roman" w:hAnsi="Times New Roman" w:cs="Times New Roman"/>
          <w:bCs/>
          <w:color w:val="000000" w:themeColor="text1"/>
          <w:sz w:val="28"/>
          <w:szCs w:val="28"/>
          <w:lang w:val="en-US"/>
        </w:rPr>
        <w:t xml:space="preserve"> A., Shapiro D., Varner C., Sinha M. 2009.</w:t>
      </w:r>
      <w:proofErr w:type="gramEnd"/>
      <w:r w:rsidRPr="00361A73">
        <w:rPr>
          <w:rFonts w:ascii="Times New Roman" w:hAnsi="Times New Roman" w:cs="Times New Roman"/>
          <w:bCs/>
          <w:color w:val="000000" w:themeColor="text1"/>
          <w:sz w:val="28"/>
          <w:szCs w:val="28"/>
          <w:lang w:val="en-US"/>
        </w:rPr>
        <w:t xml:space="preserve"> Socioeconomic Progress and Fertility Transition in the Developing World: Evidence from the Demographic and Health Surveys. </w:t>
      </w:r>
      <w:r w:rsidRPr="00361A73">
        <w:rPr>
          <w:rFonts w:ascii="Times New Roman" w:hAnsi="Times New Roman" w:cs="Times New Roman"/>
          <w:color w:val="000000" w:themeColor="text1"/>
          <w:sz w:val="28"/>
          <w:szCs w:val="28"/>
          <w:lang w:val="en-US"/>
        </w:rPr>
        <w:t xml:space="preserve">Revised version of a paper presented at the International Union for the Scientific Study of Population International Population Conference, Marrakesh, Morocco, </w:t>
      </w:r>
      <w:proofErr w:type="gramStart"/>
      <w:r w:rsidRPr="00361A73">
        <w:rPr>
          <w:rFonts w:ascii="Times New Roman" w:hAnsi="Times New Roman" w:cs="Times New Roman"/>
          <w:color w:val="000000" w:themeColor="text1"/>
          <w:sz w:val="28"/>
          <w:szCs w:val="28"/>
          <w:lang w:val="en-US"/>
        </w:rPr>
        <w:t>September</w:t>
      </w:r>
      <w:proofErr w:type="gramEnd"/>
      <w:r w:rsidRPr="00361A73">
        <w:rPr>
          <w:rFonts w:ascii="Times New Roman" w:hAnsi="Times New Roman" w:cs="Times New Roman"/>
          <w:color w:val="000000" w:themeColor="text1"/>
          <w:sz w:val="28"/>
          <w:szCs w:val="28"/>
          <w:lang w:val="en-US"/>
        </w:rPr>
        <w:t xml:space="preserve"> 27-October 2, 2009.</w:t>
      </w:r>
    </w:p>
    <w:p w:rsidR="00AB0677" w:rsidRPr="00361A73" w:rsidRDefault="00AB0677" w:rsidP="00361A73">
      <w:pPr>
        <w:autoSpaceDE w:val="0"/>
        <w:autoSpaceDN w:val="0"/>
        <w:adjustRightInd w:val="0"/>
        <w:spacing w:after="0" w:line="360" w:lineRule="auto"/>
        <w:ind w:left="567" w:right="-143" w:hanging="567"/>
        <w:jc w:val="both"/>
        <w:rPr>
          <w:rFonts w:ascii="Times New Roman" w:hAnsi="Times New Roman" w:cs="Times New Roman"/>
          <w:color w:val="000000" w:themeColor="text1"/>
          <w:sz w:val="28"/>
          <w:szCs w:val="28"/>
          <w:lang w:val="en-US"/>
        </w:rPr>
      </w:pPr>
      <w:proofErr w:type="spellStart"/>
      <w:proofErr w:type="gramStart"/>
      <w:r w:rsidRPr="00361A73">
        <w:rPr>
          <w:rFonts w:ascii="Times New Roman" w:hAnsi="Times New Roman" w:cs="Times New Roman"/>
          <w:color w:val="000000" w:themeColor="text1"/>
          <w:sz w:val="28"/>
          <w:szCs w:val="28"/>
          <w:lang w:val="en-US"/>
        </w:rPr>
        <w:t>Raftery</w:t>
      </w:r>
      <w:proofErr w:type="spellEnd"/>
      <w:r w:rsidRPr="00361A73">
        <w:rPr>
          <w:rFonts w:ascii="Times New Roman" w:hAnsi="Times New Roman" w:cs="Times New Roman"/>
          <w:color w:val="000000" w:themeColor="text1"/>
          <w:sz w:val="28"/>
          <w:szCs w:val="28"/>
          <w:lang w:val="en-US"/>
        </w:rPr>
        <w:t xml:space="preserve">, A., </w:t>
      </w:r>
      <w:proofErr w:type="spellStart"/>
      <w:r w:rsidRPr="00361A73">
        <w:rPr>
          <w:rFonts w:ascii="Times New Roman" w:hAnsi="Times New Roman" w:cs="Times New Roman"/>
          <w:color w:val="000000" w:themeColor="text1"/>
          <w:sz w:val="28"/>
          <w:szCs w:val="28"/>
          <w:lang w:val="en-US"/>
        </w:rPr>
        <w:t>A</w:t>
      </w:r>
      <w:r w:rsidR="00027CEA" w:rsidRPr="00361A73">
        <w:rPr>
          <w:rFonts w:ascii="Times New Roman" w:hAnsi="Times New Roman" w:cs="Times New Roman"/>
          <w:color w:val="000000" w:themeColor="text1"/>
          <w:sz w:val="28"/>
          <w:szCs w:val="28"/>
          <w:lang w:val="en-US"/>
        </w:rPr>
        <w:t>lkema</w:t>
      </w:r>
      <w:proofErr w:type="spellEnd"/>
      <w:r w:rsidR="00027CEA" w:rsidRPr="00361A73">
        <w:rPr>
          <w:rFonts w:ascii="Times New Roman" w:hAnsi="Times New Roman" w:cs="Times New Roman"/>
          <w:color w:val="000000" w:themeColor="text1"/>
          <w:sz w:val="28"/>
          <w:szCs w:val="28"/>
          <w:lang w:val="en-US"/>
        </w:rPr>
        <w:t xml:space="preserve">, L., and </w:t>
      </w:r>
      <w:proofErr w:type="spellStart"/>
      <w:r w:rsidR="00027CEA" w:rsidRPr="00361A73">
        <w:rPr>
          <w:rFonts w:ascii="Times New Roman" w:hAnsi="Times New Roman" w:cs="Times New Roman"/>
          <w:color w:val="000000" w:themeColor="text1"/>
          <w:sz w:val="28"/>
          <w:szCs w:val="28"/>
          <w:lang w:val="en-US"/>
        </w:rPr>
        <w:t>Gerland</w:t>
      </w:r>
      <w:proofErr w:type="spellEnd"/>
      <w:r w:rsidR="00027CEA" w:rsidRPr="00361A73">
        <w:rPr>
          <w:rFonts w:ascii="Times New Roman" w:hAnsi="Times New Roman" w:cs="Times New Roman"/>
          <w:color w:val="000000" w:themeColor="text1"/>
          <w:sz w:val="28"/>
          <w:szCs w:val="28"/>
          <w:lang w:val="en-US"/>
        </w:rPr>
        <w:t>, P. (2014</w:t>
      </w:r>
      <w:r w:rsidRPr="00361A73">
        <w:rPr>
          <w:rFonts w:ascii="Times New Roman" w:hAnsi="Times New Roman" w:cs="Times New Roman"/>
          <w:color w:val="000000" w:themeColor="text1"/>
          <w:sz w:val="28"/>
          <w:szCs w:val="28"/>
          <w:lang w:val="en-US"/>
        </w:rPr>
        <w:t>).</w:t>
      </w:r>
      <w:proofErr w:type="gramEnd"/>
      <w:r w:rsidRPr="00361A73">
        <w:rPr>
          <w:rFonts w:ascii="Times New Roman" w:hAnsi="Times New Roman" w:cs="Times New Roman"/>
          <w:color w:val="000000" w:themeColor="text1"/>
          <w:sz w:val="28"/>
          <w:szCs w:val="28"/>
          <w:lang w:val="en-US"/>
        </w:rPr>
        <w:t xml:space="preserve"> </w:t>
      </w:r>
      <w:proofErr w:type="gramStart"/>
      <w:r w:rsidRPr="00361A73">
        <w:rPr>
          <w:rFonts w:ascii="Times New Roman" w:hAnsi="Times New Roman" w:cs="Times New Roman"/>
          <w:color w:val="000000" w:themeColor="text1"/>
          <w:sz w:val="28"/>
          <w:szCs w:val="28"/>
          <w:lang w:val="en-US"/>
        </w:rPr>
        <w:t>Bayesian population projections for the United Nations.</w:t>
      </w:r>
      <w:proofErr w:type="gramEnd"/>
      <w:r w:rsidRPr="00361A73">
        <w:rPr>
          <w:rFonts w:ascii="Times New Roman" w:hAnsi="Times New Roman" w:cs="Times New Roman"/>
          <w:color w:val="000000" w:themeColor="text1"/>
          <w:sz w:val="28"/>
          <w:szCs w:val="28"/>
          <w:lang w:val="en-US"/>
        </w:rPr>
        <w:t xml:space="preserve"> Statistical Science 29/1: 58 – 68.</w:t>
      </w:r>
    </w:p>
    <w:p w:rsidR="00C21B30" w:rsidRPr="00361A73" w:rsidRDefault="00C21B30" w:rsidP="00361A73">
      <w:pPr>
        <w:autoSpaceDE w:val="0"/>
        <w:autoSpaceDN w:val="0"/>
        <w:adjustRightInd w:val="0"/>
        <w:spacing w:after="0" w:line="360" w:lineRule="auto"/>
        <w:ind w:left="567" w:right="-143" w:hanging="567"/>
        <w:jc w:val="both"/>
        <w:rPr>
          <w:rFonts w:ascii="Times New Roman" w:hAnsi="Times New Roman" w:cs="Times New Roman"/>
          <w:sz w:val="28"/>
          <w:szCs w:val="28"/>
          <w:lang w:val="en-US"/>
        </w:rPr>
      </w:pPr>
      <w:r w:rsidRPr="00361A73">
        <w:rPr>
          <w:rFonts w:ascii="Times New Roman" w:hAnsi="Times New Roman" w:cs="Times New Roman"/>
          <w:color w:val="000000" w:themeColor="text1"/>
          <w:sz w:val="28"/>
          <w:szCs w:val="28"/>
          <w:lang w:val="en-US"/>
        </w:rPr>
        <w:t xml:space="preserve">Shapiro D., </w:t>
      </w:r>
      <w:proofErr w:type="spellStart"/>
      <w:r w:rsidRPr="00361A73">
        <w:rPr>
          <w:rFonts w:ascii="Times New Roman" w:hAnsi="Times New Roman" w:cs="Times New Roman"/>
          <w:color w:val="000000" w:themeColor="text1"/>
          <w:sz w:val="28"/>
          <w:szCs w:val="28"/>
          <w:lang w:val="en-US"/>
        </w:rPr>
        <w:t>Gebreselassie</w:t>
      </w:r>
      <w:proofErr w:type="spellEnd"/>
      <w:r w:rsidRPr="00361A73">
        <w:rPr>
          <w:rFonts w:ascii="Times New Roman" w:hAnsi="Times New Roman" w:cs="Times New Roman"/>
          <w:color w:val="000000" w:themeColor="text1"/>
          <w:sz w:val="28"/>
          <w:szCs w:val="28"/>
          <w:lang w:val="en-US"/>
        </w:rPr>
        <w:t xml:space="preserve"> T. 2008</w:t>
      </w:r>
      <w:r w:rsidR="00E32A13" w:rsidRPr="00361A73">
        <w:rPr>
          <w:rFonts w:ascii="Times New Roman" w:hAnsi="Times New Roman" w:cs="Times New Roman"/>
          <w:color w:val="000000" w:themeColor="text1"/>
          <w:sz w:val="28"/>
          <w:szCs w:val="28"/>
          <w:lang w:val="en-US"/>
        </w:rPr>
        <w:t xml:space="preserve">. Fertility transition in sub-Saharan Africa: </w:t>
      </w:r>
      <w:r w:rsidR="00E32A13" w:rsidRPr="00361A73">
        <w:rPr>
          <w:rFonts w:ascii="Times New Roman" w:hAnsi="Times New Roman" w:cs="Times New Roman"/>
          <w:sz w:val="28"/>
          <w:szCs w:val="28"/>
          <w:lang w:val="en-US"/>
        </w:rPr>
        <w:t xml:space="preserve">falling and stalling. </w:t>
      </w:r>
      <w:r w:rsidR="00E32A13" w:rsidRPr="00361A73">
        <w:rPr>
          <w:rFonts w:ascii="Times New Roman" w:hAnsi="Times New Roman" w:cs="Times New Roman"/>
          <w:i/>
          <w:sz w:val="28"/>
          <w:szCs w:val="28"/>
          <w:lang w:val="en-US"/>
        </w:rPr>
        <w:t xml:space="preserve">Afr. </w:t>
      </w:r>
      <w:proofErr w:type="spellStart"/>
      <w:r w:rsidR="00E32A13" w:rsidRPr="00361A73">
        <w:rPr>
          <w:rFonts w:ascii="Times New Roman" w:hAnsi="Times New Roman" w:cs="Times New Roman"/>
          <w:i/>
          <w:sz w:val="28"/>
          <w:szCs w:val="28"/>
          <w:lang w:val="en-US"/>
        </w:rPr>
        <w:t>Popul</w:t>
      </w:r>
      <w:proofErr w:type="spellEnd"/>
      <w:r w:rsidR="00E32A13" w:rsidRPr="00361A73">
        <w:rPr>
          <w:rFonts w:ascii="Times New Roman" w:hAnsi="Times New Roman" w:cs="Times New Roman"/>
          <w:i/>
          <w:sz w:val="28"/>
          <w:szCs w:val="28"/>
          <w:lang w:val="en-US"/>
        </w:rPr>
        <w:t>. Stud.</w:t>
      </w:r>
      <w:r w:rsidR="00E32A13" w:rsidRPr="00361A73">
        <w:rPr>
          <w:rFonts w:ascii="Times New Roman" w:hAnsi="Times New Roman" w:cs="Times New Roman"/>
          <w:sz w:val="28"/>
          <w:szCs w:val="28"/>
          <w:lang w:val="en-US"/>
        </w:rPr>
        <w:t xml:space="preserve"> 23, 3–23.</w:t>
      </w:r>
    </w:p>
    <w:p w:rsidR="00C21B30" w:rsidRPr="00361A73" w:rsidRDefault="00C21B30" w:rsidP="00361A73">
      <w:pPr>
        <w:autoSpaceDE w:val="0"/>
        <w:autoSpaceDN w:val="0"/>
        <w:adjustRightInd w:val="0"/>
        <w:spacing w:after="0" w:line="360" w:lineRule="auto"/>
        <w:ind w:left="567" w:right="-143" w:hanging="567"/>
        <w:jc w:val="both"/>
        <w:rPr>
          <w:rFonts w:ascii="Times New Roman" w:hAnsi="Times New Roman" w:cs="Times New Roman"/>
          <w:sz w:val="28"/>
          <w:szCs w:val="28"/>
          <w:lang w:val="en-US"/>
        </w:rPr>
      </w:pPr>
      <w:proofErr w:type="gramStart"/>
      <w:r w:rsidRPr="00361A73">
        <w:rPr>
          <w:rFonts w:ascii="Times New Roman" w:hAnsi="Times New Roman" w:cs="Times New Roman"/>
          <w:sz w:val="28"/>
          <w:szCs w:val="28"/>
          <w:lang w:val="en-US"/>
        </w:rPr>
        <w:t>UN Population Division.</w:t>
      </w:r>
      <w:proofErr w:type="gramEnd"/>
      <w:r w:rsidRPr="00361A73">
        <w:rPr>
          <w:rFonts w:ascii="Times New Roman" w:hAnsi="Times New Roman" w:cs="Times New Roman"/>
          <w:sz w:val="28"/>
          <w:szCs w:val="28"/>
          <w:lang w:val="en-US"/>
        </w:rPr>
        <w:t xml:space="preserve"> 2001. </w:t>
      </w:r>
      <w:r w:rsidRPr="00361A73">
        <w:rPr>
          <w:rFonts w:ascii="Times New Roman" w:hAnsi="Times New Roman" w:cs="Times New Roman"/>
          <w:i/>
          <w:sz w:val="28"/>
          <w:szCs w:val="28"/>
          <w:lang w:val="en-US"/>
        </w:rPr>
        <w:t xml:space="preserve">World Population Prospects. </w:t>
      </w:r>
      <w:proofErr w:type="gramStart"/>
      <w:r w:rsidRPr="00361A73">
        <w:rPr>
          <w:rFonts w:ascii="Times New Roman" w:hAnsi="Times New Roman" w:cs="Times New Roman"/>
          <w:i/>
          <w:sz w:val="28"/>
          <w:szCs w:val="28"/>
          <w:lang w:val="en-US"/>
        </w:rPr>
        <w:t>The 2000 Revision.</w:t>
      </w:r>
      <w:proofErr w:type="gramEnd"/>
      <w:r w:rsidRPr="00361A73">
        <w:rPr>
          <w:rFonts w:ascii="Times New Roman" w:hAnsi="Times New Roman" w:cs="Times New Roman"/>
          <w:i/>
          <w:sz w:val="28"/>
          <w:szCs w:val="28"/>
          <w:lang w:val="en-US"/>
        </w:rPr>
        <w:t xml:space="preserve"> </w:t>
      </w:r>
      <w:r w:rsidRPr="00361A73">
        <w:rPr>
          <w:rFonts w:ascii="Times New Roman" w:hAnsi="Times New Roman" w:cs="Times New Roman"/>
          <w:sz w:val="28"/>
          <w:szCs w:val="28"/>
          <w:lang w:val="en-US"/>
        </w:rPr>
        <w:t xml:space="preserve">New York, NY: United Nations. </w:t>
      </w:r>
    </w:p>
    <w:p w:rsidR="00464B6C" w:rsidRPr="00E45E57" w:rsidRDefault="00C21B30" w:rsidP="00361A73">
      <w:pPr>
        <w:spacing w:after="0" w:line="360" w:lineRule="auto"/>
        <w:ind w:left="567" w:hanging="567"/>
        <w:jc w:val="both"/>
        <w:rPr>
          <w:rFonts w:ascii="Times New Roman" w:hAnsi="Times New Roman" w:cs="Times New Roman"/>
          <w:sz w:val="28"/>
          <w:szCs w:val="28"/>
          <w:lang w:val="en-US"/>
        </w:rPr>
      </w:pPr>
      <w:r w:rsidRPr="00361A73">
        <w:rPr>
          <w:rFonts w:ascii="Times New Roman" w:hAnsi="Times New Roman" w:cs="Times New Roman"/>
          <w:sz w:val="28"/>
          <w:szCs w:val="28"/>
          <w:lang w:val="fr-FR"/>
        </w:rPr>
        <w:t>UN Population Division. 2013</w:t>
      </w:r>
      <w:r w:rsidR="00785D09" w:rsidRPr="00361A73">
        <w:rPr>
          <w:rFonts w:ascii="Times New Roman" w:hAnsi="Times New Roman" w:cs="Times New Roman"/>
          <w:sz w:val="28"/>
          <w:szCs w:val="28"/>
          <w:lang w:val="fr-FR"/>
        </w:rPr>
        <w:t xml:space="preserve">. ‘United Nations. </w:t>
      </w:r>
      <w:proofErr w:type="gramStart"/>
      <w:r w:rsidR="00785D09" w:rsidRPr="00361A73">
        <w:rPr>
          <w:rStyle w:val="2"/>
          <w:rFonts w:ascii="Times New Roman" w:hAnsi="Times New Roman" w:cs="Times New Roman"/>
          <w:color w:val="auto"/>
          <w:sz w:val="28"/>
          <w:szCs w:val="28"/>
          <w:u w:val="none"/>
          <w:lang w:val="en-US"/>
        </w:rPr>
        <w:t>Department of Economic and Social Affairs</w:t>
      </w:r>
      <w:r w:rsidR="00785D09" w:rsidRPr="00361A73">
        <w:rPr>
          <w:rFonts w:ascii="Times New Roman" w:hAnsi="Times New Roman" w:cs="Times New Roman"/>
          <w:sz w:val="28"/>
          <w:szCs w:val="28"/>
          <w:lang w:val="en-US"/>
        </w:rPr>
        <w:t>.</w:t>
      </w:r>
      <w:proofErr w:type="gramEnd"/>
      <w:r w:rsidR="00785D09" w:rsidRPr="00361A73">
        <w:rPr>
          <w:rFonts w:ascii="Times New Roman" w:hAnsi="Times New Roman" w:cs="Times New Roman"/>
          <w:sz w:val="28"/>
          <w:szCs w:val="28"/>
          <w:lang w:val="en-US"/>
        </w:rPr>
        <w:t xml:space="preserve"> </w:t>
      </w:r>
      <w:proofErr w:type="gramStart"/>
      <w:r w:rsidR="00785D09" w:rsidRPr="00361A73">
        <w:rPr>
          <w:rFonts w:ascii="Times New Roman" w:hAnsi="Times New Roman" w:cs="Times New Roman"/>
          <w:sz w:val="28"/>
          <w:szCs w:val="28"/>
          <w:lang w:val="en-US"/>
        </w:rPr>
        <w:t>Population Division Database.</w:t>
      </w:r>
      <w:proofErr w:type="gramEnd"/>
      <w:r w:rsidR="00785D09" w:rsidRPr="00361A73">
        <w:rPr>
          <w:rFonts w:ascii="Times New Roman" w:hAnsi="Times New Roman" w:cs="Times New Roman"/>
          <w:sz w:val="28"/>
          <w:szCs w:val="28"/>
          <w:lang w:val="en-US"/>
        </w:rPr>
        <w:t xml:space="preserve"> </w:t>
      </w:r>
      <w:proofErr w:type="gramStart"/>
      <w:r w:rsidR="00785D09" w:rsidRPr="00361A73">
        <w:rPr>
          <w:rFonts w:ascii="Times New Roman" w:hAnsi="Times New Roman" w:cs="Times New Roman"/>
          <w:sz w:val="28"/>
          <w:szCs w:val="28"/>
          <w:lang w:val="en-US"/>
        </w:rPr>
        <w:t>World Population Prospects’, available at &lt;http://www.un.org/esa/population&gt;.</w:t>
      </w:r>
      <w:proofErr w:type="gramEnd"/>
      <w:r w:rsidRPr="00361A73">
        <w:rPr>
          <w:rFonts w:ascii="Times New Roman" w:hAnsi="Times New Roman" w:cs="Times New Roman"/>
          <w:sz w:val="28"/>
          <w:szCs w:val="28"/>
          <w:lang w:val="en-US"/>
        </w:rPr>
        <w:t xml:space="preserve"> </w:t>
      </w:r>
    </w:p>
    <w:p w:rsidR="00C21B30" w:rsidRPr="00F50B65" w:rsidRDefault="00F50B65" w:rsidP="00F50B65">
      <w:pPr>
        <w:spacing w:after="0" w:line="360" w:lineRule="auto"/>
        <w:ind w:left="567" w:hanging="567"/>
        <w:jc w:val="both"/>
        <w:rPr>
          <w:rFonts w:ascii="Times New Roman" w:hAnsi="Times New Roman" w:cs="Times New Roman"/>
          <w:spacing w:val="-4"/>
          <w:sz w:val="28"/>
          <w:szCs w:val="28"/>
          <w:lang w:val="en-US"/>
        </w:rPr>
      </w:pPr>
      <w:proofErr w:type="gramStart"/>
      <w:r>
        <w:rPr>
          <w:rFonts w:ascii="Times New Roman" w:hAnsi="Times New Roman" w:cs="Times New Roman"/>
          <w:sz w:val="28"/>
          <w:szCs w:val="28"/>
          <w:lang w:val="en-US"/>
        </w:rPr>
        <w:t>World Bank.</w:t>
      </w:r>
      <w:proofErr w:type="gramEnd"/>
      <w:r>
        <w:rPr>
          <w:rFonts w:ascii="Times New Roman" w:hAnsi="Times New Roman" w:cs="Times New Roman"/>
          <w:sz w:val="28"/>
          <w:szCs w:val="28"/>
          <w:lang w:val="en-US"/>
        </w:rPr>
        <w:t xml:space="preserve"> 2014. ‘World Development Indicators. </w:t>
      </w:r>
      <w:proofErr w:type="gramStart"/>
      <w:r>
        <w:rPr>
          <w:rFonts w:ascii="Times New Roman" w:hAnsi="Times New Roman" w:cs="Times New Roman"/>
          <w:sz w:val="28"/>
          <w:szCs w:val="28"/>
          <w:lang w:val="en-US"/>
        </w:rPr>
        <w:t xml:space="preserve">Fertility rate, total (births per </w:t>
      </w:r>
      <w:r w:rsidRPr="00F50B65">
        <w:rPr>
          <w:rFonts w:ascii="Times New Roman" w:hAnsi="Times New Roman" w:cs="Times New Roman"/>
          <w:spacing w:val="-4"/>
          <w:sz w:val="28"/>
          <w:szCs w:val="28"/>
          <w:lang w:val="en-US"/>
        </w:rPr>
        <w:t>woman)’, available at &lt;</w:t>
      </w:r>
      <w:r w:rsidRPr="00F50B65">
        <w:rPr>
          <w:spacing w:val="-4"/>
          <w:lang w:val="en-US"/>
        </w:rPr>
        <w:t xml:space="preserve"> </w:t>
      </w:r>
      <w:r w:rsidRPr="00F50B65">
        <w:rPr>
          <w:rFonts w:ascii="Times New Roman" w:hAnsi="Times New Roman" w:cs="Times New Roman"/>
          <w:spacing w:val="-4"/>
          <w:sz w:val="28"/>
          <w:szCs w:val="28"/>
          <w:lang w:val="en-US"/>
        </w:rPr>
        <w:t>http://data.worldbank.org/indicator/SP.DYN.TFRT.IN&gt;.</w:t>
      </w:r>
      <w:proofErr w:type="gramEnd"/>
    </w:p>
    <w:sectPr w:rsidR="00C21B30" w:rsidRPr="00F50B65" w:rsidSect="004332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C5" w:rsidRDefault="00DE2FC5" w:rsidP="00ED58F2">
      <w:pPr>
        <w:spacing w:after="0" w:line="240" w:lineRule="auto"/>
      </w:pPr>
      <w:r>
        <w:separator/>
      </w:r>
    </w:p>
  </w:endnote>
  <w:endnote w:type="continuationSeparator" w:id="0">
    <w:p w:rsidR="00DE2FC5" w:rsidRDefault="00DE2FC5" w:rsidP="00ED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C5" w:rsidRDefault="00DE2FC5" w:rsidP="00ED58F2">
      <w:pPr>
        <w:spacing w:after="0" w:line="240" w:lineRule="auto"/>
      </w:pPr>
      <w:r>
        <w:separator/>
      </w:r>
    </w:p>
  </w:footnote>
  <w:footnote w:type="continuationSeparator" w:id="0">
    <w:p w:rsidR="00DE2FC5" w:rsidRDefault="00DE2FC5" w:rsidP="00ED58F2">
      <w:pPr>
        <w:spacing w:after="0" w:line="240" w:lineRule="auto"/>
      </w:pPr>
      <w:r>
        <w:continuationSeparator/>
      </w:r>
    </w:p>
  </w:footnote>
  <w:footnote w:id="1">
    <w:p w:rsidR="00CF33D9" w:rsidRPr="00F50B65" w:rsidRDefault="00CF33D9" w:rsidP="00F77DBC">
      <w:pPr>
        <w:pStyle w:val="a6"/>
        <w:jc w:val="both"/>
        <w:rPr>
          <w:rFonts w:ascii="Times New Roman" w:hAnsi="Times New Roman" w:cs="Times New Roman"/>
          <w:sz w:val="24"/>
          <w:szCs w:val="24"/>
          <w:lang w:val="en-US"/>
        </w:rPr>
      </w:pPr>
      <w:r w:rsidRPr="00A223AB">
        <w:rPr>
          <w:rStyle w:val="a8"/>
          <w:rFonts w:ascii="Times New Roman" w:hAnsi="Times New Roman" w:cs="Times New Roman"/>
          <w:sz w:val="24"/>
          <w:szCs w:val="24"/>
        </w:rPr>
        <w:footnoteRef/>
      </w:r>
      <w:r w:rsidRPr="00A223AB">
        <w:rPr>
          <w:rFonts w:ascii="Times New Roman" w:hAnsi="Times New Roman" w:cs="Times New Roman"/>
          <w:sz w:val="24"/>
          <w:szCs w:val="24"/>
          <w:lang w:val="en-US"/>
        </w:rPr>
        <w:t xml:space="preserve"> From now on we will be using this term to denote the region of Sub-Saharan Africa minus the Southern African countries (South Africa, Botswana, Lesotho, Namibia, Swaziland, and </w:t>
      </w:r>
      <w:r w:rsidRPr="00F50B65">
        <w:rPr>
          <w:rFonts w:ascii="Times New Roman" w:hAnsi="Times New Roman" w:cs="Times New Roman"/>
          <w:sz w:val="24"/>
          <w:szCs w:val="24"/>
          <w:lang w:val="en-US"/>
        </w:rPr>
        <w:t xml:space="preserve">Zimbabwe). These countries should be treated as forming a very specific sub-region, which is much more modernized in many aspects, including the demographic dynamics, than the typical Tropical African countries. </w:t>
      </w:r>
    </w:p>
  </w:footnote>
  <w:footnote w:id="2">
    <w:p w:rsidR="00F50B65" w:rsidRPr="00F50B65" w:rsidRDefault="00F50B65" w:rsidP="00F50B65">
      <w:pPr>
        <w:pStyle w:val="a6"/>
        <w:jc w:val="both"/>
        <w:rPr>
          <w:lang w:val="en-US"/>
        </w:rPr>
      </w:pPr>
      <w:r w:rsidRPr="00F50B65">
        <w:rPr>
          <w:rStyle w:val="a8"/>
          <w:rFonts w:ascii="Times New Roman" w:hAnsi="Times New Roman" w:cs="Times New Roman"/>
          <w:sz w:val="24"/>
          <w:szCs w:val="24"/>
        </w:rPr>
        <w:footnoteRef/>
      </w:r>
      <w:r w:rsidRPr="00F50B65">
        <w:rPr>
          <w:rFonts w:ascii="Times New Roman" w:hAnsi="Times New Roman" w:cs="Times New Roman"/>
          <w:sz w:val="24"/>
          <w:szCs w:val="24"/>
          <w:lang w:val="en-US"/>
        </w:rPr>
        <w:t xml:space="preserve"> TFR = total fertility rate represents the number of children that would be born to a woman if she were to live to the end of her childbearing years and bear children in accordance with current age-specific fertility rates (World Bank 2014: SP.DYN.TFRT.IN).</w:t>
      </w:r>
    </w:p>
  </w:footnote>
  <w:footnote w:id="3">
    <w:p w:rsidR="00CF33D9" w:rsidRPr="007C467C" w:rsidRDefault="00CF33D9" w:rsidP="00273652">
      <w:pPr>
        <w:pStyle w:val="a6"/>
        <w:jc w:val="both"/>
        <w:rPr>
          <w:rFonts w:ascii="Times New Roman" w:hAnsi="Times New Roman" w:cs="Times New Roman"/>
          <w:sz w:val="24"/>
          <w:szCs w:val="24"/>
          <w:lang w:val="en-US"/>
        </w:rPr>
      </w:pPr>
      <w:r w:rsidRPr="00BB13E4">
        <w:rPr>
          <w:rStyle w:val="a8"/>
          <w:rFonts w:ascii="Times New Roman" w:hAnsi="Times New Roman" w:cs="Times New Roman"/>
          <w:sz w:val="24"/>
          <w:szCs w:val="24"/>
        </w:rPr>
        <w:footnoteRef/>
      </w:r>
      <w:r w:rsidRPr="007C467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Though</w:t>
      </w:r>
      <w:r w:rsidRPr="007C467C">
        <w:rPr>
          <w:rFonts w:ascii="Times New Roman" w:hAnsi="Times New Roman" w:cs="Times New Roman"/>
          <w:sz w:val="24"/>
          <w:szCs w:val="24"/>
          <w:lang w:val="en-US"/>
        </w:rPr>
        <w:t xml:space="preserve"> </w:t>
      </w:r>
      <w:r>
        <w:rPr>
          <w:rFonts w:ascii="Times New Roman" w:hAnsi="Times New Roman" w:cs="Times New Roman"/>
          <w:sz w:val="24"/>
          <w:szCs w:val="24"/>
          <w:lang w:val="en-US"/>
        </w:rPr>
        <w:t>such</w:t>
      </w:r>
      <w:r w:rsidRPr="007C467C">
        <w:rPr>
          <w:rFonts w:ascii="Times New Roman" w:hAnsi="Times New Roman" w:cs="Times New Roman"/>
          <w:sz w:val="24"/>
          <w:szCs w:val="24"/>
          <w:lang w:val="en-US"/>
        </w:rPr>
        <w:t xml:space="preserve"> </w:t>
      </w:r>
      <w:r>
        <w:rPr>
          <w:rFonts w:ascii="Times New Roman" w:hAnsi="Times New Roman" w:cs="Times New Roman"/>
          <w:sz w:val="24"/>
          <w:szCs w:val="24"/>
          <w:lang w:val="en-US"/>
        </w:rPr>
        <w:t>population growth is still very fast.</w:t>
      </w:r>
      <w:proofErr w:type="gramEnd"/>
      <w:r>
        <w:rPr>
          <w:rFonts w:ascii="Times New Roman" w:hAnsi="Times New Roman" w:cs="Times New Roman"/>
          <w:sz w:val="24"/>
          <w:szCs w:val="24"/>
          <w:lang w:val="en-US"/>
        </w:rPr>
        <w:t xml:space="preserve"> </w:t>
      </w:r>
    </w:p>
  </w:footnote>
  <w:footnote w:id="4">
    <w:p w:rsidR="00635025" w:rsidRPr="00A223AB" w:rsidRDefault="00635025" w:rsidP="00635025">
      <w:pPr>
        <w:pStyle w:val="a6"/>
        <w:jc w:val="both"/>
        <w:rPr>
          <w:rFonts w:ascii="Times New Roman" w:hAnsi="Times New Roman" w:cs="Times New Roman"/>
          <w:sz w:val="24"/>
          <w:szCs w:val="24"/>
          <w:lang w:val="en-US"/>
        </w:rPr>
      </w:pPr>
      <w:r w:rsidRPr="00A223AB">
        <w:rPr>
          <w:rStyle w:val="a8"/>
          <w:rFonts w:ascii="Times New Roman" w:hAnsi="Times New Roman" w:cs="Times New Roman"/>
          <w:sz w:val="24"/>
          <w:szCs w:val="24"/>
        </w:rPr>
        <w:footnoteRef/>
      </w:r>
      <w:r w:rsidRPr="00A223AB">
        <w:rPr>
          <w:rFonts w:ascii="Times New Roman" w:hAnsi="Times New Roman" w:cs="Times New Roman"/>
          <w:sz w:val="24"/>
          <w:szCs w:val="24"/>
          <w:lang w:val="en-US"/>
        </w:rPr>
        <w:t xml:space="preserve"> Achieving the Iranian pace of fertility decline is a very challenging task, but is still achievable in Tropical Africa – as the latest experience of Rwanda convincingly proves.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85F"/>
    <w:multiLevelType w:val="hybridMultilevel"/>
    <w:tmpl w:val="C114A6AC"/>
    <w:lvl w:ilvl="0" w:tplc="A7C82A60">
      <w:start w:val="1"/>
      <w:numFmt w:val="bullet"/>
      <w:pStyle w:val="a"/>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5"/>
    <w:rsid w:val="00014918"/>
    <w:rsid w:val="00015BE3"/>
    <w:rsid w:val="00027CEA"/>
    <w:rsid w:val="000402D7"/>
    <w:rsid w:val="000445A1"/>
    <w:rsid w:val="00052726"/>
    <w:rsid w:val="000545F5"/>
    <w:rsid w:val="000618D6"/>
    <w:rsid w:val="00087744"/>
    <w:rsid w:val="00091201"/>
    <w:rsid w:val="000D26B1"/>
    <w:rsid w:val="000E505A"/>
    <w:rsid w:val="000F1C11"/>
    <w:rsid w:val="000F3F82"/>
    <w:rsid w:val="00110B09"/>
    <w:rsid w:val="00115225"/>
    <w:rsid w:val="00116A79"/>
    <w:rsid w:val="00125F37"/>
    <w:rsid w:val="00133392"/>
    <w:rsid w:val="0013724D"/>
    <w:rsid w:val="00140FA2"/>
    <w:rsid w:val="0014232A"/>
    <w:rsid w:val="00147E21"/>
    <w:rsid w:val="0016502E"/>
    <w:rsid w:val="001666F2"/>
    <w:rsid w:val="00167808"/>
    <w:rsid w:val="00167E3A"/>
    <w:rsid w:val="001709C3"/>
    <w:rsid w:val="001814D1"/>
    <w:rsid w:val="00191726"/>
    <w:rsid w:val="00196C84"/>
    <w:rsid w:val="001A0CE9"/>
    <w:rsid w:val="001A4C38"/>
    <w:rsid w:val="001B5B3E"/>
    <w:rsid w:val="001B6AF1"/>
    <w:rsid w:val="001E028B"/>
    <w:rsid w:val="001E7658"/>
    <w:rsid w:val="00205527"/>
    <w:rsid w:val="00216A51"/>
    <w:rsid w:val="00223634"/>
    <w:rsid w:val="0023290D"/>
    <w:rsid w:val="0024242C"/>
    <w:rsid w:val="00243BE9"/>
    <w:rsid w:val="00260AB1"/>
    <w:rsid w:val="0026287A"/>
    <w:rsid w:val="00270E35"/>
    <w:rsid w:val="00273652"/>
    <w:rsid w:val="00290521"/>
    <w:rsid w:val="002A5746"/>
    <w:rsid w:val="002B5062"/>
    <w:rsid w:val="002D2377"/>
    <w:rsid w:val="002D6F33"/>
    <w:rsid w:val="002E0208"/>
    <w:rsid w:val="002E0E6E"/>
    <w:rsid w:val="002E35FC"/>
    <w:rsid w:val="002E4ECD"/>
    <w:rsid w:val="002F09F0"/>
    <w:rsid w:val="002F0B79"/>
    <w:rsid w:val="002F5ABB"/>
    <w:rsid w:val="00302363"/>
    <w:rsid w:val="0031375C"/>
    <w:rsid w:val="00316A23"/>
    <w:rsid w:val="00321185"/>
    <w:rsid w:val="00335814"/>
    <w:rsid w:val="00344D17"/>
    <w:rsid w:val="003450CD"/>
    <w:rsid w:val="00350DE6"/>
    <w:rsid w:val="00361A73"/>
    <w:rsid w:val="0037450F"/>
    <w:rsid w:val="00376A56"/>
    <w:rsid w:val="0039168A"/>
    <w:rsid w:val="00393183"/>
    <w:rsid w:val="003A77F7"/>
    <w:rsid w:val="003C0A71"/>
    <w:rsid w:val="003C4730"/>
    <w:rsid w:val="003C72F4"/>
    <w:rsid w:val="003F3B8C"/>
    <w:rsid w:val="00400C87"/>
    <w:rsid w:val="0042597F"/>
    <w:rsid w:val="0043327D"/>
    <w:rsid w:val="004407F7"/>
    <w:rsid w:val="00447322"/>
    <w:rsid w:val="00454617"/>
    <w:rsid w:val="00464B6C"/>
    <w:rsid w:val="00476BE4"/>
    <w:rsid w:val="004771B8"/>
    <w:rsid w:val="00483268"/>
    <w:rsid w:val="004A14C5"/>
    <w:rsid w:val="004C2EA1"/>
    <w:rsid w:val="004C2F41"/>
    <w:rsid w:val="004D4A6C"/>
    <w:rsid w:val="004E338D"/>
    <w:rsid w:val="005153EC"/>
    <w:rsid w:val="005238B2"/>
    <w:rsid w:val="005324C5"/>
    <w:rsid w:val="00532B46"/>
    <w:rsid w:val="00546A02"/>
    <w:rsid w:val="005728D4"/>
    <w:rsid w:val="005A49E1"/>
    <w:rsid w:val="005A5604"/>
    <w:rsid w:val="005A777C"/>
    <w:rsid w:val="005B2C2F"/>
    <w:rsid w:val="005C5CFA"/>
    <w:rsid w:val="005E279E"/>
    <w:rsid w:val="005E5164"/>
    <w:rsid w:val="00604572"/>
    <w:rsid w:val="0062378C"/>
    <w:rsid w:val="00623FA0"/>
    <w:rsid w:val="006253EB"/>
    <w:rsid w:val="006274B9"/>
    <w:rsid w:val="00635025"/>
    <w:rsid w:val="00635E06"/>
    <w:rsid w:val="00655761"/>
    <w:rsid w:val="00670C4A"/>
    <w:rsid w:val="006825B4"/>
    <w:rsid w:val="006D776F"/>
    <w:rsid w:val="006E0804"/>
    <w:rsid w:val="007257B4"/>
    <w:rsid w:val="00733A44"/>
    <w:rsid w:val="00741853"/>
    <w:rsid w:val="00744F97"/>
    <w:rsid w:val="0075690F"/>
    <w:rsid w:val="00775D65"/>
    <w:rsid w:val="00785D09"/>
    <w:rsid w:val="00795F08"/>
    <w:rsid w:val="007A061D"/>
    <w:rsid w:val="007A2D7E"/>
    <w:rsid w:val="007C467C"/>
    <w:rsid w:val="007D02F6"/>
    <w:rsid w:val="007D38EB"/>
    <w:rsid w:val="007F14F7"/>
    <w:rsid w:val="007F4C90"/>
    <w:rsid w:val="00800D32"/>
    <w:rsid w:val="00802BC7"/>
    <w:rsid w:val="0080672D"/>
    <w:rsid w:val="008122DB"/>
    <w:rsid w:val="0082130F"/>
    <w:rsid w:val="0085025E"/>
    <w:rsid w:val="00865788"/>
    <w:rsid w:val="00866335"/>
    <w:rsid w:val="00875200"/>
    <w:rsid w:val="008952BF"/>
    <w:rsid w:val="008A4C04"/>
    <w:rsid w:val="008E2B5C"/>
    <w:rsid w:val="008F1791"/>
    <w:rsid w:val="008F37B0"/>
    <w:rsid w:val="008F6E7C"/>
    <w:rsid w:val="00902279"/>
    <w:rsid w:val="00903645"/>
    <w:rsid w:val="00904889"/>
    <w:rsid w:val="0091092B"/>
    <w:rsid w:val="00937F05"/>
    <w:rsid w:val="00952E75"/>
    <w:rsid w:val="00970E0E"/>
    <w:rsid w:val="00976BFF"/>
    <w:rsid w:val="00977EE6"/>
    <w:rsid w:val="0099259A"/>
    <w:rsid w:val="009968C3"/>
    <w:rsid w:val="00997C0B"/>
    <w:rsid w:val="009B24BF"/>
    <w:rsid w:val="009C13F5"/>
    <w:rsid w:val="009C244A"/>
    <w:rsid w:val="009C662F"/>
    <w:rsid w:val="009C6D90"/>
    <w:rsid w:val="009D7F5E"/>
    <w:rsid w:val="009E6B1C"/>
    <w:rsid w:val="00A06A8E"/>
    <w:rsid w:val="00A1365E"/>
    <w:rsid w:val="00A15C21"/>
    <w:rsid w:val="00A443A0"/>
    <w:rsid w:val="00A66A0B"/>
    <w:rsid w:val="00A700E3"/>
    <w:rsid w:val="00AA39C3"/>
    <w:rsid w:val="00AA5CAA"/>
    <w:rsid w:val="00AB0677"/>
    <w:rsid w:val="00AB1BF3"/>
    <w:rsid w:val="00AC35E3"/>
    <w:rsid w:val="00AC5F18"/>
    <w:rsid w:val="00AE2D04"/>
    <w:rsid w:val="00AE4632"/>
    <w:rsid w:val="00AE5B8D"/>
    <w:rsid w:val="00AE67E5"/>
    <w:rsid w:val="00AF2A63"/>
    <w:rsid w:val="00AF6095"/>
    <w:rsid w:val="00B20414"/>
    <w:rsid w:val="00B21DB9"/>
    <w:rsid w:val="00B313CD"/>
    <w:rsid w:val="00B37502"/>
    <w:rsid w:val="00B43A1E"/>
    <w:rsid w:val="00B4647D"/>
    <w:rsid w:val="00B46EE4"/>
    <w:rsid w:val="00B551BC"/>
    <w:rsid w:val="00B570E4"/>
    <w:rsid w:val="00B66FF0"/>
    <w:rsid w:val="00B74492"/>
    <w:rsid w:val="00B749A0"/>
    <w:rsid w:val="00B77FBE"/>
    <w:rsid w:val="00B95FF5"/>
    <w:rsid w:val="00B976F6"/>
    <w:rsid w:val="00BA35D0"/>
    <w:rsid w:val="00BB092A"/>
    <w:rsid w:val="00BB13E4"/>
    <w:rsid w:val="00BC7B8E"/>
    <w:rsid w:val="00BD2A42"/>
    <w:rsid w:val="00BE126E"/>
    <w:rsid w:val="00BE3514"/>
    <w:rsid w:val="00BF0BE1"/>
    <w:rsid w:val="00BF65DF"/>
    <w:rsid w:val="00C02167"/>
    <w:rsid w:val="00C03C61"/>
    <w:rsid w:val="00C06CBE"/>
    <w:rsid w:val="00C06E23"/>
    <w:rsid w:val="00C21B30"/>
    <w:rsid w:val="00C44890"/>
    <w:rsid w:val="00C57D5C"/>
    <w:rsid w:val="00C7482B"/>
    <w:rsid w:val="00C81E10"/>
    <w:rsid w:val="00C8369B"/>
    <w:rsid w:val="00CC5A5A"/>
    <w:rsid w:val="00CD0804"/>
    <w:rsid w:val="00CD2F3E"/>
    <w:rsid w:val="00CE377A"/>
    <w:rsid w:val="00CF33D9"/>
    <w:rsid w:val="00D13ED7"/>
    <w:rsid w:val="00D160FE"/>
    <w:rsid w:val="00D43ECA"/>
    <w:rsid w:val="00D600BF"/>
    <w:rsid w:val="00D669E6"/>
    <w:rsid w:val="00D76D7F"/>
    <w:rsid w:val="00D83A78"/>
    <w:rsid w:val="00DA34FF"/>
    <w:rsid w:val="00DA3B72"/>
    <w:rsid w:val="00DB53F8"/>
    <w:rsid w:val="00DC12F0"/>
    <w:rsid w:val="00DE2FC5"/>
    <w:rsid w:val="00E01DB8"/>
    <w:rsid w:val="00E13569"/>
    <w:rsid w:val="00E24C05"/>
    <w:rsid w:val="00E27148"/>
    <w:rsid w:val="00E32A13"/>
    <w:rsid w:val="00E45E57"/>
    <w:rsid w:val="00E50587"/>
    <w:rsid w:val="00E5499D"/>
    <w:rsid w:val="00E80878"/>
    <w:rsid w:val="00E87834"/>
    <w:rsid w:val="00E917FC"/>
    <w:rsid w:val="00E93EBA"/>
    <w:rsid w:val="00EA5619"/>
    <w:rsid w:val="00EA5BAC"/>
    <w:rsid w:val="00ED58F2"/>
    <w:rsid w:val="00ED6695"/>
    <w:rsid w:val="00EE006B"/>
    <w:rsid w:val="00EE05D0"/>
    <w:rsid w:val="00EE625D"/>
    <w:rsid w:val="00EF2957"/>
    <w:rsid w:val="00EF3E81"/>
    <w:rsid w:val="00F1692C"/>
    <w:rsid w:val="00F24ACF"/>
    <w:rsid w:val="00F50B65"/>
    <w:rsid w:val="00F67ADA"/>
    <w:rsid w:val="00F715D5"/>
    <w:rsid w:val="00F77DBC"/>
    <w:rsid w:val="00F84208"/>
    <w:rsid w:val="00F93A63"/>
    <w:rsid w:val="00FB1C76"/>
    <w:rsid w:val="00FE2012"/>
    <w:rsid w:val="00FE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0457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04572"/>
    <w:rPr>
      <w:rFonts w:ascii="Tahoma" w:hAnsi="Tahoma" w:cs="Tahoma"/>
      <w:sz w:val="16"/>
      <w:szCs w:val="16"/>
    </w:rPr>
  </w:style>
  <w:style w:type="paragraph" w:styleId="a6">
    <w:name w:val="footnote text"/>
    <w:aliases w:val="_Сноска,Texto de nota al pie,Текст сноски Знак1,-++ Знак,Текст сноски Знак Знак,Texto de nota al pie Знак,Текст сноски-FN,Table_Footnote_last Знак,Table_Footnote_last Знак Знак,Table_Footnote_last,ft,Used by Word for text of Help footnotes"/>
    <w:basedOn w:val="a0"/>
    <w:link w:val="a7"/>
    <w:uiPriority w:val="99"/>
    <w:unhideWhenUsed/>
    <w:rsid w:val="00ED58F2"/>
    <w:pPr>
      <w:spacing w:after="0" w:line="240" w:lineRule="auto"/>
    </w:pPr>
    <w:rPr>
      <w:sz w:val="20"/>
      <w:szCs w:val="20"/>
    </w:rPr>
  </w:style>
  <w:style w:type="character" w:customStyle="1" w:styleId="a7">
    <w:name w:val="Текст сноски Знак"/>
    <w:aliases w:val="_Сноска Знак,Texto de nota al pie Знак1,Текст сноски Знак1 Знак,-++ Знак Знак,Текст сноски Знак Знак Знак,Texto de nota al pie Знак Знак,Текст сноски-FN Знак,Table_Footnote_last Знак Знак1,Table_Footnote_last Знак Знак Знак,ft Знак"/>
    <w:basedOn w:val="a1"/>
    <w:link w:val="a6"/>
    <w:uiPriority w:val="99"/>
    <w:rsid w:val="00ED58F2"/>
    <w:rPr>
      <w:sz w:val="20"/>
      <w:szCs w:val="20"/>
    </w:rPr>
  </w:style>
  <w:style w:type="character" w:styleId="a8">
    <w:name w:val="footnote reference"/>
    <w:aliases w:val="Referencia nota al pie,fr,Used by Word for Help footnote symbols,Знак сноски 1,Знак сноски-FN,Ciae niinee-FN,Ciae niinee 1,SUPERS,Ссылка на сноску 45,Appel note de bas de page,ОР,Footnotes refss,Fussnota"/>
    <w:basedOn w:val="a1"/>
    <w:uiPriority w:val="99"/>
    <w:unhideWhenUsed/>
    <w:rsid w:val="00ED58F2"/>
    <w:rPr>
      <w:vertAlign w:val="superscript"/>
    </w:rPr>
  </w:style>
  <w:style w:type="table" w:styleId="a9">
    <w:name w:val="Table Grid"/>
    <w:basedOn w:val="a2"/>
    <w:uiPriority w:val="39"/>
    <w:rsid w:val="003F3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Гиперссылка2"/>
    <w:rsid w:val="000D26B1"/>
    <w:rPr>
      <w:color w:val="0000FF"/>
      <w:u w:val="single"/>
    </w:rPr>
  </w:style>
  <w:style w:type="paragraph" w:styleId="aa">
    <w:name w:val="endnote text"/>
    <w:basedOn w:val="a0"/>
    <w:link w:val="ab"/>
    <w:uiPriority w:val="99"/>
    <w:semiHidden/>
    <w:unhideWhenUsed/>
    <w:rsid w:val="00BB13E4"/>
    <w:pPr>
      <w:spacing w:after="0" w:line="240" w:lineRule="auto"/>
    </w:pPr>
    <w:rPr>
      <w:sz w:val="20"/>
      <w:szCs w:val="20"/>
    </w:rPr>
  </w:style>
  <w:style w:type="character" w:customStyle="1" w:styleId="ab">
    <w:name w:val="Текст концевой сноски Знак"/>
    <w:basedOn w:val="a1"/>
    <w:link w:val="aa"/>
    <w:uiPriority w:val="99"/>
    <w:semiHidden/>
    <w:rsid w:val="00BB13E4"/>
    <w:rPr>
      <w:sz w:val="20"/>
      <w:szCs w:val="20"/>
    </w:rPr>
  </w:style>
  <w:style w:type="character" w:styleId="ac">
    <w:name w:val="endnote reference"/>
    <w:basedOn w:val="a1"/>
    <w:uiPriority w:val="99"/>
    <w:semiHidden/>
    <w:unhideWhenUsed/>
    <w:rsid w:val="00BB13E4"/>
    <w:rPr>
      <w:vertAlign w:val="superscript"/>
    </w:rPr>
  </w:style>
  <w:style w:type="paragraph" w:customStyle="1" w:styleId="11">
    <w:name w:val="ОснТекст11"/>
    <w:basedOn w:val="a0"/>
    <w:rsid w:val="004407F7"/>
    <w:pPr>
      <w:spacing w:after="0" w:line="240" w:lineRule="auto"/>
      <w:ind w:firstLine="340"/>
      <w:jc w:val="both"/>
    </w:pPr>
    <w:rPr>
      <w:rFonts w:ascii="Times New Roman" w:eastAsia="Times New Roman" w:hAnsi="Times New Roman" w:cs="Times New Roman"/>
      <w:szCs w:val="20"/>
    </w:rPr>
  </w:style>
  <w:style w:type="paragraph" w:customStyle="1" w:styleId="ad">
    <w:name w:val="_ПАРАГРАФ без отсутпа"/>
    <w:basedOn w:val="ae"/>
    <w:link w:val="af"/>
    <w:qFormat/>
    <w:rsid w:val="00196C84"/>
    <w:pPr>
      <w:spacing w:after="0" w:line="224" w:lineRule="exact"/>
      <w:ind w:left="0"/>
      <w:jc w:val="both"/>
    </w:pPr>
    <w:rPr>
      <w:rFonts w:ascii="Times New Roman" w:eastAsia="Times New Roman" w:hAnsi="Times New Roman" w:cs="Times New Roman"/>
      <w:sz w:val="20"/>
      <w:szCs w:val="20"/>
    </w:rPr>
  </w:style>
  <w:style w:type="character" w:customStyle="1" w:styleId="af">
    <w:name w:val="_ПАРАГРАФ без отсутпа Знак"/>
    <w:basedOn w:val="a1"/>
    <w:link w:val="ad"/>
    <w:rsid w:val="00196C84"/>
    <w:rPr>
      <w:rFonts w:ascii="Times New Roman" w:eastAsia="Times New Roman" w:hAnsi="Times New Roman" w:cs="Times New Roman"/>
      <w:sz w:val="20"/>
      <w:szCs w:val="20"/>
      <w:lang w:eastAsia="ru-RU"/>
    </w:rPr>
  </w:style>
  <w:style w:type="paragraph" w:customStyle="1" w:styleId="af0">
    <w:name w:val="_ПАРАГРАФ"/>
    <w:basedOn w:val="a0"/>
    <w:link w:val="af1"/>
    <w:qFormat/>
    <w:rsid w:val="00196C84"/>
    <w:pPr>
      <w:overflowPunct w:val="0"/>
      <w:autoSpaceDE w:val="0"/>
      <w:autoSpaceDN w:val="0"/>
      <w:adjustRightInd w:val="0"/>
      <w:spacing w:after="0" w:line="224" w:lineRule="exact"/>
      <w:ind w:firstLine="284"/>
      <w:jc w:val="both"/>
      <w:textAlignment w:val="baseline"/>
    </w:pPr>
    <w:rPr>
      <w:rFonts w:ascii="Times New Roman" w:eastAsia="Times New Roman" w:hAnsi="Times New Roman" w:cs="Times New Roman"/>
      <w:sz w:val="20"/>
      <w:szCs w:val="20"/>
    </w:rPr>
  </w:style>
  <w:style w:type="character" w:customStyle="1" w:styleId="af1">
    <w:name w:val="_ПАРАГРАФ Знак"/>
    <w:basedOn w:val="a1"/>
    <w:link w:val="af0"/>
    <w:rsid w:val="00196C84"/>
    <w:rPr>
      <w:rFonts w:ascii="Times New Roman" w:eastAsia="Times New Roman" w:hAnsi="Times New Roman" w:cs="Times New Roman"/>
      <w:sz w:val="20"/>
      <w:szCs w:val="20"/>
      <w:lang w:eastAsia="ru-RU"/>
    </w:rPr>
  </w:style>
  <w:style w:type="paragraph" w:styleId="ae">
    <w:name w:val="Normal Indent"/>
    <w:basedOn w:val="a0"/>
    <w:uiPriority w:val="99"/>
    <w:semiHidden/>
    <w:unhideWhenUsed/>
    <w:rsid w:val="00196C84"/>
    <w:pPr>
      <w:ind w:left="708"/>
    </w:pPr>
  </w:style>
  <w:style w:type="paragraph" w:styleId="af2">
    <w:name w:val="Plain Text"/>
    <w:basedOn w:val="a0"/>
    <w:link w:val="af3"/>
    <w:rsid w:val="0013724D"/>
    <w:pPr>
      <w:spacing w:before="120" w:after="0" w:line="224" w:lineRule="exact"/>
      <w:jc w:val="both"/>
    </w:pPr>
    <w:rPr>
      <w:rFonts w:ascii="Courier New" w:eastAsia="Times New Roman" w:hAnsi="Courier New" w:cs="Courier New"/>
      <w:sz w:val="20"/>
      <w:szCs w:val="20"/>
    </w:rPr>
  </w:style>
  <w:style w:type="character" w:customStyle="1" w:styleId="af3">
    <w:name w:val="Текст Знак"/>
    <w:basedOn w:val="a1"/>
    <w:link w:val="af2"/>
    <w:rsid w:val="0013724D"/>
    <w:rPr>
      <w:rFonts w:ascii="Courier New" w:eastAsia="Times New Roman" w:hAnsi="Courier New" w:cs="Courier New"/>
      <w:sz w:val="20"/>
      <w:szCs w:val="20"/>
      <w:lang w:eastAsia="ru-RU"/>
    </w:rPr>
  </w:style>
  <w:style w:type="paragraph" w:customStyle="1" w:styleId="af4">
    <w:name w:val="хПростой"/>
    <w:basedOn w:val="a0"/>
    <w:link w:val="af5"/>
    <w:qFormat/>
    <w:rsid w:val="0013724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bidi="ar-EG"/>
    </w:rPr>
  </w:style>
  <w:style w:type="character" w:customStyle="1" w:styleId="af5">
    <w:name w:val="хПростой Знак"/>
    <w:basedOn w:val="a1"/>
    <w:link w:val="af4"/>
    <w:rsid w:val="0013724D"/>
    <w:rPr>
      <w:rFonts w:ascii="Times New Roman" w:eastAsia="Times New Roman" w:hAnsi="Times New Roman" w:cs="Times New Roman"/>
      <w:sz w:val="20"/>
      <w:szCs w:val="20"/>
      <w:lang w:eastAsia="ru-RU" w:bidi="ar-EG"/>
    </w:rPr>
  </w:style>
  <w:style w:type="paragraph" w:customStyle="1" w:styleId="a">
    <w:name w:val="хСписок"/>
    <w:basedOn w:val="a0"/>
    <w:qFormat/>
    <w:rsid w:val="0013724D"/>
    <w:pPr>
      <w:numPr>
        <w:numId w:val="1"/>
      </w:numPr>
      <w:overflowPunct w:val="0"/>
      <w:autoSpaceDE w:val="0"/>
      <w:spacing w:after="120" w:line="240" w:lineRule="auto"/>
      <w:ind w:left="283" w:hanging="113"/>
      <w:jc w:val="both"/>
      <w:textAlignment w:val="baseline"/>
    </w:pPr>
    <w:rPr>
      <w:rFonts w:ascii="Times New Roman" w:eastAsia="Times New Roman" w:hAnsi="Times New Roman" w:cs="Times New Roman"/>
      <w:sz w:val="20"/>
      <w:szCs w:val="20"/>
      <w:lang w:eastAsia="ar-SA"/>
    </w:rPr>
  </w:style>
  <w:style w:type="paragraph" w:customStyle="1" w:styleId="af6">
    <w:name w:val="хБиблиографическаяСсылка"/>
    <w:basedOn w:val="a0"/>
    <w:qFormat/>
    <w:rsid w:val="00464B6C"/>
    <w:pPr>
      <w:overflowPunct w:val="0"/>
      <w:autoSpaceDE w:val="0"/>
      <w:autoSpaceDN w:val="0"/>
      <w:adjustRightInd w:val="0"/>
      <w:spacing w:after="0" w:line="190" w:lineRule="exact"/>
      <w:ind w:left="284" w:hanging="284"/>
      <w:jc w:val="both"/>
      <w:textAlignment w:val="baseline"/>
    </w:pPr>
    <w:rPr>
      <w:rFonts w:ascii="Times New Roman" w:eastAsia="Times New Roman" w:hAnsi="Times New Roman" w:cs="Times New Roman"/>
      <w:bCs/>
      <w:sz w:val="18"/>
      <w:szCs w:val="18"/>
    </w:rPr>
  </w:style>
  <w:style w:type="character" w:styleId="af7">
    <w:name w:val="Hyperlink"/>
    <w:basedOn w:val="a1"/>
    <w:unhideWhenUsed/>
    <w:rsid w:val="00464B6C"/>
    <w:rPr>
      <w:color w:val="0000FF"/>
      <w:u w:val="single"/>
    </w:rPr>
  </w:style>
  <w:style w:type="paragraph" w:customStyle="1" w:styleId="22">
    <w:name w:val="Основной текст с отступом 22"/>
    <w:basedOn w:val="a0"/>
    <w:rsid w:val="009B24BF"/>
    <w:pPr>
      <w:overflowPunct w:val="0"/>
      <w:autoSpaceDE w:val="0"/>
      <w:spacing w:after="120" w:line="480" w:lineRule="auto"/>
      <w:ind w:left="283"/>
      <w:textAlignment w:val="baseline"/>
    </w:pPr>
    <w:rPr>
      <w:rFonts w:ascii="Times New Roman" w:eastAsia="Times New Roman"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0457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04572"/>
    <w:rPr>
      <w:rFonts w:ascii="Tahoma" w:hAnsi="Tahoma" w:cs="Tahoma"/>
      <w:sz w:val="16"/>
      <w:szCs w:val="16"/>
    </w:rPr>
  </w:style>
  <w:style w:type="paragraph" w:styleId="a6">
    <w:name w:val="footnote text"/>
    <w:aliases w:val="_Сноска,Texto de nota al pie,Текст сноски Знак1,-++ Знак,Текст сноски Знак Знак,Texto de nota al pie Знак,Текст сноски-FN,Table_Footnote_last Знак,Table_Footnote_last Знак Знак,Table_Footnote_last,ft,Used by Word for text of Help footnotes"/>
    <w:basedOn w:val="a0"/>
    <w:link w:val="a7"/>
    <w:uiPriority w:val="99"/>
    <w:unhideWhenUsed/>
    <w:rsid w:val="00ED58F2"/>
    <w:pPr>
      <w:spacing w:after="0" w:line="240" w:lineRule="auto"/>
    </w:pPr>
    <w:rPr>
      <w:sz w:val="20"/>
      <w:szCs w:val="20"/>
    </w:rPr>
  </w:style>
  <w:style w:type="character" w:customStyle="1" w:styleId="a7">
    <w:name w:val="Текст сноски Знак"/>
    <w:aliases w:val="_Сноска Знак,Texto de nota al pie Знак1,Текст сноски Знак1 Знак,-++ Знак Знак,Текст сноски Знак Знак Знак,Texto de nota al pie Знак Знак,Текст сноски-FN Знак,Table_Footnote_last Знак Знак1,Table_Footnote_last Знак Знак Знак,ft Знак"/>
    <w:basedOn w:val="a1"/>
    <w:link w:val="a6"/>
    <w:uiPriority w:val="99"/>
    <w:rsid w:val="00ED58F2"/>
    <w:rPr>
      <w:sz w:val="20"/>
      <w:szCs w:val="20"/>
    </w:rPr>
  </w:style>
  <w:style w:type="character" w:styleId="a8">
    <w:name w:val="footnote reference"/>
    <w:aliases w:val="Referencia nota al pie,fr,Used by Word for Help footnote symbols,Знак сноски 1,Знак сноски-FN,Ciae niinee-FN,Ciae niinee 1,SUPERS,Ссылка на сноску 45,Appel note de bas de page,ОР,Footnotes refss,Fussnota"/>
    <w:basedOn w:val="a1"/>
    <w:uiPriority w:val="99"/>
    <w:unhideWhenUsed/>
    <w:rsid w:val="00ED58F2"/>
    <w:rPr>
      <w:vertAlign w:val="superscript"/>
    </w:rPr>
  </w:style>
  <w:style w:type="table" w:styleId="a9">
    <w:name w:val="Table Grid"/>
    <w:basedOn w:val="a2"/>
    <w:uiPriority w:val="39"/>
    <w:rsid w:val="003F3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Гиперссылка2"/>
    <w:rsid w:val="000D26B1"/>
    <w:rPr>
      <w:color w:val="0000FF"/>
      <w:u w:val="single"/>
    </w:rPr>
  </w:style>
  <w:style w:type="paragraph" w:styleId="aa">
    <w:name w:val="endnote text"/>
    <w:basedOn w:val="a0"/>
    <w:link w:val="ab"/>
    <w:uiPriority w:val="99"/>
    <w:semiHidden/>
    <w:unhideWhenUsed/>
    <w:rsid w:val="00BB13E4"/>
    <w:pPr>
      <w:spacing w:after="0" w:line="240" w:lineRule="auto"/>
    </w:pPr>
    <w:rPr>
      <w:sz w:val="20"/>
      <w:szCs w:val="20"/>
    </w:rPr>
  </w:style>
  <w:style w:type="character" w:customStyle="1" w:styleId="ab">
    <w:name w:val="Текст концевой сноски Знак"/>
    <w:basedOn w:val="a1"/>
    <w:link w:val="aa"/>
    <w:uiPriority w:val="99"/>
    <w:semiHidden/>
    <w:rsid w:val="00BB13E4"/>
    <w:rPr>
      <w:sz w:val="20"/>
      <w:szCs w:val="20"/>
    </w:rPr>
  </w:style>
  <w:style w:type="character" w:styleId="ac">
    <w:name w:val="endnote reference"/>
    <w:basedOn w:val="a1"/>
    <w:uiPriority w:val="99"/>
    <w:semiHidden/>
    <w:unhideWhenUsed/>
    <w:rsid w:val="00BB13E4"/>
    <w:rPr>
      <w:vertAlign w:val="superscript"/>
    </w:rPr>
  </w:style>
  <w:style w:type="paragraph" w:customStyle="1" w:styleId="11">
    <w:name w:val="ОснТекст11"/>
    <w:basedOn w:val="a0"/>
    <w:rsid w:val="004407F7"/>
    <w:pPr>
      <w:spacing w:after="0" w:line="240" w:lineRule="auto"/>
      <w:ind w:firstLine="340"/>
      <w:jc w:val="both"/>
    </w:pPr>
    <w:rPr>
      <w:rFonts w:ascii="Times New Roman" w:eastAsia="Times New Roman" w:hAnsi="Times New Roman" w:cs="Times New Roman"/>
      <w:szCs w:val="20"/>
    </w:rPr>
  </w:style>
  <w:style w:type="paragraph" w:customStyle="1" w:styleId="ad">
    <w:name w:val="_ПАРАГРАФ без отсутпа"/>
    <w:basedOn w:val="ae"/>
    <w:link w:val="af"/>
    <w:qFormat/>
    <w:rsid w:val="00196C84"/>
    <w:pPr>
      <w:spacing w:after="0" w:line="224" w:lineRule="exact"/>
      <w:ind w:left="0"/>
      <w:jc w:val="both"/>
    </w:pPr>
    <w:rPr>
      <w:rFonts w:ascii="Times New Roman" w:eastAsia="Times New Roman" w:hAnsi="Times New Roman" w:cs="Times New Roman"/>
      <w:sz w:val="20"/>
      <w:szCs w:val="20"/>
    </w:rPr>
  </w:style>
  <w:style w:type="character" w:customStyle="1" w:styleId="af">
    <w:name w:val="_ПАРАГРАФ без отсутпа Знак"/>
    <w:basedOn w:val="a1"/>
    <w:link w:val="ad"/>
    <w:rsid w:val="00196C84"/>
    <w:rPr>
      <w:rFonts w:ascii="Times New Roman" w:eastAsia="Times New Roman" w:hAnsi="Times New Roman" w:cs="Times New Roman"/>
      <w:sz w:val="20"/>
      <w:szCs w:val="20"/>
      <w:lang w:eastAsia="ru-RU"/>
    </w:rPr>
  </w:style>
  <w:style w:type="paragraph" w:customStyle="1" w:styleId="af0">
    <w:name w:val="_ПАРАГРАФ"/>
    <w:basedOn w:val="a0"/>
    <w:link w:val="af1"/>
    <w:qFormat/>
    <w:rsid w:val="00196C84"/>
    <w:pPr>
      <w:overflowPunct w:val="0"/>
      <w:autoSpaceDE w:val="0"/>
      <w:autoSpaceDN w:val="0"/>
      <w:adjustRightInd w:val="0"/>
      <w:spacing w:after="0" w:line="224" w:lineRule="exact"/>
      <w:ind w:firstLine="284"/>
      <w:jc w:val="both"/>
      <w:textAlignment w:val="baseline"/>
    </w:pPr>
    <w:rPr>
      <w:rFonts w:ascii="Times New Roman" w:eastAsia="Times New Roman" w:hAnsi="Times New Roman" w:cs="Times New Roman"/>
      <w:sz w:val="20"/>
      <w:szCs w:val="20"/>
    </w:rPr>
  </w:style>
  <w:style w:type="character" w:customStyle="1" w:styleId="af1">
    <w:name w:val="_ПАРАГРАФ Знак"/>
    <w:basedOn w:val="a1"/>
    <w:link w:val="af0"/>
    <w:rsid w:val="00196C84"/>
    <w:rPr>
      <w:rFonts w:ascii="Times New Roman" w:eastAsia="Times New Roman" w:hAnsi="Times New Roman" w:cs="Times New Roman"/>
      <w:sz w:val="20"/>
      <w:szCs w:val="20"/>
      <w:lang w:eastAsia="ru-RU"/>
    </w:rPr>
  </w:style>
  <w:style w:type="paragraph" w:styleId="ae">
    <w:name w:val="Normal Indent"/>
    <w:basedOn w:val="a0"/>
    <w:uiPriority w:val="99"/>
    <w:semiHidden/>
    <w:unhideWhenUsed/>
    <w:rsid w:val="00196C84"/>
    <w:pPr>
      <w:ind w:left="708"/>
    </w:pPr>
  </w:style>
  <w:style w:type="paragraph" w:styleId="af2">
    <w:name w:val="Plain Text"/>
    <w:basedOn w:val="a0"/>
    <w:link w:val="af3"/>
    <w:rsid w:val="0013724D"/>
    <w:pPr>
      <w:spacing w:before="120" w:after="0" w:line="224" w:lineRule="exact"/>
      <w:jc w:val="both"/>
    </w:pPr>
    <w:rPr>
      <w:rFonts w:ascii="Courier New" w:eastAsia="Times New Roman" w:hAnsi="Courier New" w:cs="Courier New"/>
      <w:sz w:val="20"/>
      <w:szCs w:val="20"/>
    </w:rPr>
  </w:style>
  <w:style w:type="character" w:customStyle="1" w:styleId="af3">
    <w:name w:val="Текст Знак"/>
    <w:basedOn w:val="a1"/>
    <w:link w:val="af2"/>
    <w:rsid w:val="0013724D"/>
    <w:rPr>
      <w:rFonts w:ascii="Courier New" w:eastAsia="Times New Roman" w:hAnsi="Courier New" w:cs="Courier New"/>
      <w:sz w:val="20"/>
      <w:szCs w:val="20"/>
      <w:lang w:eastAsia="ru-RU"/>
    </w:rPr>
  </w:style>
  <w:style w:type="paragraph" w:customStyle="1" w:styleId="af4">
    <w:name w:val="хПростой"/>
    <w:basedOn w:val="a0"/>
    <w:link w:val="af5"/>
    <w:qFormat/>
    <w:rsid w:val="0013724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bidi="ar-EG"/>
    </w:rPr>
  </w:style>
  <w:style w:type="character" w:customStyle="1" w:styleId="af5">
    <w:name w:val="хПростой Знак"/>
    <w:basedOn w:val="a1"/>
    <w:link w:val="af4"/>
    <w:rsid w:val="0013724D"/>
    <w:rPr>
      <w:rFonts w:ascii="Times New Roman" w:eastAsia="Times New Roman" w:hAnsi="Times New Roman" w:cs="Times New Roman"/>
      <w:sz w:val="20"/>
      <w:szCs w:val="20"/>
      <w:lang w:eastAsia="ru-RU" w:bidi="ar-EG"/>
    </w:rPr>
  </w:style>
  <w:style w:type="paragraph" w:customStyle="1" w:styleId="a">
    <w:name w:val="хСписок"/>
    <w:basedOn w:val="a0"/>
    <w:qFormat/>
    <w:rsid w:val="0013724D"/>
    <w:pPr>
      <w:numPr>
        <w:numId w:val="1"/>
      </w:numPr>
      <w:overflowPunct w:val="0"/>
      <w:autoSpaceDE w:val="0"/>
      <w:spacing w:after="120" w:line="240" w:lineRule="auto"/>
      <w:ind w:left="283" w:hanging="113"/>
      <w:jc w:val="both"/>
      <w:textAlignment w:val="baseline"/>
    </w:pPr>
    <w:rPr>
      <w:rFonts w:ascii="Times New Roman" w:eastAsia="Times New Roman" w:hAnsi="Times New Roman" w:cs="Times New Roman"/>
      <w:sz w:val="20"/>
      <w:szCs w:val="20"/>
      <w:lang w:eastAsia="ar-SA"/>
    </w:rPr>
  </w:style>
  <w:style w:type="paragraph" w:customStyle="1" w:styleId="af6">
    <w:name w:val="хБиблиографическаяСсылка"/>
    <w:basedOn w:val="a0"/>
    <w:qFormat/>
    <w:rsid w:val="00464B6C"/>
    <w:pPr>
      <w:overflowPunct w:val="0"/>
      <w:autoSpaceDE w:val="0"/>
      <w:autoSpaceDN w:val="0"/>
      <w:adjustRightInd w:val="0"/>
      <w:spacing w:after="0" w:line="190" w:lineRule="exact"/>
      <w:ind w:left="284" w:hanging="284"/>
      <w:jc w:val="both"/>
      <w:textAlignment w:val="baseline"/>
    </w:pPr>
    <w:rPr>
      <w:rFonts w:ascii="Times New Roman" w:eastAsia="Times New Roman" w:hAnsi="Times New Roman" w:cs="Times New Roman"/>
      <w:bCs/>
      <w:sz w:val="18"/>
      <w:szCs w:val="18"/>
    </w:rPr>
  </w:style>
  <w:style w:type="character" w:styleId="af7">
    <w:name w:val="Hyperlink"/>
    <w:basedOn w:val="a1"/>
    <w:unhideWhenUsed/>
    <w:rsid w:val="00464B6C"/>
    <w:rPr>
      <w:color w:val="0000FF"/>
      <w:u w:val="single"/>
    </w:rPr>
  </w:style>
  <w:style w:type="paragraph" w:customStyle="1" w:styleId="22">
    <w:name w:val="Основной текст с отступом 22"/>
    <w:basedOn w:val="a0"/>
    <w:rsid w:val="009B24BF"/>
    <w:pPr>
      <w:overflowPunct w:val="0"/>
      <w:autoSpaceDE w:val="0"/>
      <w:spacing w:after="120" w:line="480" w:lineRule="auto"/>
      <w:ind w:left="283"/>
      <w:textAlignment w:val="baseline"/>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UN%20Africa%20forecasts_2001_2012_eng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ropbox\&#1040;&#1092;&#1088;&#1080;&#1082;&#1072;%20(1)\&#1088;&#1072;&#1089;&#1095;&#1077;&#1090;&#1099;\&#1084;&#1086;&#1079;&#1072;&#1084;&#1073;&#1080;&#1082;\&#1075;&#1088;&#1072;&#1092;&#1080;&#1082;&#1080;%20&#1087;&#1088;&#1086;&#1075;&#1085;&#1086;&#1079;&#1086;&#1074;%20&#1052;&#1086;&#1079;&#1072;&#1084;&#1073;&#1080;&#108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ropbox\&#1040;&#1092;&#1088;&#1080;&#1082;&#1072;%20(1)\&#1088;&#1072;&#1089;&#1095;&#1077;&#1090;&#1099;\&#1057;&#1094;&#1077;&#1085;&#1072;&#1088;&#1080;&#1080;\&#1089;&#1074;&#1086;&#1076;&#1085;&#1099;&#1077;%20&#1090;&#1072;&#1073;&#1083;&#1080;&#1094;&#1099;%20&#1089;&#1094;&#1077;&#1085;&#1072;&#1088;&#1080;&#1077;&#1074;%20&#1087;&#1086;%20&#1089;&#1090;&#1088;&#1072;&#1085;&#1072;&#1084;\&#1052;&#1086;&#1079;&#1072;&#1084;&#1073;&#1080;&#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UN%20Africa%20forecasts_2001_2012_eng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UN%20Africa%20forecasts_2001_2012_eng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UN%20Africa%20forecasts_2001_2012_eng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ropbox\&#1040;&#1092;&#1088;&#1080;&#1082;&#1072;\&#1044;&#1077;&#1084;&#1086;&#1075;&#1088;&#1072;&#1092;&#1080;&#1103;\UN%20forecas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ropbox\&#1040;&#1092;&#1088;&#1080;&#1082;&#1072;\&#1044;&#1077;&#1084;&#1086;&#1075;&#1088;&#1072;&#1092;&#1080;&#1103;\UN%20forecas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ropbox\&#1040;&#1092;&#1088;&#1080;&#1082;&#1072;%20(1)\&#1088;&#1072;&#1089;&#1095;&#1077;&#1090;&#1099;\&#1084;&#1086;&#1079;&#1072;&#1084;&#1073;&#1080;&#1082;\&#1075;&#1088;&#1072;&#1092;&#1080;&#1082;&#1080;%20&#1087;&#1088;&#1086;&#1075;&#1085;&#1086;&#1079;&#1086;&#1074;%20&#1052;&#1086;&#1079;&#1072;&#1084;&#1073;&#1080;&#108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ropbox\&#1040;&#1092;&#1088;&#1080;&#1082;&#1072;%20(1)\&#1088;&#1072;&#1089;&#1095;&#1077;&#1090;&#1099;\&#1084;&#1086;&#1079;&#1072;&#1084;&#1073;&#1080;&#1082;\&#1075;&#1088;&#1072;&#1092;&#1080;&#1082;&#1080;%20&#1087;&#1088;&#1086;&#1075;&#1085;&#1086;&#1079;&#1086;&#1074;%20&#1052;&#1086;&#1079;&#1072;&#1084;&#1073;&#1080;&#108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ropbox\&#1040;&#1092;&#1088;&#1080;&#1082;&#1072;%20(1)\&#1088;&#1072;&#1089;&#1095;&#1077;&#1090;&#1099;\&#1084;&#1086;&#1079;&#1072;&#1084;&#1073;&#1080;&#1082;\&#1075;&#1088;&#1072;&#1092;&#1080;&#1082;&#1080;%20&#1087;&#1088;&#1086;&#1075;&#1085;&#1086;&#1079;&#1086;&#1074;%20&#1052;&#1086;&#1079;&#1072;&#1084;&#1073;&#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35761154855644"/>
          <c:y val="5.1400554097404488E-2"/>
          <c:w val="0.50514238845144366"/>
          <c:h val="0.78632327209098862"/>
        </c:manualLayout>
      </c:layout>
      <c:scatterChart>
        <c:scatterStyle val="smoothMarker"/>
        <c:varyColors val="0"/>
        <c:ser>
          <c:idx val="0"/>
          <c:order val="0"/>
          <c:tx>
            <c:strRef>
              <c:f>'[UN Africa forecasts_2001_2012_eng4.xlsx]Нигерия'!$B$2</c:f>
              <c:strCache>
                <c:ptCount val="1"/>
                <c:pt idx="0">
                  <c:v>2012 forecast</c:v>
                </c:pt>
              </c:strCache>
            </c:strRef>
          </c:tx>
          <c:spPr>
            <a:ln>
              <a:solidFill>
                <a:schemeClr val="tx1"/>
              </a:solidFill>
            </a:ln>
          </c:spPr>
          <c:marker>
            <c:spPr>
              <a:solidFill>
                <a:schemeClr val="bg1"/>
              </a:solidFill>
              <a:ln>
                <a:solidFill>
                  <a:schemeClr val="tx1"/>
                </a:solidFill>
              </a:ln>
            </c:spPr>
          </c:marker>
          <c:xVal>
            <c:numRef>
              <c:f>'[UN Africa forecasts_2001_2012_eng4.xlsx]Нигерия'!$A$3:$A$6</c:f>
              <c:numCache>
                <c:formatCode>General</c:formatCode>
                <c:ptCount val="4"/>
                <c:pt idx="0">
                  <c:v>2000</c:v>
                </c:pt>
                <c:pt idx="1">
                  <c:v>2015</c:v>
                </c:pt>
                <c:pt idx="2">
                  <c:v>2025</c:v>
                </c:pt>
                <c:pt idx="3">
                  <c:v>2050</c:v>
                </c:pt>
              </c:numCache>
            </c:numRef>
          </c:xVal>
          <c:yVal>
            <c:numRef>
              <c:f>'[UN Africa forecasts_2001_2012_eng4.xlsx]Нигерия'!$B$3:$B$6</c:f>
              <c:numCache>
                <c:formatCode>General</c:formatCode>
                <c:ptCount val="4"/>
                <c:pt idx="0">
                  <c:v>122877</c:v>
                </c:pt>
                <c:pt idx="1">
                  <c:v>183523</c:v>
                </c:pt>
                <c:pt idx="2">
                  <c:v>239874</c:v>
                </c:pt>
                <c:pt idx="3">
                  <c:v>440355</c:v>
                </c:pt>
              </c:numCache>
            </c:numRef>
          </c:yVal>
          <c:smooth val="1"/>
        </c:ser>
        <c:ser>
          <c:idx val="1"/>
          <c:order val="1"/>
          <c:tx>
            <c:strRef>
              <c:f>'[UN Africa forecasts_2001_2012_eng4.xlsx]Нигерия'!$C$2</c:f>
              <c:strCache>
                <c:ptCount val="1"/>
                <c:pt idx="0">
                  <c:v>2000 forecast</c:v>
                </c:pt>
              </c:strCache>
            </c:strRef>
          </c:tx>
          <c:spPr>
            <a:ln>
              <a:solidFill>
                <a:srgbClr val="00B050"/>
              </a:solidFill>
            </a:ln>
          </c:spPr>
          <c:marker>
            <c:symbol val="circle"/>
            <c:size val="7"/>
            <c:spPr>
              <a:solidFill>
                <a:srgbClr val="00B050"/>
              </a:solidFill>
              <a:ln>
                <a:solidFill>
                  <a:srgbClr val="00B050"/>
                </a:solidFill>
              </a:ln>
            </c:spPr>
          </c:marker>
          <c:xVal>
            <c:numRef>
              <c:f>'[UN Africa forecasts_2001_2012_eng4.xlsx]Нигерия'!$A$3:$A$6</c:f>
              <c:numCache>
                <c:formatCode>General</c:formatCode>
                <c:ptCount val="4"/>
                <c:pt idx="0">
                  <c:v>2000</c:v>
                </c:pt>
                <c:pt idx="1">
                  <c:v>2015</c:v>
                </c:pt>
                <c:pt idx="2">
                  <c:v>2025</c:v>
                </c:pt>
                <c:pt idx="3">
                  <c:v>2050</c:v>
                </c:pt>
              </c:numCache>
            </c:numRef>
          </c:xVal>
          <c:yVal>
            <c:numRef>
              <c:f>'[UN Africa forecasts_2001_2012_eng4.xlsx]Нигерия'!$C$3:$C$6</c:f>
              <c:numCache>
                <c:formatCode>General</c:formatCode>
                <c:ptCount val="4"/>
                <c:pt idx="0">
                  <c:v>113862</c:v>
                </c:pt>
                <c:pt idx="1">
                  <c:v>165313</c:v>
                </c:pt>
                <c:pt idx="2">
                  <c:v>202957</c:v>
                </c:pt>
                <c:pt idx="3">
                  <c:v>278788</c:v>
                </c:pt>
              </c:numCache>
            </c:numRef>
          </c:yVal>
          <c:smooth val="1"/>
        </c:ser>
        <c:dLbls>
          <c:showLegendKey val="0"/>
          <c:showVal val="0"/>
          <c:showCatName val="0"/>
          <c:showSerName val="0"/>
          <c:showPercent val="0"/>
          <c:showBubbleSize val="0"/>
        </c:dLbls>
        <c:axId val="181999488"/>
        <c:axId val="198012928"/>
      </c:scatterChart>
      <c:valAx>
        <c:axId val="181999488"/>
        <c:scaling>
          <c:orientation val="minMax"/>
          <c:max val="2050"/>
          <c:min val="2000"/>
        </c:scaling>
        <c:delete val="0"/>
        <c:axPos val="b"/>
        <c:majorGridlines/>
        <c:numFmt formatCode="General" sourceLinked="1"/>
        <c:majorTickMark val="out"/>
        <c:minorTickMark val="none"/>
        <c:tickLblPos val="nextTo"/>
        <c:txPr>
          <a:bodyPr rot="5400000" vert="horz"/>
          <a:lstStyle/>
          <a:p>
            <a:pPr>
              <a:defRPr/>
            </a:pPr>
            <a:endParaRPr lang="ru-RU"/>
          </a:p>
        </c:txPr>
        <c:crossAx val="198012928"/>
        <c:crosses val="autoZero"/>
        <c:crossBetween val="midCat"/>
      </c:valAx>
      <c:valAx>
        <c:axId val="198012928"/>
        <c:scaling>
          <c:orientation val="minMax"/>
        </c:scaling>
        <c:delete val="0"/>
        <c:axPos val="l"/>
        <c:majorGridlines/>
        <c:numFmt formatCode="#,##0" sourceLinked="0"/>
        <c:majorTickMark val="out"/>
        <c:minorTickMark val="none"/>
        <c:tickLblPos val="nextTo"/>
        <c:crossAx val="181999488"/>
        <c:crosses val="autoZero"/>
        <c:crossBetween val="midCat"/>
      </c:valAx>
    </c:plotArea>
    <c:legend>
      <c:legendPos val="r"/>
      <c:layout>
        <c:manualLayout>
          <c:xMode val="edge"/>
          <c:yMode val="edge"/>
          <c:x val="0.69139534120734913"/>
          <c:y val="0.3603433945756781"/>
          <c:w val="0.26277132545931758"/>
          <c:h val="0.27931321084864391"/>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0058330993855"/>
          <c:y val="3.4030711678281596E-2"/>
          <c:w val="0.50027975705074212"/>
          <c:h val="0.86772667209702237"/>
        </c:manualLayout>
      </c:layout>
      <c:scatterChart>
        <c:scatterStyle val="smoothMarker"/>
        <c:varyColors val="0"/>
        <c:ser>
          <c:idx val="0"/>
          <c:order val="0"/>
          <c:tx>
            <c:strRef>
              <c:f>Лист1!$B$1</c:f>
              <c:strCache>
                <c:ptCount val="1"/>
                <c:pt idx="0">
                  <c:v>Population projections accounting for the recent fertility stall with Tanzanian rates of projected fertility decline</c:v>
                </c:pt>
              </c:strCache>
            </c:strRef>
          </c:tx>
          <c:spPr>
            <a:ln>
              <a:solidFill>
                <a:schemeClr val="tx1"/>
              </a:solidFill>
            </a:ln>
          </c:spPr>
          <c:marker>
            <c:symbol val="none"/>
          </c:marker>
          <c:xVal>
            <c:numRef>
              <c:f>Лист1!$A$2:$A$97</c:f>
              <c:numCache>
                <c:formatCode>General</c:formatCode>
                <c:ptCount val="9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pt idx="36">
                  <c:v>2041</c:v>
                </c:pt>
                <c:pt idx="37">
                  <c:v>2042</c:v>
                </c:pt>
                <c:pt idx="38">
                  <c:v>2043</c:v>
                </c:pt>
                <c:pt idx="39">
                  <c:v>2044</c:v>
                </c:pt>
                <c:pt idx="40">
                  <c:v>2045</c:v>
                </c:pt>
                <c:pt idx="41">
                  <c:v>2046</c:v>
                </c:pt>
                <c:pt idx="42">
                  <c:v>2047</c:v>
                </c:pt>
                <c:pt idx="43">
                  <c:v>2048</c:v>
                </c:pt>
                <c:pt idx="44">
                  <c:v>2049</c:v>
                </c:pt>
                <c:pt idx="45">
                  <c:v>2050</c:v>
                </c:pt>
                <c:pt idx="46">
                  <c:v>2051</c:v>
                </c:pt>
                <c:pt idx="47">
                  <c:v>2052</c:v>
                </c:pt>
                <c:pt idx="48">
                  <c:v>2053</c:v>
                </c:pt>
                <c:pt idx="49">
                  <c:v>2054</c:v>
                </c:pt>
                <c:pt idx="50">
                  <c:v>2055</c:v>
                </c:pt>
                <c:pt idx="51">
                  <c:v>2056</c:v>
                </c:pt>
                <c:pt idx="52">
                  <c:v>2057</c:v>
                </c:pt>
                <c:pt idx="53">
                  <c:v>2058</c:v>
                </c:pt>
                <c:pt idx="54">
                  <c:v>2059</c:v>
                </c:pt>
                <c:pt idx="55">
                  <c:v>2060</c:v>
                </c:pt>
                <c:pt idx="56">
                  <c:v>2061</c:v>
                </c:pt>
                <c:pt idx="57">
                  <c:v>2062</c:v>
                </c:pt>
                <c:pt idx="58">
                  <c:v>2063</c:v>
                </c:pt>
                <c:pt idx="59">
                  <c:v>2064</c:v>
                </c:pt>
                <c:pt idx="60">
                  <c:v>2065</c:v>
                </c:pt>
                <c:pt idx="61">
                  <c:v>2066</c:v>
                </c:pt>
                <c:pt idx="62">
                  <c:v>2067</c:v>
                </c:pt>
                <c:pt idx="63">
                  <c:v>2068</c:v>
                </c:pt>
                <c:pt idx="64">
                  <c:v>2069</c:v>
                </c:pt>
                <c:pt idx="65">
                  <c:v>2070</c:v>
                </c:pt>
                <c:pt idx="66">
                  <c:v>2071</c:v>
                </c:pt>
                <c:pt idx="67">
                  <c:v>2072</c:v>
                </c:pt>
                <c:pt idx="68">
                  <c:v>2073</c:v>
                </c:pt>
                <c:pt idx="69">
                  <c:v>2074</c:v>
                </c:pt>
                <c:pt idx="70">
                  <c:v>2075</c:v>
                </c:pt>
                <c:pt idx="71">
                  <c:v>2076</c:v>
                </c:pt>
                <c:pt idx="72">
                  <c:v>2077</c:v>
                </c:pt>
                <c:pt idx="73">
                  <c:v>2078</c:v>
                </c:pt>
                <c:pt idx="74">
                  <c:v>2079</c:v>
                </c:pt>
                <c:pt idx="75">
                  <c:v>2080</c:v>
                </c:pt>
                <c:pt idx="76">
                  <c:v>2081</c:v>
                </c:pt>
                <c:pt idx="77">
                  <c:v>2082</c:v>
                </c:pt>
                <c:pt idx="78">
                  <c:v>2083</c:v>
                </c:pt>
                <c:pt idx="79">
                  <c:v>2084</c:v>
                </c:pt>
                <c:pt idx="80">
                  <c:v>2085</c:v>
                </c:pt>
                <c:pt idx="81">
                  <c:v>2086</c:v>
                </c:pt>
                <c:pt idx="82">
                  <c:v>2087</c:v>
                </c:pt>
                <c:pt idx="83">
                  <c:v>2088</c:v>
                </c:pt>
                <c:pt idx="84">
                  <c:v>2089</c:v>
                </c:pt>
                <c:pt idx="85">
                  <c:v>2090</c:v>
                </c:pt>
                <c:pt idx="86">
                  <c:v>2091</c:v>
                </c:pt>
                <c:pt idx="87">
                  <c:v>2092</c:v>
                </c:pt>
                <c:pt idx="88">
                  <c:v>2093</c:v>
                </c:pt>
                <c:pt idx="89">
                  <c:v>2094</c:v>
                </c:pt>
                <c:pt idx="90">
                  <c:v>2095</c:v>
                </c:pt>
                <c:pt idx="91">
                  <c:v>2096</c:v>
                </c:pt>
                <c:pt idx="92">
                  <c:v>2097</c:v>
                </c:pt>
                <c:pt idx="93">
                  <c:v>2098</c:v>
                </c:pt>
                <c:pt idx="94">
                  <c:v>2099</c:v>
                </c:pt>
                <c:pt idx="95">
                  <c:v>2100</c:v>
                </c:pt>
              </c:numCache>
            </c:numRef>
          </c:xVal>
          <c:yVal>
            <c:numRef>
              <c:f>Лист1!$B$2:$B$97</c:f>
              <c:numCache>
                <c:formatCode>General</c:formatCode>
                <c:ptCount val="96"/>
                <c:pt idx="0">
                  <c:v>20772305</c:v>
                </c:pt>
                <c:pt idx="1">
                  <c:v>21364352.785648108</c:v>
                </c:pt>
                <c:pt idx="2">
                  <c:v>21966768.87894072</c:v>
                </c:pt>
                <c:pt idx="3">
                  <c:v>22594182.245959762</c:v>
                </c:pt>
                <c:pt idx="4">
                  <c:v>23248043.286461081</c:v>
                </c:pt>
                <c:pt idx="5">
                  <c:v>23928181.312594965</c:v>
                </c:pt>
                <c:pt idx="6">
                  <c:v>24632962.359194357</c:v>
                </c:pt>
                <c:pt idx="7">
                  <c:v>25366019.014946382</c:v>
                </c:pt>
                <c:pt idx="8">
                  <c:v>26119623.12097146</c:v>
                </c:pt>
                <c:pt idx="9">
                  <c:v>26880179.388483677</c:v>
                </c:pt>
                <c:pt idx="10">
                  <c:v>27649029.749742415</c:v>
                </c:pt>
                <c:pt idx="11">
                  <c:v>28425722.82559599</c:v>
                </c:pt>
                <c:pt idx="12">
                  <c:v>29214942.944920875</c:v>
                </c:pt>
                <c:pt idx="13">
                  <c:v>30014769.134352889</c:v>
                </c:pt>
                <c:pt idx="14">
                  <c:v>30837949.171151835</c:v>
                </c:pt>
                <c:pt idx="15">
                  <c:v>31682407.545652308</c:v>
                </c:pt>
                <c:pt idx="16">
                  <c:v>32543013.803664394</c:v>
                </c:pt>
                <c:pt idx="17">
                  <c:v>33426051.282437414</c:v>
                </c:pt>
                <c:pt idx="18">
                  <c:v>34351880.401273116</c:v>
                </c:pt>
                <c:pt idx="19">
                  <c:v>35292319.445348412</c:v>
                </c:pt>
                <c:pt idx="20">
                  <c:v>36248761.061173223</c:v>
                </c:pt>
                <c:pt idx="21">
                  <c:v>37216896.852190129</c:v>
                </c:pt>
                <c:pt idx="22">
                  <c:v>38195149.541012481</c:v>
                </c:pt>
                <c:pt idx="23">
                  <c:v>39208846.229010113</c:v>
                </c:pt>
                <c:pt idx="24">
                  <c:v>40237448.680954963</c:v>
                </c:pt>
                <c:pt idx="25">
                  <c:v>41282678.729748644</c:v>
                </c:pt>
                <c:pt idx="26">
                  <c:v>42345825.036354452</c:v>
                </c:pt>
                <c:pt idx="27">
                  <c:v>43415078.298037931</c:v>
                </c:pt>
                <c:pt idx="28">
                  <c:v>44517563.479676947</c:v>
                </c:pt>
                <c:pt idx="29">
                  <c:v>45635237.67220626</c:v>
                </c:pt>
                <c:pt idx="30">
                  <c:v>46770215.376862116</c:v>
                </c:pt>
                <c:pt idx="31">
                  <c:v>47927409.732253619</c:v>
                </c:pt>
                <c:pt idx="32">
                  <c:v>49092077.369946741</c:v>
                </c:pt>
                <c:pt idx="33">
                  <c:v>50292132.175061233</c:v>
                </c:pt>
                <c:pt idx="34">
                  <c:v>51506573.887630865</c:v>
                </c:pt>
                <c:pt idx="35">
                  <c:v>52736856.267564863</c:v>
                </c:pt>
                <c:pt idx="36">
                  <c:v>53986946.447275892</c:v>
                </c:pt>
                <c:pt idx="37">
                  <c:v>55245017.586388551</c:v>
                </c:pt>
                <c:pt idx="38">
                  <c:v>56526398.709838368</c:v>
                </c:pt>
                <c:pt idx="39">
                  <c:v>57820099.502516083</c:v>
                </c:pt>
                <c:pt idx="40">
                  <c:v>59126854.128116362</c:v>
                </c:pt>
                <c:pt idx="41">
                  <c:v>60449059.507206753</c:v>
                </c:pt>
                <c:pt idx="42">
                  <c:v>61778924.998539791</c:v>
                </c:pt>
                <c:pt idx="43">
                  <c:v>63146014.8258202</c:v>
                </c:pt>
                <c:pt idx="44">
                  <c:v>64524364.327318855</c:v>
                </c:pt>
                <c:pt idx="45">
                  <c:v>65913952.080538727</c:v>
                </c:pt>
                <c:pt idx="46">
                  <c:v>67315437.592083767</c:v>
                </c:pt>
                <c:pt idx="47">
                  <c:v>68723639.29655847</c:v>
                </c:pt>
                <c:pt idx="48">
                  <c:v>70154105.875464439</c:v>
                </c:pt>
                <c:pt idx="49">
                  <c:v>71590312.006313562</c:v>
                </c:pt>
                <c:pt idx="50">
                  <c:v>73032220.5782094</c:v>
                </c:pt>
                <c:pt idx="51">
                  <c:v>74480045.187911808</c:v>
                </c:pt>
                <c:pt idx="52">
                  <c:v>75929056.356768489</c:v>
                </c:pt>
                <c:pt idx="53">
                  <c:v>77412366.121225014</c:v>
                </c:pt>
                <c:pt idx="54">
                  <c:v>78900120.103170246</c:v>
                </c:pt>
                <c:pt idx="55">
                  <c:v>80392093.39267464</c:v>
                </c:pt>
                <c:pt idx="56">
                  <c:v>81888345.102455631</c:v>
                </c:pt>
                <c:pt idx="57">
                  <c:v>83383399.768645614</c:v>
                </c:pt>
                <c:pt idx="58">
                  <c:v>84895445.829128504</c:v>
                </c:pt>
                <c:pt idx="59">
                  <c:v>86413741.334725171</c:v>
                </c:pt>
                <c:pt idx="60">
                  <c:v>87938157.900843471</c:v>
                </c:pt>
                <c:pt idx="61">
                  <c:v>89468817.347067386</c:v>
                </c:pt>
                <c:pt idx="62">
                  <c:v>90999314.805268154</c:v>
                </c:pt>
                <c:pt idx="63">
                  <c:v>92549643.844018832</c:v>
                </c:pt>
                <c:pt idx="64">
                  <c:v>94099626.522479624</c:v>
                </c:pt>
                <c:pt idx="65">
                  <c:v>95649137.150976166</c:v>
                </c:pt>
                <c:pt idx="66">
                  <c:v>97198395.300294161</c:v>
                </c:pt>
                <c:pt idx="67">
                  <c:v>98740054.038668364</c:v>
                </c:pt>
                <c:pt idx="68">
                  <c:v>100316944.90512142</c:v>
                </c:pt>
                <c:pt idx="69">
                  <c:v>101890450.18976945</c:v>
                </c:pt>
                <c:pt idx="70">
                  <c:v>103460483.26091346</c:v>
                </c:pt>
                <c:pt idx="71">
                  <c:v>105027677.32139164</c:v>
                </c:pt>
                <c:pt idx="72">
                  <c:v>106584154.95201601</c:v>
                </c:pt>
                <c:pt idx="73">
                  <c:v>108153873.10195176</c:v>
                </c:pt>
                <c:pt idx="74">
                  <c:v>109716365.70841055</c:v>
                </c:pt>
                <c:pt idx="75">
                  <c:v>111271647.46251756</c:v>
                </c:pt>
                <c:pt idx="76">
                  <c:v>112820920.24866292</c:v>
                </c:pt>
                <c:pt idx="77">
                  <c:v>114356414.48097378</c:v>
                </c:pt>
                <c:pt idx="78">
                  <c:v>115905117.0313884</c:v>
                </c:pt>
                <c:pt idx="79">
                  <c:v>117447642.55569623</c:v>
                </c:pt>
                <c:pt idx="80">
                  <c:v>118984048.77404222</c:v>
                </c:pt>
                <c:pt idx="81">
                  <c:v>120515857.8955951</c:v>
                </c:pt>
                <c:pt idx="82">
                  <c:v>122036530.2527003</c:v>
                </c:pt>
                <c:pt idx="83">
                  <c:v>123575236.88689694</c:v>
                </c:pt>
                <c:pt idx="84">
                  <c:v>125098552.44659382</c:v>
                </c:pt>
                <c:pt idx="85">
                  <c:v>126606335.53176022</c:v>
                </c:pt>
                <c:pt idx="86">
                  <c:v>128099730.62923154</c:v>
                </c:pt>
                <c:pt idx="87">
                  <c:v>129574243.83030762</c:v>
                </c:pt>
                <c:pt idx="88">
                  <c:v>131062759.70904249</c:v>
                </c:pt>
                <c:pt idx="89">
                  <c:v>132530105.46738024</c:v>
                </c:pt>
                <c:pt idx="90">
                  <c:v>133975953.48053895</c:v>
                </c:pt>
                <c:pt idx="91">
                  <c:v>135445740.50096226</c:v>
                </c:pt>
                <c:pt idx="92">
                  <c:v>136907769.62633839</c:v>
                </c:pt>
                <c:pt idx="93">
                  <c:v>138361719.57296827</c:v>
                </c:pt>
                <c:pt idx="94">
                  <c:v>139809435.40646178</c:v>
                </c:pt>
                <c:pt idx="95">
                  <c:v>141250813.03150386</c:v>
                </c:pt>
              </c:numCache>
            </c:numRef>
          </c:yVal>
          <c:smooth val="1"/>
        </c:ser>
        <c:ser>
          <c:idx val="1"/>
          <c:order val="1"/>
          <c:tx>
            <c:strRef>
              <c:f>Лист1!$C$1</c:f>
              <c:strCache>
                <c:ptCount val="1"/>
                <c:pt idx="0">
                  <c:v>Population projections accounting for the recent fertility stall</c:v>
                </c:pt>
              </c:strCache>
            </c:strRef>
          </c:tx>
          <c:spPr>
            <a:ln>
              <a:solidFill>
                <a:schemeClr val="tx1">
                  <a:lumMod val="65000"/>
                  <a:lumOff val="35000"/>
                </a:schemeClr>
              </a:solidFill>
              <a:prstDash val="dash"/>
            </a:ln>
          </c:spPr>
          <c:marker>
            <c:symbol val="none"/>
          </c:marker>
          <c:xVal>
            <c:numRef>
              <c:f>Лист1!$A$2:$A$97</c:f>
              <c:numCache>
                <c:formatCode>General</c:formatCode>
                <c:ptCount val="9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pt idx="36">
                  <c:v>2041</c:v>
                </c:pt>
                <c:pt idx="37">
                  <c:v>2042</c:v>
                </c:pt>
                <c:pt idx="38">
                  <c:v>2043</c:v>
                </c:pt>
                <c:pt idx="39">
                  <c:v>2044</c:v>
                </c:pt>
                <c:pt idx="40">
                  <c:v>2045</c:v>
                </c:pt>
                <c:pt idx="41">
                  <c:v>2046</c:v>
                </c:pt>
                <c:pt idx="42">
                  <c:v>2047</c:v>
                </c:pt>
                <c:pt idx="43">
                  <c:v>2048</c:v>
                </c:pt>
                <c:pt idx="44">
                  <c:v>2049</c:v>
                </c:pt>
                <c:pt idx="45">
                  <c:v>2050</c:v>
                </c:pt>
                <c:pt idx="46">
                  <c:v>2051</c:v>
                </c:pt>
                <c:pt idx="47">
                  <c:v>2052</c:v>
                </c:pt>
                <c:pt idx="48">
                  <c:v>2053</c:v>
                </c:pt>
                <c:pt idx="49">
                  <c:v>2054</c:v>
                </c:pt>
                <c:pt idx="50">
                  <c:v>2055</c:v>
                </c:pt>
                <c:pt idx="51">
                  <c:v>2056</c:v>
                </c:pt>
                <c:pt idx="52">
                  <c:v>2057</c:v>
                </c:pt>
                <c:pt idx="53">
                  <c:v>2058</c:v>
                </c:pt>
                <c:pt idx="54">
                  <c:v>2059</c:v>
                </c:pt>
                <c:pt idx="55">
                  <c:v>2060</c:v>
                </c:pt>
                <c:pt idx="56">
                  <c:v>2061</c:v>
                </c:pt>
                <c:pt idx="57">
                  <c:v>2062</c:v>
                </c:pt>
                <c:pt idx="58">
                  <c:v>2063</c:v>
                </c:pt>
                <c:pt idx="59">
                  <c:v>2064</c:v>
                </c:pt>
                <c:pt idx="60">
                  <c:v>2065</c:v>
                </c:pt>
                <c:pt idx="61">
                  <c:v>2066</c:v>
                </c:pt>
                <c:pt idx="62">
                  <c:v>2067</c:v>
                </c:pt>
                <c:pt idx="63">
                  <c:v>2068</c:v>
                </c:pt>
                <c:pt idx="64">
                  <c:v>2069</c:v>
                </c:pt>
                <c:pt idx="65">
                  <c:v>2070</c:v>
                </c:pt>
                <c:pt idx="66">
                  <c:v>2071</c:v>
                </c:pt>
                <c:pt idx="67">
                  <c:v>2072</c:v>
                </c:pt>
                <c:pt idx="68">
                  <c:v>2073</c:v>
                </c:pt>
                <c:pt idx="69">
                  <c:v>2074</c:v>
                </c:pt>
                <c:pt idx="70">
                  <c:v>2075</c:v>
                </c:pt>
                <c:pt idx="71">
                  <c:v>2076</c:v>
                </c:pt>
                <c:pt idx="72">
                  <c:v>2077</c:v>
                </c:pt>
                <c:pt idx="73">
                  <c:v>2078</c:v>
                </c:pt>
                <c:pt idx="74">
                  <c:v>2079</c:v>
                </c:pt>
                <c:pt idx="75">
                  <c:v>2080</c:v>
                </c:pt>
                <c:pt idx="76">
                  <c:v>2081</c:v>
                </c:pt>
                <c:pt idx="77">
                  <c:v>2082</c:v>
                </c:pt>
                <c:pt idx="78">
                  <c:v>2083</c:v>
                </c:pt>
                <c:pt idx="79">
                  <c:v>2084</c:v>
                </c:pt>
                <c:pt idx="80">
                  <c:v>2085</c:v>
                </c:pt>
                <c:pt idx="81">
                  <c:v>2086</c:v>
                </c:pt>
                <c:pt idx="82">
                  <c:v>2087</c:v>
                </c:pt>
                <c:pt idx="83">
                  <c:v>2088</c:v>
                </c:pt>
                <c:pt idx="84">
                  <c:v>2089</c:v>
                </c:pt>
                <c:pt idx="85">
                  <c:v>2090</c:v>
                </c:pt>
                <c:pt idx="86">
                  <c:v>2091</c:v>
                </c:pt>
                <c:pt idx="87">
                  <c:v>2092</c:v>
                </c:pt>
                <c:pt idx="88">
                  <c:v>2093</c:v>
                </c:pt>
                <c:pt idx="89">
                  <c:v>2094</c:v>
                </c:pt>
                <c:pt idx="90">
                  <c:v>2095</c:v>
                </c:pt>
                <c:pt idx="91">
                  <c:v>2096</c:v>
                </c:pt>
                <c:pt idx="92">
                  <c:v>2097</c:v>
                </c:pt>
                <c:pt idx="93">
                  <c:v>2098</c:v>
                </c:pt>
                <c:pt idx="94">
                  <c:v>2099</c:v>
                </c:pt>
                <c:pt idx="95">
                  <c:v>2100</c:v>
                </c:pt>
              </c:numCache>
            </c:numRef>
          </c:xVal>
          <c:yVal>
            <c:numRef>
              <c:f>Лист1!$C$2:$C$97</c:f>
              <c:numCache>
                <c:formatCode>General</c:formatCode>
                <c:ptCount val="96"/>
                <c:pt idx="0">
                  <c:v>20772305</c:v>
                </c:pt>
                <c:pt idx="1">
                  <c:v>21364352.785648108</c:v>
                </c:pt>
                <c:pt idx="2">
                  <c:v>21966768.87894072</c:v>
                </c:pt>
                <c:pt idx="3">
                  <c:v>22594182.245959762</c:v>
                </c:pt>
                <c:pt idx="4">
                  <c:v>23248043.286461081</c:v>
                </c:pt>
                <c:pt idx="5">
                  <c:v>23928181.312594965</c:v>
                </c:pt>
                <c:pt idx="6">
                  <c:v>24632962.359194357</c:v>
                </c:pt>
                <c:pt idx="7">
                  <c:v>25366019.014946382</c:v>
                </c:pt>
                <c:pt idx="8">
                  <c:v>26119623.12097146</c:v>
                </c:pt>
                <c:pt idx="9">
                  <c:v>26895101.817648925</c:v>
                </c:pt>
                <c:pt idx="10">
                  <c:v>27662893.561609786</c:v>
                </c:pt>
                <c:pt idx="11">
                  <c:v>28425508.061103247</c:v>
                </c:pt>
                <c:pt idx="12">
                  <c:v>29187372.734301027</c:v>
                </c:pt>
                <c:pt idx="13">
                  <c:v>29946078.074143454</c:v>
                </c:pt>
                <c:pt idx="14">
                  <c:v>30701875.116174031</c:v>
                </c:pt>
                <c:pt idx="15">
                  <c:v>31468915.694425896</c:v>
                </c:pt>
                <c:pt idx="16">
                  <c:v>32239341.186569747</c:v>
                </c:pt>
                <c:pt idx="17">
                  <c:v>33017940.920189492</c:v>
                </c:pt>
                <c:pt idx="18">
                  <c:v>33824313.948403701</c:v>
                </c:pt>
                <c:pt idx="19">
                  <c:v>34639771.337298706</c:v>
                </c:pt>
                <c:pt idx="20">
                  <c:v>35465400.259458847</c:v>
                </c:pt>
                <c:pt idx="21">
                  <c:v>36297236.789204299</c:v>
                </c:pt>
                <c:pt idx="22">
                  <c:v>37132295.663568422</c:v>
                </c:pt>
                <c:pt idx="23">
                  <c:v>37993724.416678511</c:v>
                </c:pt>
                <c:pt idx="24">
                  <c:v>38861625.447005987</c:v>
                </c:pt>
                <c:pt idx="25">
                  <c:v>39739346.941350065</c:v>
                </c:pt>
                <c:pt idx="26">
                  <c:v>40627547.210442133</c:v>
                </c:pt>
                <c:pt idx="27">
                  <c:v>41514501.625510775</c:v>
                </c:pt>
                <c:pt idx="28">
                  <c:v>42424574.355750903</c:v>
                </c:pt>
                <c:pt idx="29">
                  <c:v>43339861.521246351</c:v>
                </c:pt>
                <c:pt idx="30">
                  <c:v>44264205.199108049</c:v>
                </c:pt>
                <c:pt idx="31">
                  <c:v>45200716.505177267</c:v>
                </c:pt>
                <c:pt idx="32">
                  <c:v>46135113.400249235</c:v>
                </c:pt>
                <c:pt idx="33">
                  <c:v>47090993.165540569</c:v>
                </c:pt>
                <c:pt idx="34">
                  <c:v>48046712.047517598</c:v>
                </c:pt>
                <c:pt idx="35">
                  <c:v>49004596.561359674</c:v>
                </c:pt>
                <c:pt idx="36">
                  <c:v>49966858.410599932</c:v>
                </c:pt>
                <c:pt idx="37">
                  <c:v>50922582.48880244</c:v>
                </c:pt>
                <c:pt idx="38">
                  <c:v>51884447.151301108</c:v>
                </c:pt>
                <c:pt idx="39">
                  <c:v>52840397.276048183</c:v>
                </c:pt>
                <c:pt idx="40">
                  <c:v>53793141.523354121</c:v>
                </c:pt>
                <c:pt idx="41">
                  <c:v>54744404.158409104</c:v>
                </c:pt>
                <c:pt idx="42">
                  <c:v>55687003.161380097</c:v>
                </c:pt>
                <c:pt idx="43">
                  <c:v>56646553.664918043</c:v>
                </c:pt>
                <c:pt idx="44">
                  <c:v>57598531.877162464</c:v>
                </c:pt>
                <c:pt idx="45">
                  <c:v>58537327.035465293</c:v>
                </c:pt>
                <c:pt idx="46">
                  <c:v>59463944.378743432</c:v>
                </c:pt>
                <c:pt idx="47">
                  <c:v>60373351.310977355</c:v>
                </c:pt>
                <c:pt idx="48">
                  <c:v>61279032.822096653</c:v>
                </c:pt>
                <c:pt idx="49">
                  <c:v>62214890.608191334</c:v>
                </c:pt>
                <c:pt idx="50">
                  <c:v>63142337.970599383</c:v>
                </c:pt>
                <c:pt idx="51">
                  <c:v>64064590.134413503</c:v>
                </c:pt>
                <c:pt idx="52">
                  <c:v>64977040.687615998</c:v>
                </c:pt>
                <c:pt idx="53">
                  <c:v>65908210.847146422</c:v>
                </c:pt>
                <c:pt idx="54">
                  <c:v>66830451.555179462</c:v>
                </c:pt>
                <c:pt idx="55">
                  <c:v>67745770.282370716</c:v>
                </c:pt>
                <c:pt idx="56">
                  <c:v>68654011.580490202</c:v>
                </c:pt>
                <c:pt idx="57">
                  <c:v>69549498.359430432</c:v>
                </c:pt>
                <c:pt idx="58">
                  <c:v>70447372.850294828</c:v>
                </c:pt>
                <c:pt idx="59">
                  <c:v>71335950.741417438</c:v>
                </c:pt>
                <c:pt idx="60">
                  <c:v>72217613.063207403</c:v>
                </c:pt>
                <c:pt idx="61">
                  <c:v>73092076.418703943</c:v>
                </c:pt>
                <c:pt idx="62">
                  <c:v>73952741.891011208</c:v>
                </c:pt>
                <c:pt idx="63">
                  <c:v>74816403.28719908</c:v>
                </c:pt>
                <c:pt idx="64">
                  <c:v>75663761.553868428</c:v>
                </c:pt>
                <c:pt idx="65">
                  <c:v>76496726.608010992</c:v>
                </c:pt>
                <c:pt idx="66">
                  <c:v>77315058.739865422</c:v>
                </c:pt>
                <c:pt idx="67">
                  <c:v>78111223.812634036</c:v>
                </c:pt>
                <c:pt idx="68">
                  <c:v>78920937.315234467</c:v>
                </c:pt>
                <c:pt idx="69">
                  <c:v>79708922.449783847</c:v>
                </c:pt>
                <c:pt idx="70">
                  <c:v>80480065.284857348</c:v>
                </c:pt>
                <c:pt idx="71">
                  <c:v>81235455.173296586</c:v>
                </c:pt>
                <c:pt idx="72">
                  <c:v>81968028.913216949</c:v>
                </c:pt>
                <c:pt idx="73">
                  <c:v>82698995.671691895</c:v>
                </c:pt>
                <c:pt idx="74">
                  <c:v>83409434.823362947</c:v>
                </c:pt>
                <c:pt idx="75">
                  <c:v>84102495.671684518</c:v>
                </c:pt>
                <c:pt idx="76">
                  <c:v>84780381.064366221</c:v>
                </c:pt>
                <c:pt idx="77">
                  <c:v>85436474.155210301</c:v>
                </c:pt>
                <c:pt idx="78">
                  <c:v>86095170.949219078</c:v>
                </c:pt>
                <c:pt idx="79">
                  <c:v>86738537.690790072</c:v>
                </c:pt>
                <c:pt idx="80">
                  <c:v>87367582.067336723</c:v>
                </c:pt>
                <c:pt idx="81">
                  <c:v>87984595.137602344</c:v>
                </c:pt>
                <c:pt idx="82">
                  <c:v>88583807.330911443</c:v>
                </c:pt>
                <c:pt idx="83">
                  <c:v>89190969.377505749</c:v>
                </c:pt>
                <c:pt idx="84">
                  <c:v>89776143.628599167</c:v>
                </c:pt>
                <c:pt idx="85">
                  <c:v>90340063.904570952</c:v>
                </c:pt>
                <c:pt idx="86">
                  <c:v>90884512.700999483</c:v>
                </c:pt>
                <c:pt idx="87">
                  <c:v>91405630.419125661</c:v>
                </c:pt>
                <c:pt idx="88">
                  <c:v>91932600.931867927</c:v>
                </c:pt>
                <c:pt idx="89">
                  <c:v>92433690.461022377</c:v>
                </c:pt>
                <c:pt idx="90">
                  <c:v>92910190.806594118</c:v>
                </c:pt>
                <c:pt idx="91">
                  <c:v>93410000</c:v>
                </c:pt>
                <c:pt idx="92">
                  <c:v>93910000</c:v>
                </c:pt>
                <c:pt idx="93">
                  <c:v>94410000</c:v>
                </c:pt>
                <c:pt idx="94">
                  <c:v>94910000</c:v>
                </c:pt>
                <c:pt idx="95">
                  <c:v>95410000</c:v>
                </c:pt>
              </c:numCache>
            </c:numRef>
          </c:yVal>
          <c:smooth val="1"/>
        </c:ser>
        <c:ser>
          <c:idx val="2"/>
          <c:order val="2"/>
          <c:tx>
            <c:strRef>
              <c:f>Лист1!$D$1</c:f>
              <c:strCache>
                <c:ptCount val="1"/>
                <c:pt idx="0">
                  <c:v>UN medium scenario</c:v>
                </c:pt>
              </c:strCache>
            </c:strRef>
          </c:tx>
          <c:spPr>
            <a:ln>
              <a:solidFill>
                <a:schemeClr val="accent1"/>
              </a:solidFill>
            </a:ln>
          </c:spPr>
          <c:marker>
            <c:symbol val="none"/>
          </c:marker>
          <c:xVal>
            <c:numRef>
              <c:f>Лист1!$A$2:$A$97</c:f>
              <c:numCache>
                <c:formatCode>General</c:formatCode>
                <c:ptCount val="9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pt idx="36">
                  <c:v>2041</c:v>
                </c:pt>
                <c:pt idx="37">
                  <c:v>2042</c:v>
                </c:pt>
                <c:pt idx="38">
                  <c:v>2043</c:v>
                </c:pt>
                <c:pt idx="39">
                  <c:v>2044</c:v>
                </c:pt>
                <c:pt idx="40">
                  <c:v>2045</c:v>
                </c:pt>
                <c:pt idx="41">
                  <c:v>2046</c:v>
                </c:pt>
                <c:pt idx="42">
                  <c:v>2047</c:v>
                </c:pt>
                <c:pt idx="43">
                  <c:v>2048</c:v>
                </c:pt>
                <c:pt idx="44">
                  <c:v>2049</c:v>
                </c:pt>
                <c:pt idx="45">
                  <c:v>2050</c:v>
                </c:pt>
                <c:pt idx="46">
                  <c:v>2051</c:v>
                </c:pt>
                <c:pt idx="47">
                  <c:v>2052</c:v>
                </c:pt>
                <c:pt idx="48">
                  <c:v>2053</c:v>
                </c:pt>
                <c:pt idx="49">
                  <c:v>2054</c:v>
                </c:pt>
                <c:pt idx="50">
                  <c:v>2055</c:v>
                </c:pt>
                <c:pt idx="51">
                  <c:v>2056</c:v>
                </c:pt>
                <c:pt idx="52">
                  <c:v>2057</c:v>
                </c:pt>
                <c:pt idx="53">
                  <c:v>2058</c:v>
                </c:pt>
                <c:pt idx="54">
                  <c:v>2059</c:v>
                </c:pt>
                <c:pt idx="55">
                  <c:v>2060</c:v>
                </c:pt>
                <c:pt idx="56">
                  <c:v>2061</c:v>
                </c:pt>
                <c:pt idx="57">
                  <c:v>2062</c:v>
                </c:pt>
                <c:pt idx="58">
                  <c:v>2063</c:v>
                </c:pt>
                <c:pt idx="59">
                  <c:v>2064</c:v>
                </c:pt>
                <c:pt idx="60">
                  <c:v>2065</c:v>
                </c:pt>
                <c:pt idx="61">
                  <c:v>2066</c:v>
                </c:pt>
                <c:pt idx="62">
                  <c:v>2067</c:v>
                </c:pt>
                <c:pt idx="63">
                  <c:v>2068</c:v>
                </c:pt>
                <c:pt idx="64">
                  <c:v>2069</c:v>
                </c:pt>
                <c:pt idx="65">
                  <c:v>2070</c:v>
                </c:pt>
                <c:pt idx="66">
                  <c:v>2071</c:v>
                </c:pt>
                <c:pt idx="67">
                  <c:v>2072</c:v>
                </c:pt>
                <c:pt idx="68">
                  <c:v>2073</c:v>
                </c:pt>
                <c:pt idx="69">
                  <c:v>2074</c:v>
                </c:pt>
                <c:pt idx="70">
                  <c:v>2075</c:v>
                </c:pt>
                <c:pt idx="71">
                  <c:v>2076</c:v>
                </c:pt>
                <c:pt idx="72">
                  <c:v>2077</c:v>
                </c:pt>
                <c:pt idx="73">
                  <c:v>2078</c:v>
                </c:pt>
                <c:pt idx="74">
                  <c:v>2079</c:v>
                </c:pt>
                <c:pt idx="75">
                  <c:v>2080</c:v>
                </c:pt>
                <c:pt idx="76">
                  <c:v>2081</c:v>
                </c:pt>
                <c:pt idx="77">
                  <c:v>2082</c:v>
                </c:pt>
                <c:pt idx="78">
                  <c:v>2083</c:v>
                </c:pt>
                <c:pt idx="79">
                  <c:v>2084</c:v>
                </c:pt>
                <c:pt idx="80">
                  <c:v>2085</c:v>
                </c:pt>
                <c:pt idx="81">
                  <c:v>2086</c:v>
                </c:pt>
                <c:pt idx="82">
                  <c:v>2087</c:v>
                </c:pt>
                <c:pt idx="83">
                  <c:v>2088</c:v>
                </c:pt>
                <c:pt idx="84">
                  <c:v>2089</c:v>
                </c:pt>
                <c:pt idx="85">
                  <c:v>2090</c:v>
                </c:pt>
                <c:pt idx="86">
                  <c:v>2091</c:v>
                </c:pt>
                <c:pt idx="87">
                  <c:v>2092</c:v>
                </c:pt>
                <c:pt idx="88">
                  <c:v>2093</c:v>
                </c:pt>
                <c:pt idx="89">
                  <c:v>2094</c:v>
                </c:pt>
                <c:pt idx="90">
                  <c:v>2095</c:v>
                </c:pt>
                <c:pt idx="91">
                  <c:v>2096</c:v>
                </c:pt>
                <c:pt idx="92">
                  <c:v>2097</c:v>
                </c:pt>
                <c:pt idx="93">
                  <c:v>2098</c:v>
                </c:pt>
                <c:pt idx="94">
                  <c:v>2099</c:v>
                </c:pt>
                <c:pt idx="95">
                  <c:v>2100</c:v>
                </c:pt>
              </c:numCache>
            </c:numRef>
          </c:xVal>
          <c:yVal>
            <c:numRef>
              <c:f>Лист1!$D$2:$D$97</c:f>
              <c:numCache>
                <c:formatCode>General</c:formatCode>
                <c:ptCount val="96"/>
                <c:pt idx="0">
                  <c:v>20770000</c:v>
                </c:pt>
                <c:pt idx="5">
                  <c:v>23391000</c:v>
                </c:pt>
                <c:pt idx="10">
                  <c:v>26162000</c:v>
                </c:pt>
                <c:pt idx="15">
                  <c:v>29177000</c:v>
                </c:pt>
                <c:pt idx="20">
                  <c:v>32439000</c:v>
                </c:pt>
                <c:pt idx="25">
                  <c:v>35907000</c:v>
                </c:pt>
                <c:pt idx="30">
                  <c:v>39459000</c:v>
                </c:pt>
                <c:pt idx="35">
                  <c:v>43021000</c:v>
                </c:pt>
                <c:pt idx="40">
                  <c:v>46592000</c:v>
                </c:pt>
                <c:pt idx="45">
                  <c:v>50192000</c:v>
                </c:pt>
                <c:pt idx="50">
                  <c:v>53780000</c:v>
                </c:pt>
                <c:pt idx="55">
                  <c:v>57280000</c:v>
                </c:pt>
                <c:pt idx="60">
                  <c:v>60616000</c:v>
                </c:pt>
                <c:pt idx="65">
                  <c:v>63743000</c:v>
                </c:pt>
                <c:pt idx="70">
                  <c:v>66654000</c:v>
                </c:pt>
                <c:pt idx="75">
                  <c:v>69335000</c:v>
                </c:pt>
                <c:pt idx="80">
                  <c:v>71754000</c:v>
                </c:pt>
                <c:pt idx="85">
                  <c:v>73892000</c:v>
                </c:pt>
                <c:pt idx="90">
                  <c:v>75751000</c:v>
                </c:pt>
                <c:pt idx="95">
                  <c:v>77347000</c:v>
                </c:pt>
              </c:numCache>
            </c:numRef>
          </c:yVal>
          <c:smooth val="1"/>
        </c:ser>
        <c:dLbls>
          <c:showLegendKey val="0"/>
          <c:showVal val="0"/>
          <c:showCatName val="0"/>
          <c:showSerName val="0"/>
          <c:showPercent val="0"/>
          <c:showBubbleSize val="0"/>
        </c:dLbls>
        <c:axId val="200503680"/>
        <c:axId val="200505216"/>
      </c:scatterChart>
      <c:valAx>
        <c:axId val="200503680"/>
        <c:scaling>
          <c:orientation val="minMax"/>
          <c:max val="2100"/>
          <c:min val="2005"/>
        </c:scaling>
        <c:delete val="0"/>
        <c:axPos val="b"/>
        <c:numFmt formatCode="General" sourceLinked="1"/>
        <c:majorTickMark val="out"/>
        <c:minorTickMark val="none"/>
        <c:tickLblPos val="nextTo"/>
        <c:txPr>
          <a:bodyPr rot="-5400000" vert="horz"/>
          <a:lstStyle/>
          <a:p>
            <a:pPr>
              <a:defRPr/>
            </a:pPr>
            <a:endParaRPr lang="ru-RU"/>
          </a:p>
        </c:txPr>
        <c:crossAx val="200505216"/>
        <c:crosses val="autoZero"/>
        <c:crossBetween val="midCat"/>
        <c:majorUnit val="5"/>
      </c:valAx>
      <c:valAx>
        <c:axId val="200505216"/>
        <c:scaling>
          <c:orientation val="minMax"/>
        </c:scaling>
        <c:delete val="0"/>
        <c:axPos val="l"/>
        <c:majorGridlines/>
        <c:numFmt formatCode="#,##0" sourceLinked="0"/>
        <c:majorTickMark val="out"/>
        <c:minorTickMark val="none"/>
        <c:tickLblPos val="nextTo"/>
        <c:crossAx val="200503680"/>
        <c:crosses val="autoZero"/>
        <c:crossBetween val="midCat"/>
        <c:dispUnits>
          <c:builtInUnit val="millions"/>
          <c:dispUnitsLbl>
            <c:tx>
              <c:rich>
                <a:bodyPr/>
                <a:lstStyle/>
                <a:p>
                  <a:pPr>
                    <a:defRPr/>
                  </a:pPr>
                  <a:r>
                    <a:rPr lang="en-US" sz="1100"/>
                    <a:t>Millions</a:t>
                  </a:r>
                  <a:endParaRPr lang="ru-RU" sz="1100"/>
                </a:p>
              </c:rich>
            </c:tx>
          </c:dispUnitsLbl>
        </c:dispUnits>
      </c:valAx>
    </c:plotArea>
    <c:legend>
      <c:legendPos val="r"/>
      <c:overlay val="0"/>
    </c:legend>
    <c:plotVisOnly val="1"/>
    <c:dispBlanksAs val="span"/>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Mozambique population dynamics forecasts</a:t>
            </a:r>
            <a:endParaRPr lang="ru-RU"/>
          </a:p>
        </c:rich>
      </c:tx>
      <c:overlay val="0"/>
      <c:spPr>
        <a:noFill/>
        <a:ln>
          <a:noFill/>
        </a:ln>
        <a:effectLst/>
      </c:spPr>
    </c:title>
    <c:autoTitleDeleted val="0"/>
    <c:plotArea>
      <c:layout/>
      <c:scatterChart>
        <c:scatterStyle val="smoothMarker"/>
        <c:varyColors val="0"/>
        <c:ser>
          <c:idx val="0"/>
          <c:order val="0"/>
          <c:tx>
            <c:strRef>
              <c:f>численность!$B$1</c:f>
              <c:strCache>
                <c:ptCount val="1"/>
                <c:pt idx="0">
                  <c:v>Accelerated fertility decline to 1,8 children per woman</c:v>
                </c:pt>
              </c:strCache>
            </c:strRef>
          </c:tx>
          <c:spPr>
            <a:ln w="19050" cap="rnd">
              <a:solidFill>
                <a:schemeClr val="accent1"/>
              </a:solidFill>
              <a:round/>
            </a:ln>
            <a:effectLst/>
          </c:spPr>
          <c:marker>
            <c:symbol val="none"/>
          </c:marker>
          <c:xVal>
            <c:numRef>
              <c:f>численность!$A$2:$A$92</c:f>
              <c:numCache>
                <c:formatCode>General</c:formatCode>
                <c:ptCount val="9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pt idx="61">
                  <c:v>2071</c:v>
                </c:pt>
                <c:pt idx="62">
                  <c:v>2072</c:v>
                </c:pt>
                <c:pt idx="63">
                  <c:v>2073</c:v>
                </c:pt>
                <c:pt idx="64">
                  <c:v>2074</c:v>
                </c:pt>
                <c:pt idx="65">
                  <c:v>2075</c:v>
                </c:pt>
                <c:pt idx="66">
                  <c:v>2076</c:v>
                </c:pt>
                <c:pt idx="67">
                  <c:v>2077</c:v>
                </c:pt>
                <c:pt idx="68">
                  <c:v>2078</c:v>
                </c:pt>
                <c:pt idx="69">
                  <c:v>2079</c:v>
                </c:pt>
                <c:pt idx="70">
                  <c:v>2080</c:v>
                </c:pt>
                <c:pt idx="71">
                  <c:v>2081</c:v>
                </c:pt>
                <c:pt idx="72">
                  <c:v>2082</c:v>
                </c:pt>
                <c:pt idx="73">
                  <c:v>2083</c:v>
                </c:pt>
                <c:pt idx="74">
                  <c:v>2084</c:v>
                </c:pt>
                <c:pt idx="75">
                  <c:v>2085</c:v>
                </c:pt>
                <c:pt idx="76">
                  <c:v>2086</c:v>
                </c:pt>
                <c:pt idx="77">
                  <c:v>2087</c:v>
                </c:pt>
                <c:pt idx="78">
                  <c:v>2088</c:v>
                </c:pt>
                <c:pt idx="79">
                  <c:v>2089</c:v>
                </c:pt>
                <c:pt idx="80">
                  <c:v>2090</c:v>
                </c:pt>
                <c:pt idx="81">
                  <c:v>2091</c:v>
                </c:pt>
                <c:pt idx="82">
                  <c:v>2092</c:v>
                </c:pt>
                <c:pt idx="83">
                  <c:v>2093</c:v>
                </c:pt>
                <c:pt idx="84">
                  <c:v>2094</c:v>
                </c:pt>
                <c:pt idx="85">
                  <c:v>2095</c:v>
                </c:pt>
                <c:pt idx="86">
                  <c:v>2096</c:v>
                </c:pt>
                <c:pt idx="87">
                  <c:v>2097</c:v>
                </c:pt>
                <c:pt idx="88">
                  <c:v>2098</c:v>
                </c:pt>
                <c:pt idx="89">
                  <c:v>2099</c:v>
                </c:pt>
                <c:pt idx="90">
                  <c:v>2100</c:v>
                </c:pt>
              </c:numCache>
            </c:numRef>
          </c:xVal>
          <c:yVal>
            <c:numRef>
              <c:f>численность!$B$2:$B$92</c:f>
              <c:numCache>
                <c:formatCode>General</c:formatCode>
                <c:ptCount val="91"/>
                <c:pt idx="0">
                  <c:v>23970010</c:v>
                </c:pt>
                <c:pt idx="1">
                  <c:v>24624857.369035967</c:v>
                </c:pt>
                <c:pt idx="2">
                  <c:v>25292057.516818337</c:v>
                </c:pt>
                <c:pt idx="3">
                  <c:v>25988214.625778534</c:v>
                </c:pt>
                <c:pt idx="4">
                  <c:v>26713395.874314502</c:v>
                </c:pt>
                <c:pt idx="5">
                  <c:v>27467519.119396228</c:v>
                </c:pt>
                <c:pt idx="6">
                  <c:v>28201951.901605502</c:v>
                </c:pt>
                <c:pt idx="7">
                  <c:v>28926849.406998809</c:v>
                </c:pt>
                <c:pt idx="8">
                  <c:v>29639589.401217997</c:v>
                </c:pt>
                <c:pt idx="9">
                  <c:v>30338190.20641569</c:v>
                </c:pt>
                <c:pt idx="10">
                  <c:v>31020550.128319427</c:v>
                </c:pt>
                <c:pt idx="11">
                  <c:v>31684299.532637645</c:v>
                </c:pt>
                <c:pt idx="12">
                  <c:v>32329876.651567295</c:v>
                </c:pt>
                <c:pt idx="13">
                  <c:v>32953663.914453756</c:v>
                </c:pt>
                <c:pt idx="14">
                  <c:v>33553202.13696593</c:v>
                </c:pt>
                <c:pt idx="15">
                  <c:v>34125545.938534394</c:v>
                </c:pt>
                <c:pt idx="16">
                  <c:v>34665376.308740154</c:v>
                </c:pt>
                <c:pt idx="17">
                  <c:v>35171542.13615334</c:v>
                </c:pt>
                <c:pt idx="18">
                  <c:v>35641818.702139154</c:v>
                </c:pt>
                <c:pt idx="19">
                  <c:v>36073709.823550135</c:v>
                </c:pt>
                <c:pt idx="20">
                  <c:v>36464253.802663758</c:v>
                </c:pt>
                <c:pt idx="21">
                  <c:v>36807038.628047086</c:v>
                </c:pt>
                <c:pt idx="22">
                  <c:v>37151226.660381824</c:v>
                </c:pt>
                <c:pt idx="23">
                  <c:v>37494481.274393715</c:v>
                </c:pt>
                <c:pt idx="24">
                  <c:v>37836905.929390356</c:v>
                </c:pt>
                <c:pt idx="25">
                  <c:v>38178720.709748313</c:v>
                </c:pt>
                <c:pt idx="26">
                  <c:v>38518502.107951768</c:v>
                </c:pt>
                <c:pt idx="27">
                  <c:v>38870095.9865136</c:v>
                </c:pt>
                <c:pt idx="28">
                  <c:v>39232034.721565388</c:v>
                </c:pt>
                <c:pt idx="29">
                  <c:v>39605564.568939447</c:v>
                </c:pt>
                <c:pt idx="30">
                  <c:v>39991727.428006813</c:v>
                </c:pt>
                <c:pt idx="31">
                  <c:v>40393329.910029672</c:v>
                </c:pt>
                <c:pt idx="32">
                  <c:v>40796942.532828189</c:v>
                </c:pt>
                <c:pt idx="33">
                  <c:v>41202567.968320198</c:v>
                </c:pt>
                <c:pt idx="34">
                  <c:v>41609533.048753738</c:v>
                </c:pt>
                <c:pt idx="35">
                  <c:v>42016851.662521064</c:v>
                </c:pt>
                <c:pt idx="36">
                  <c:v>42424853.98029916</c:v>
                </c:pt>
                <c:pt idx="37">
                  <c:v>42824466.388199866</c:v>
                </c:pt>
                <c:pt idx="38">
                  <c:v>43215003.014800921</c:v>
                </c:pt>
                <c:pt idx="39">
                  <c:v>43595365.726410359</c:v>
                </c:pt>
                <c:pt idx="40">
                  <c:v>43964226.941735283</c:v>
                </c:pt>
                <c:pt idx="41">
                  <c:v>44320885.70679456</c:v>
                </c:pt>
                <c:pt idx="42">
                  <c:v>44658089.971093118</c:v>
                </c:pt>
                <c:pt idx="43">
                  <c:v>44976482.159421742</c:v>
                </c:pt>
                <c:pt idx="44">
                  <c:v>45274744.234113827</c:v>
                </c:pt>
                <c:pt idx="45">
                  <c:v>45553323.724078931</c:v>
                </c:pt>
                <c:pt idx="46">
                  <c:v>45812840.556235015</c:v>
                </c:pt>
                <c:pt idx="47">
                  <c:v>46049160.009730473</c:v>
                </c:pt>
                <c:pt idx="48">
                  <c:v>46265013.067003548</c:v>
                </c:pt>
                <c:pt idx="49">
                  <c:v>46462189.072761804</c:v>
                </c:pt>
                <c:pt idx="50">
                  <c:v>46643526.868167087</c:v>
                </c:pt>
                <c:pt idx="51">
                  <c:v>46812157.219021067</c:v>
                </c:pt>
                <c:pt idx="52">
                  <c:v>46966053.93326585</c:v>
                </c:pt>
                <c:pt idx="53">
                  <c:v>47107859.665960133</c:v>
                </c:pt>
                <c:pt idx="54">
                  <c:v>47240098.4674481</c:v>
                </c:pt>
                <c:pt idx="55">
                  <c:v>47365216.583431646</c:v>
                </c:pt>
                <c:pt idx="56">
                  <c:v>47485758.431918792</c:v>
                </c:pt>
                <c:pt idx="57">
                  <c:v>47598196.794449836</c:v>
                </c:pt>
                <c:pt idx="58">
                  <c:v>47704061.294146821</c:v>
                </c:pt>
                <c:pt idx="59">
                  <c:v>47804562.270121932</c:v>
                </c:pt>
                <c:pt idx="60">
                  <c:v>47900648.276698425</c:v>
                </c:pt>
                <c:pt idx="61">
                  <c:v>47993350.732373402</c:v>
                </c:pt>
                <c:pt idx="62">
                  <c:v>48077010.177029863</c:v>
                </c:pt>
                <c:pt idx="63">
                  <c:v>48152178.806943357</c:v>
                </c:pt>
                <c:pt idx="64">
                  <c:v>48219275.59826681</c:v>
                </c:pt>
                <c:pt idx="65">
                  <c:v>48278261.823494077</c:v>
                </c:pt>
                <c:pt idx="66">
                  <c:v>48329398.061240874</c:v>
                </c:pt>
                <c:pt idx="67">
                  <c:v>48365726.680660687</c:v>
                </c:pt>
                <c:pt idx="68">
                  <c:v>48387908.744127795</c:v>
                </c:pt>
                <c:pt idx="69">
                  <c:v>48396340.870340526</c:v>
                </c:pt>
                <c:pt idx="70">
                  <c:v>48391359.912978157</c:v>
                </c:pt>
                <c:pt idx="71">
                  <c:v>48373958.657021672</c:v>
                </c:pt>
                <c:pt idx="72">
                  <c:v>48337721.647146583</c:v>
                </c:pt>
                <c:pt idx="73">
                  <c:v>48284453.288766578</c:v>
                </c:pt>
                <c:pt idx="74">
                  <c:v>48215180.626111642</c:v>
                </c:pt>
                <c:pt idx="75">
                  <c:v>48131367.365555726</c:v>
                </c:pt>
                <c:pt idx="76">
                  <c:v>48035401.66251976</c:v>
                </c:pt>
                <c:pt idx="77">
                  <c:v>47922195.456938669</c:v>
                </c:pt>
                <c:pt idx="78">
                  <c:v>47794644.378602996</c:v>
                </c:pt>
                <c:pt idx="79">
                  <c:v>47655124.054507181</c:v>
                </c:pt>
                <c:pt idx="80">
                  <c:v>47503869.162368894</c:v>
                </c:pt>
                <c:pt idx="81">
                  <c:v>47344072.886191562</c:v>
                </c:pt>
                <c:pt idx="82">
                  <c:v>47171960.112243444</c:v>
                </c:pt>
                <c:pt idx="83">
                  <c:v>46990451.780144222</c:v>
                </c:pt>
                <c:pt idx="84">
                  <c:v>46801760.648392387</c:v>
                </c:pt>
                <c:pt idx="85">
                  <c:v>46607764.57250452</c:v>
                </c:pt>
                <c:pt idx="86">
                  <c:v>46411240.601143397</c:v>
                </c:pt>
                <c:pt idx="87">
                  <c:v>46209329.881644189</c:v>
                </c:pt>
                <c:pt idx="88">
                  <c:v>46004105.764850691</c:v>
                </c:pt>
                <c:pt idx="89">
                  <c:v>45796847.538090497</c:v>
                </c:pt>
                <c:pt idx="90">
                  <c:v>45588585.693287157</c:v>
                </c:pt>
              </c:numCache>
            </c:numRef>
          </c:yVal>
          <c:smooth val="1"/>
        </c:ser>
        <c:ser>
          <c:idx val="1"/>
          <c:order val="1"/>
          <c:tx>
            <c:strRef>
              <c:f>численность!$C$1</c:f>
              <c:strCache>
                <c:ptCount val="1"/>
                <c:pt idx="0">
                  <c:v>Accelerated fertility decline to 2,1 children per woman</c:v>
                </c:pt>
              </c:strCache>
            </c:strRef>
          </c:tx>
          <c:spPr>
            <a:ln w="19050" cap="rnd">
              <a:solidFill>
                <a:schemeClr val="accent2"/>
              </a:solidFill>
              <a:round/>
            </a:ln>
            <a:effectLst/>
          </c:spPr>
          <c:marker>
            <c:symbol val="none"/>
          </c:marker>
          <c:xVal>
            <c:numRef>
              <c:f>численность!$A$2:$A$92</c:f>
              <c:numCache>
                <c:formatCode>General</c:formatCode>
                <c:ptCount val="9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pt idx="61">
                  <c:v>2071</c:v>
                </c:pt>
                <c:pt idx="62">
                  <c:v>2072</c:v>
                </c:pt>
                <c:pt idx="63">
                  <c:v>2073</c:v>
                </c:pt>
                <c:pt idx="64">
                  <c:v>2074</c:v>
                </c:pt>
                <c:pt idx="65">
                  <c:v>2075</c:v>
                </c:pt>
                <c:pt idx="66">
                  <c:v>2076</c:v>
                </c:pt>
                <c:pt idx="67">
                  <c:v>2077</c:v>
                </c:pt>
                <c:pt idx="68">
                  <c:v>2078</c:v>
                </c:pt>
                <c:pt idx="69">
                  <c:v>2079</c:v>
                </c:pt>
                <c:pt idx="70">
                  <c:v>2080</c:v>
                </c:pt>
                <c:pt idx="71">
                  <c:v>2081</c:v>
                </c:pt>
                <c:pt idx="72">
                  <c:v>2082</c:v>
                </c:pt>
                <c:pt idx="73">
                  <c:v>2083</c:v>
                </c:pt>
                <c:pt idx="74">
                  <c:v>2084</c:v>
                </c:pt>
                <c:pt idx="75">
                  <c:v>2085</c:v>
                </c:pt>
                <c:pt idx="76">
                  <c:v>2086</c:v>
                </c:pt>
                <c:pt idx="77">
                  <c:v>2087</c:v>
                </c:pt>
                <c:pt idx="78">
                  <c:v>2088</c:v>
                </c:pt>
                <c:pt idx="79">
                  <c:v>2089</c:v>
                </c:pt>
                <c:pt idx="80">
                  <c:v>2090</c:v>
                </c:pt>
                <c:pt idx="81">
                  <c:v>2091</c:v>
                </c:pt>
                <c:pt idx="82">
                  <c:v>2092</c:v>
                </c:pt>
                <c:pt idx="83">
                  <c:v>2093</c:v>
                </c:pt>
                <c:pt idx="84">
                  <c:v>2094</c:v>
                </c:pt>
                <c:pt idx="85">
                  <c:v>2095</c:v>
                </c:pt>
                <c:pt idx="86">
                  <c:v>2096</c:v>
                </c:pt>
                <c:pt idx="87">
                  <c:v>2097</c:v>
                </c:pt>
                <c:pt idx="88">
                  <c:v>2098</c:v>
                </c:pt>
                <c:pt idx="89">
                  <c:v>2099</c:v>
                </c:pt>
                <c:pt idx="90">
                  <c:v>2100</c:v>
                </c:pt>
              </c:numCache>
            </c:numRef>
          </c:xVal>
          <c:yVal>
            <c:numRef>
              <c:f>численность!$C$2:$C$92</c:f>
              <c:numCache>
                <c:formatCode>General</c:formatCode>
                <c:ptCount val="91"/>
                <c:pt idx="0">
                  <c:v>23970010</c:v>
                </c:pt>
                <c:pt idx="1">
                  <c:v>24624857.369035967</c:v>
                </c:pt>
                <c:pt idx="2">
                  <c:v>25292057.516818337</c:v>
                </c:pt>
                <c:pt idx="3">
                  <c:v>25988214.625778534</c:v>
                </c:pt>
                <c:pt idx="4">
                  <c:v>26713395.874314502</c:v>
                </c:pt>
                <c:pt idx="5">
                  <c:v>27467519.119396228</c:v>
                </c:pt>
                <c:pt idx="6">
                  <c:v>28201951.901605502</c:v>
                </c:pt>
                <c:pt idx="7">
                  <c:v>28926849.406998809</c:v>
                </c:pt>
                <c:pt idx="8">
                  <c:v>29639589.401217997</c:v>
                </c:pt>
                <c:pt idx="9">
                  <c:v>30338190.20641569</c:v>
                </c:pt>
                <c:pt idx="10">
                  <c:v>31020550.128319427</c:v>
                </c:pt>
                <c:pt idx="11">
                  <c:v>31684299.532637645</c:v>
                </c:pt>
                <c:pt idx="12">
                  <c:v>32329876.651567295</c:v>
                </c:pt>
                <c:pt idx="13">
                  <c:v>32953663.914453756</c:v>
                </c:pt>
                <c:pt idx="14">
                  <c:v>33553202.13696593</c:v>
                </c:pt>
                <c:pt idx="15">
                  <c:v>34125545.938534394</c:v>
                </c:pt>
                <c:pt idx="16">
                  <c:v>34665376.308740154</c:v>
                </c:pt>
                <c:pt idx="17">
                  <c:v>35171542.13615334</c:v>
                </c:pt>
                <c:pt idx="18">
                  <c:v>35641818.702139154</c:v>
                </c:pt>
                <c:pt idx="19">
                  <c:v>36073709.823550135</c:v>
                </c:pt>
                <c:pt idx="20">
                  <c:v>36464253.802663758</c:v>
                </c:pt>
                <c:pt idx="21">
                  <c:v>36807038.628047086</c:v>
                </c:pt>
                <c:pt idx="22">
                  <c:v>37170590.859544948</c:v>
                </c:pt>
                <c:pt idx="23">
                  <c:v>37551996.649923101</c:v>
                </c:pt>
                <c:pt idx="24">
                  <c:v>37952216.32323321</c:v>
                </c:pt>
                <c:pt idx="25">
                  <c:v>38372542.255353123</c:v>
                </c:pt>
                <c:pt idx="26">
                  <c:v>38814085.255202577</c:v>
                </c:pt>
                <c:pt idx="27">
                  <c:v>39267749.181330875</c:v>
                </c:pt>
                <c:pt idx="28">
                  <c:v>39732608.288570426</c:v>
                </c:pt>
                <c:pt idx="29">
                  <c:v>40209288.716772825</c:v>
                </c:pt>
                <c:pt idx="30">
                  <c:v>40698157.294692516</c:v>
                </c:pt>
                <c:pt idx="31">
                  <c:v>41201033.510989681</c:v>
                </c:pt>
                <c:pt idx="32">
                  <c:v>41704949.597340845</c:v>
                </c:pt>
                <c:pt idx="33">
                  <c:v>42209701.296996057</c:v>
                </c:pt>
                <c:pt idx="34">
                  <c:v>42714446.442518853</c:v>
                </c:pt>
                <c:pt idx="35">
                  <c:v>43218032.18600142</c:v>
                </c:pt>
                <c:pt idx="36">
                  <c:v>43720305.640205115</c:v>
                </c:pt>
                <c:pt idx="37">
                  <c:v>44212087.907140508</c:v>
                </c:pt>
                <c:pt idx="38">
                  <c:v>44693175.103395313</c:v>
                </c:pt>
                <c:pt idx="39">
                  <c:v>45162971.732423231</c:v>
                </c:pt>
                <c:pt idx="40">
                  <c:v>45620706.676403254</c:v>
                </c:pt>
                <c:pt idx="41">
                  <c:v>46066308.629978262</c:v>
                </c:pt>
                <c:pt idx="42">
                  <c:v>46492594.611239374</c:v>
                </c:pt>
                <c:pt idx="43">
                  <c:v>46901617.624611631</c:v>
                </c:pt>
                <c:pt idx="44">
                  <c:v>47293372.135860704</c:v>
                </c:pt>
                <c:pt idx="45">
                  <c:v>47669806.860365063</c:v>
                </c:pt>
                <c:pt idx="46">
                  <c:v>48033302.500627734</c:v>
                </c:pt>
                <c:pt idx="47">
                  <c:v>48381027.83745221</c:v>
                </c:pt>
                <c:pt idx="48">
                  <c:v>48715736.15542727</c:v>
                </c:pt>
                <c:pt idx="49">
                  <c:v>49039142.445645556</c:v>
                </c:pt>
                <c:pt idx="50">
                  <c:v>49354009.55817762</c:v>
                </c:pt>
                <c:pt idx="51">
                  <c:v>49663404.134691305</c:v>
                </c:pt>
                <c:pt idx="52">
                  <c:v>49965010.739807382</c:v>
                </c:pt>
                <c:pt idx="53">
                  <c:v>50260656.182683505</c:v>
                </c:pt>
                <c:pt idx="54">
                  <c:v>50551994.668518685</c:v>
                </c:pt>
                <c:pt idx="55">
                  <c:v>50840527.656651273</c:v>
                </c:pt>
                <c:pt idx="56">
                  <c:v>51127773.494470201</c:v>
                </c:pt>
                <c:pt idx="57">
                  <c:v>51408992.14020963</c:v>
                </c:pt>
                <c:pt idx="58">
                  <c:v>51685086.115740925</c:v>
                </c:pt>
                <c:pt idx="59">
                  <c:v>51956682.269432366</c:v>
                </c:pt>
                <c:pt idx="60">
                  <c:v>52224211.306585722</c:v>
                </c:pt>
                <c:pt idx="61">
                  <c:v>52488257.087916158</c:v>
                </c:pt>
                <c:pt idx="62">
                  <c:v>52742758.994195268</c:v>
                </c:pt>
                <c:pt idx="63">
                  <c:v>52988163.394791186</c:v>
                </c:pt>
                <c:pt idx="64">
                  <c:v>53224840.882524513</c:v>
                </c:pt>
                <c:pt idx="65">
                  <c:v>53452888.838247254</c:v>
                </c:pt>
                <c:pt idx="66">
                  <c:v>53672840.415774703</c:v>
                </c:pt>
                <c:pt idx="67">
                  <c:v>53878170.313607246</c:v>
                </c:pt>
                <c:pt idx="68">
                  <c:v>54070112.510649562</c:v>
                </c:pt>
                <c:pt idx="69">
                  <c:v>54249657.116998099</c:v>
                </c:pt>
                <c:pt idx="70">
                  <c:v>54417740.889543563</c:v>
                </c:pt>
                <c:pt idx="71">
                  <c:v>54575956.748369806</c:v>
                </c:pt>
                <c:pt idx="72">
                  <c:v>54718502.604462609</c:v>
                </c:pt>
                <c:pt idx="73">
                  <c:v>54847715.598859176</c:v>
                </c:pt>
                <c:pt idx="74">
                  <c:v>54965009.760666028</c:v>
                </c:pt>
                <c:pt idx="75">
                  <c:v>55072140.927539751</c:v>
                </c:pt>
                <c:pt idx="76">
                  <c:v>55171655.689018406</c:v>
                </c:pt>
                <c:pt idx="77">
                  <c:v>55258474.973499238</c:v>
                </c:pt>
                <c:pt idx="78">
                  <c:v>55335398.422699198</c:v>
                </c:pt>
                <c:pt idx="79">
                  <c:v>55404615.524154313</c:v>
                </c:pt>
                <c:pt idx="80">
                  <c:v>55465972.110352017</c:v>
                </c:pt>
                <c:pt idx="81">
                  <c:v>55522299.12686424</c:v>
                </c:pt>
                <c:pt idx="82">
                  <c:v>55569373.338491142</c:v>
                </c:pt>
                <c:pt idx="83">
                  <c:v>55609597.705385268</c:v>
                </c:pt>
                <c:pt idx="84">
                  <c:v>55644673.237028703</c:v>
                </c:pt>
                <c:pt idx="85">
                  <c:v>55675981.898403771</c:v>
                </c:pt>
                <c:pt idx="86">
                  <c:v>55705833.114396974</c:v>
                </c:pt>
                <c:pt idx="87">
                  <c:v>55730932.128302261</c:v>
                </c:pt>
                <c:pt idx="88">
                  <c:v>55752967.785549529</c:v>
                </c:pt>
                <c:pt idx="89">
                  <c:v>55772916.454537615</c:v>
                </c:pt>
                <c:pt idx="90">
                  <c:v>55791588.129928082</c:v>
                </c:pt>
              </c:numCache>
            </c:numRef>
          </c:yVal>
          <c:smooth val="1"/>
        </c:ser>
        <c:ser>
          <c:idx val="2"/>
          <c:order val="2"/>
          <c:tx>
            <c:strRef>
              <c:f>численность!$D$1</c:f>
              <c:strCache>
                <c:ptCount val="1"/>
                <c:pt idx="0">
                  <c:v>15-year long continuation of fertility stall with subsequent decline</c:v>
                </c:pt>
              </c:strCache>
            </c:strRef>
          </c:tx>
          <c:spPr>
            <a:ln w="19050" cap="rnd">
              <a:solidFill>
                <a:schemeClr val="accent3"/>
              </a:solidFill>
              <a:round/>
            </a:ln>
            <a:effectLst/>
          </c:spPr>
          <c:marker>
            <c:symbol val="none"/>
          </c:marker>
          <c:xVal>
            <c:numRef>
              <c:f>численность!$A$2:$A$92</c:f>
              <c:numCache>
                <c:formatCode>General</c:formatCode>
                <c:ptCount val="9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pt idx="61">
                  <c:v>2071</c:v>
                </c:pt>
                <c:pt idx="62">
                  <c:v>2072</c:v>
                </c:pt>
                <c:pt idx="63">
                  <c:v>2073</c:v>
                </c:pt>
                <c:pt idx="64">
                  <c:v>2074</c:v>
                </c:pt>
                <c:pt idx="65">
                  <c:v>2075</c:v>
                </c:pt>
                <c:pt idx="66">
                  <c:v>2076</c:v>
                </c:pt>
                <c:pt idx="67">
                  <c:v>2077</c:v>
                </c:pt>
                <c:pt idx="68">
                  <c:v>2078</c:v>
                </c:pt>
                <c:pt idx="69">
                  <c:v>2079</c:v>
                </c:pt>
                <c:pt idx="70">
                  <c:v>2080</c:v>
                </c:pt>
                <c:pt idx="71">
                  <c:v>2081</c:v>
                </c:pt>
                <c:pt idx="72">
                  <c:v>2082</c:v>
                </c:pt>
                <c:pt idx="73">
                  <c:v>2083</c:v>
                </c:pt>
                <c:pt idx="74">
                  <c:v>2084</c:v>
                </c:pt>
                <c:pt idx="75">
                  <c:v>2085</c:v>
                </c:pt>
                <c:pt idx="76">
                  <c:v>2086</c:v>
                </c:pt>
                <c:pt idx="77">
                  <c:v>2087</c:v>
                </c:pt>
                <c:pt idx="78">
                  <c:v>2088</c:v>
                </c:pt>
                <c:pt idx="79">
                  <c:v>2089</c:v>
                </c:pt>
                <c:pt idx="80">
                  <c:v>2090</c:v>
                </c:pt>
                <c:pt idx="81">
                  <c:v>2091</c:v>
                </c:pt>
                <c:pt idx="82">
                  <c:v>2092</c:v>
                </c:pt>
                <c:pt idx="83">
                  <c:v>2093</c:v>
                </c:pt>
                <c:pt idx="84">
                  <c:v>2094</c:v>
                </c:pt>
                <c:pt idx="85">
                  <c:v>2095</c:v>
                </c:pt>
                <c:pt idx="86">
                  <c:v>2096</c:v>
                </c:pt>
                <c:pt idx="87">
                  <c:v>2097</c:v>
                </c:pt>
                <c:pt idx="88">
                  <c:v>2098</c:v>
                </c:pt>
                <c:pt idx="89">
                  <c:v>2099</c:v>
                </c:pt>
                <c:pt idx="90">
                  <c:v>2100</c:v>
                </c:pt>
              </c:numCache>
            </c:numRef>
          </c:xVal>
          <c:yVal>
            <c:numRef>
              <c:f>численность!$D$2:$D$92</c:f>
              <c:numCache>
                <c:formatCode>General</c:formatCode>
                <c:ptCount val="91"/>
                <c:pt idx="0">
                  <c:v>23970010</c:v>
                </c:pt>
                <c:pt idx="1">
                  <c:v>24624857.369035967</c:v>
                </c:pt>
                <c:pt idx="2">
                  <c:v>25292057.516818337</c:v>
                </c:pt>
                <c:pt idx="3">
                  <c:v>25988214.625778534</c:v>
                </c:pt>
                <c:pt idx="4">
                  <c:v>26713395.874314502</c:v>
                </c:pt>
                <c:pt idx="5">
                  <c:v>27467519.119396228</c:v>
                </c:pt>
                <c:pt idx="6">
                  <c:v>28249459.425678521</c:v>
                </c:pt>
                <c:pt idx="7">
                  <c:v>29067564.067591675</c:v>
                </c:pt>
                <c:pt idx="8">
                  <c:v>29921552.812184066</c:v>
                </c:pt>
                <c:pt idx="9">
                  <c:v>30811797.443145223</c:v>
                </c:pt>
                <c:pt idx="10">
                  <c:v>31738569.208066009</c:v>
                </c:pt>
                <c:pt idx="11">
                  <c:v>32701898.77581495</c:v>
                </c:pt>
                <c:pt idx="12">
                  <c:v>33706314.574147828</c:v>
                </c:pt>
                <c:pt idx="13">
                  <c:v>34750886.85758844</c:v>
                </c:pt>
                <c:pt idx="14">
                  <c:v>35835900.184488773</c:v>
                </c:pt>
                <c:pt idx="15">
                  <c:v>36961049.292049631</c:v>
                </c:pt>
                <c:pt idx="16">
                  <c:v>38120472.208657548</c:v>
                </c:pt>
                <c:pt idx="17">
                  <c:v>39319792.464695305</c:v>
                </c:pt>
                <c:pt idx="18">
                  <c:v>40561500.106437653</c:v>
                </c:pt>
                <c:pt idx="19">
                  <c:v>41848369.223487884</c:v>
                </c:pt>
                <c:pt idx="20">
                  <c:v>43183126.89308437</c:v>
                </c:pt>
                <c:pt idx="21">
                  <c:v>44565347.631914519</c:v>
                </c:pt>
                <c:pt idx="22">
                  <c:v>45972557.96605134</c:v>
                </c:pt>
                <c:pt idx="23">
                  <c:v>47410997.199551813</c:v>
                </c:pt>
                <c:pt idx="24">
                  <c:v>48884367.895750538</c:v>
                </c:pt>
                <c:pt idx="25">
                  <c:v>50396878.069309913</c:v>
                </c:pt>
                <c:pt idx="26">
                  <c:v>51952962.324161723</c:v>
                </c:pt>
                <c:pt idx="27">
                  <c:v>53542810.296077505</c:v>
                </c:pt>
                <c:pt idx="28">
                  <c:v>55167991.976350233</c:v>
                </c:pt>
                <c:pt idx="29">
                  <c:v>56832989.199549697</c:v>
                </c:pt>
                <c:pt idx="30">
                  <c:v>58542043.086524546</c:v>
                </c:pt>
                <c:pt idx="31">
                  <c:v>60300475.901846007</c:v>
                </c:pt>
                <c:pt idx="32">
                  <c:v>62093192.674583554</c:v>
                </c:pt>
                <c:pt idx="33">
                  <c:v>63924756.66645623</c:v>
                </c:pt>
                <c:pt idx="34">
                  <c:v>65799045.007745117</c:v>
                </c:pt>
                <c:pt idx="35">
                  <c:v>67719803.030350715</c:v>
                </c:pt>
                <c:pt idx="36">
                  <c:v>69692100.357169062</c:v>
                </c:pt>
                <c:pt idx="37">
                  <c:v>71706073.399680108</c:v>
                </c:pt>
                <c:pt idx="38">
                  <c:v>73764241.174426228</c:v>
                </c:pt>
                <c:pt idx="39">
                  <c:v>75868830.808067501</c:v>
                </c:pt>
                <c:pt idx="40">
                  <c:v>78022116.725118458</c:v>
                </c:pt>
                <c:pt idx="41">
                  <c:v>80228506.001793534</c:v>
                </c:pt>
                <c:pt idx="42">
                  <c:v>82478573.906202585</c:v>
                </c:pt>
                <c:pt idx="43">
                  <c:v>84772740.42172949</c:v>
                </c:pt>
                <c:pt idx="44">
                  <c:v>87107042.748100847</c:v>
                </c:pt>
                <c:pt idx="45">
                  <c:v>89481661.601738513</c:v>
                </c:pt>
                <c:pt idx="46">
                  <c:v>91897941.525777608</c:v>
                </c:pt>
                <c:pt idx="47">
                  <c:v>94348655.58277981</c:v>
                </c:pt>
                <c:pt idx="48">
                  <c:v>96833329.357404232</c:v>
                </c:pt>
                <c:pt idx="49">
                  <c:v>99349032.083898619</c:v>
                </c:pt>
                <c:pt idx="50">
                  <c:v>101895230.77515325</c:v>
                </c:pt>
                <c:pt idx="51">
                  <c:v>104472194.0005386</c:v>
                </c:pt>
                <c:pt idx="52">
                  <c:v>107073069.59293333</c:v>
                </c:pt>
                <c:pt idx="53">
                  <c:v>109697342.40189949</c:v>
                </c:pt>
                <c:pt idx="54">
                  <c:v>112344295.85612571</c:v>
                </c:pt>
                <c:pt idx="55">
                  <c:v>115013092.92337757</c:v>
                </c:pt>
                <c:pt idx="56">
                  <c:v>117702949.67137694</c:v>
                </c:pt>
                <c:pt idx="57">
                  <c:v>120405774.57982257</c:v>
                </c:pt>
                <c:pt idx="58">
                  <c:v>123121216.32435702</c:v>
                </c:pt>
                <c:pt idx="59">
                  <c:v>125848351.31663689</c:v>
                </c:pt>
                <c:pt idx="60">
                  <c:v>128585892.66067867</c:v>
                </c:pt>
                <c:pt idx="61">
                  <c:v>131332552.47136977</c:v>
                </c:pt>
                <c:pt idx="62">
                  <c:v>134080334.7154557</c:v>
                </c:pt>
                <c:pt idx="63">
                  <c:v>136828637.32337296</c:v>
                </c:pt>
                <c:pt idx="64">
                  <c:v>139575394.36602557</c:v>
                </c:pt>
                <c:pt idx="65">
                  <c:v>142318676.96780926</c:v>
                </c:pt>
                <c:pt idx="66">
                  <c:v>145056585.88983196</c:v>
                </c:pt>
                <c:pt idx="67">
                  <c:v>147779699.06213325</c:v>
                </c:pt>
                <c:pt idx="68">
                  <c:v>150486609.4270696</c:v>
                </c:pt>
                <c:pt idx="69">
                  <c:v>153175188.52724957</c:v>
                </c:pt>
                <c:pt idx="70">
                  <c:v>155842809.1455707</c:v>
                </c:pt>
                <c:pt idx="71">
                  <c:v>158487068.34571552</c:v>
                </c:pt>
                <c:pt idx="72">
                  <c:v>161097508.30374435</c:v>
                </c:pt>
                <c:pt idx="73">
                  <c:v>163672029.06357908</c:v>
                </c:pt>
                <c:pt idx="74">
                  <c:v>166206893.20984644</c:v>
                </c:pt>
                <c:pt idx="75">
                  <c:v>168698975.68402666</c:v>
                </c:pt>
                <c:pt idx="76">
                  <c:v>171145747.00967252</c:v>
                </c:pt>
                <c:pt idx="77">
                  <c:v>173536491.91140443</c:v>
                </c:pt>
                <c:pt idx="78">
                  <c:v>175868638.88773575</c:v>
                </c:pt>
                <c:pt idx="79">
                  <c:v>178139086.83250242</c:v>
                </c:pt>
                <c:pt idx="80">
                  <c:v>180340516.7247653</c:v>
                </c:pt>
                <c:pt idx="81">
                  <c:v>182470463.48414555</c:v>
                </c:pt>
                <c:pt idx="82">
                  <c:v>184524766.72091693</c:v>
                </c:pt>
                <c:pt idx="83">
                  <c:v>186501118.24765244</c:v>
                </c:pt>
                <c:pt idx="84">
                  <c:v>188396801.78982738</c:v>
                </c:pt>
                <c:pt idx="85">
                  <c:v>190208962.22060817</c:v>
                </c:pt>
                <c:pt idx="86">
                  <c:v>191935846.51871377</c:v>
                </c:pt>
                <c:pt idx="87">
                  <c:v>193658235.19517776</c:v>
                </c:pt>
                <c:pt idx="88">
                  <c:v>195373434.73727995</c:v>
                </c:pt>
                <c:pt idx="89">
                  <c:v>197079342.98961043</c:v>
                </c:pt>
                <c:pt idx="90">
                  <c:v>198773637.20572233</c:v>
                </c:pt>
              </c:numCache>
            </c:numRef>
          </c:yVal>
          <c:smooth val="1"/>
        </c:ser>
        <c:dLbls>
          <c:showLegendKey val="0"/>
          <c:showVal val="0"/>
          <c:showCatName val="0"/>
          <c:showSerName val="0"/>
          <c:showPercent val="0"/>
          <c:showBubbleSize val="0"/>
        </c:dLbls>
        <c:axId val="205990912"/>
        <c:axId val="206000896"/>
      </c:scatterChart>
      <c:valAx>
        <c:axId val="205990912"/>
        <c:scaling>
          <c:orientation val="minMax"/>
          <c:max val="2100"/>
          <c:min val="20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00896"/>
        <c:crosses val="autoZero"/>
        <c:crossBetween val="midCat"/>
      </c:valAx>
      <c:valAx>
        <c:axId val="206000896"/>
        <c:scaling>
          <c:orientation val="minMax"/>
          <c:min val="20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9909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35761154855644"/>
          <c:y val="5.1400554097404488E-2"/>
          <c:w val="0.51347572178477685"/>
          <c:h val="0.78632327209098862"/>
        </c:manualLayout>
      </c:layout>
      <c:scatterChart>
        <c:scatterStyle val="smoothMarker"/>
        <c:varyColors val="0"/>
        <c:ser>
          <c:idx val="0"/>
          <c:order val="0"/>
          <c:tx>
            <c:strRef>
              <c:f>'[UN Africa forecasts_2001_2012_eng4.xlsx]Танзания'!$B$2</c:f>
              <c:strCache>
                <c:ptCount val="1"/>
                <c:pt idx="0">
                  <c:v>2012 forecast</c:v>
                </c:pt>
              </c:strCache>
            </c:strRef>
          </c:tx>
          <c:spPr>
            <a:ln>
              <a:solidFill>
                <a:schemeClr val="tx1"/>
              </a:solidFill>
            </a:ln>
          </c:spPr>
          <c:marker>
            <c:spPr>
              <a:solidFill>
                <a:schemeClr val="bg1"/>
              </a:solidFill>
              <a:ln>
                <a:solidFill>
                  <a:schemeClr val="tx1"/>
                </a:solidFill>
              </a:ln>
            </c:spPr>
          </c:marker>
          <c:xVal>
            <c:numRef>
              <c:f>'[UN Africa forecasts_2001_2012_eng4.xlsx]Танзания'!$A$3:$A$6</c:f>
              <c:numCache>
                <c:formatCode>General</c:formatCode>
                <c:ptCount val="4"/>
                <c:pt idx="0">
                  <c:v>2000</c:v>
                </c:pt>
                <c:pt idx="1">
                  <c:v>2015</c:v>
                </c:pt>
                <c:pt idx="2">
                  <c:v>2025</c:v>
                </c:pt>
                <c:pt idx="3">
                  <c:v>2050</c:v>
                </c:pt>
              </c:numCache>
            </c:numRef>
          </c:xVal>
          <c:yVal>
            <c:numRef>
              <c:f>'[UN Africa forecasts_2001_2012_eng4.xlsx]Танзания'!$B$3:$B$6</c:f>
              <c:numCache>
                <c:formatCode>General</c:formatCode>
                <c:ptCount val="4"/>
                <c:pt idx="0">
                  <c:v>34021</c:v>
                </c:pt>
                <c:pt idx="1">
                  <c:v>52291</c:v>
                </c:pt>
                <c:pt idx="2">
                  <c:v>69329</c:v>
                </c:pt>
                <c:pt idx="3">
                  <c:v>129417</c:v>
                </c:pt>
              </c:numCache>
            </c:numRef>
          </c:yVal>
          <c:smooth val="1"/>
        </c:ser>
        <c:ser>
          <c:idx val="1"/>
          <c:order val="1"/>
          <c:tx>
            <c:strRef>
              <c:f>'[UN Africa forecasts_2001_2012_eng4.xlsx]Танзания'!$C$2</c:f>
              <c:strCache>
                <c:ptCount val="1"/>
                <c:pt idx="0">
                  <c:v>2000 forecast</c:v>
                </c:pt>
              </c:strCache>
            </c:strRef>
          </c:tx>
          <c:spPr>
            <a:ln>
              <a:solidFill>
                <a:srgbClr val="00B050"/>
              </a:solidFill>
            </a:ln>
          </c:spPr>
          <c:marker>
            <c:symbol val="circle"/>
            <c:size val="7"/>
            <c:spPr>
              <a:solidFill>
                <a:srgbClr val="00B050"/>
              </a:solidFill>
              <a:ln>
                <a:solidFill>
                  <a:srgbClr val="00B050"/>
                </a:solidFill>
              </a:ln>
            </c:spPr>
          </c:marker>
          <c:xVal>
            <c:numRef>
              <c:f>'[UN Africa forecasts_2001_2012_eng4.xlsx]Танзания'!$A$3:$A$6</c:f>
              <c:numCache>
                <c:formatCode>General</c:formatCode>
                <c:ptCount val="4"/>
                <c:pt idx="0">
                  <c:v>2000</c:v>
                </c:pt>
                <c:pt idx="1">
                  <c:v>2015</c:v>
                </c:pt>
                <c:pt idx="2">
                  <c:v>2025</c:v>
                </c:pt>
                <c:pt idx="3">
                  <c:v>2050</c:v>
                </c:pt>
              </c:numCache>
            </c:numRef>
          </c:xVal>
          <c:yVal>
            <c:numRef>
              <c:f>'[UN Africa forecasts_2001_2012_eng4.xlsx]Танзания'!$C$3:$C$6</c:f>
              <c:numCache>
                <c:formatCode>General</c:formatCode>
                <c:ptCount val="4"/>
                <c:pt idx="0">
                  <c:v>35119</c:v>
                </c:pt>
                <c:pt idx="1">
                  <c:v>49343</c:v>
                </c:pt>
                <c:pt idx="2">
                  <c:v>60395</c:v>
                </c:pt>
                <c:pt idx="3">
                  <c:v>82740</c:v>
                </c:pt>
              </c:numCache>
            </c:numRef>
          </c:yVal>
          <c:smooth val="1"/>
        </c:ser>
        <c:dLbls>
          <c:showLegendKey val="0"/>
          <c:showVal val="0"/>
          <c:showCatName val="0"/>
          <c:showSerName val="0"/>
          <c:showPercent val="0"/>
          <c:showBubbleSize val="0"/>
        </c:dLbls>
        <c:axId val="198021120"/>
        <c:axId val="198023040"/>
      </c:scatterChart>
      <c:valAx>
        <c:axId val="198021120"/>
        <c:scaling>
          <c:orientation val="minMax"/>
          <c:max val="2050"/>
          <c:min val="2000"/>
        </c:scaling>
        <c:delete val="0"/>
        <c:axPos val="b"/>
        <c:majorGridlines/>
        <c:numFmt formatCode="General" sourceLinked="1"/>
        <c:majorTickMark val="out"/>
        <c:minorTickMark val="none"/>
        <c:tickLblPos val="nextTo"/>
        <c:txPr>
          <a:bodyPr rot="5400000" vert="horz"/>
          <a:lstStyle/>
          <a:p>
            <a:pPr>
              <a:defRPr/>
            </a:pPr>
            <a:endParaRPr lang="ru-RU"/>
          </a:p>
        </c:txPr>
        <c:crossAx val="198023040"/>
        <c:crosses val="autoZero"/>
        <c:crossBetween val="midCat"/>
      </c:valAx>
      <c:valAx>
        <c:axId val="198023040"/>
        <c:scaling>
          <c:orientation val="minMax"/>
        </c:scaling>
        <c:delete val="0"/>
        <c:axPos val="l"/>
        <c:majorGridlines/>
        <c:numFmt formatCode="#,##0" sourceLinked="0"/>
        <c:majorTickMark val="out"/>
        <c:minorTickMark val="none"/>
        <c:tickLblPos val="nextTo"/>
        <c:crossAx val="198021120"/>
        <c:crosses val="autoZero"/>
        <c:crossBetween val="midCat"/>
      </c:valAx>
    </c:plotArea>
    <c:legend>
      <c:legendPos val="r"/>
      <c:layout>
        <c:manualLayout>
          <c:xMode val="edge"/>
          <c:yMode val="edge"/>
          <c:x val="0.69556200787401579"/>
          <c:y val="0.3603433945756781"/>
          <c:w val="0.26277132545931758"/>
          <c:h val="0.2793132108486439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35761154855644"/>
          <c:y val="5.1400554097404488E-2"/>
          <c:w val="0.52147227452349643"/>
          <c:h val="0.78632327209098862"/>
        </c:manualLayout>
      </c:layout>
      <c:scatterChart>
        <c:scatterStyle val="smoothMarker"/>
        <c:varyColors val="0"/>
        <c:ser>
          <c:idx val="0"/>
          <c:order val="0"/>
          <c:tx>
            <c:strRef>
              <c:f>'[UN Africa forecasts_2001_2012_eng4.xlsx]Замбия'!$B$2</c:f>
              <c:strCache>
                <c:ptCount val="1"/>
                <c:pt idx="0">
                  <c:v>2012 forecast</c:v>
                </c:pt>
              </c:strCache>
            </c:strRef>
          </c:tx>
          <c:spPr>
            <a:ln>
              <a:solidFill>
                <a:schemeClr val="tx1"/>
              </a:solidFill>
            </a:ln>
          </c:spPr>
          <c:marker>
            <c:spPr>
              <a:solidFill>
                <a:schemeClr val="bg1"/>
              </a:solidFill>
              <a:ln>
                <a:solidFill>
                  <a:schemeClr val="tx1"/>
                </a:solidFill>
              </a:ln>
            </c:spPr>
          </c:marker>
          <c:xVal>
            <c:numRef>
              <c:f>'[UN Africa forecasts_2001_2012_eng4.xlsx]Замбия'!$A$3:$A$6</c:f>
              <c:numCache>
                <c:formatCode>General</c:formatCode>
                <c:ptCount val="4"/>
                <c:pt idx="0">
                  <c:v>2000</c:v>
                </c:pt>
                <c:pt idx="1">
                  <c:v>2015</c:v>
                </c:pt>
                <c:pt idx="2">
                  <c:v>2025</c:v>
                </c:pt>
                <c:pt idx="3">
                  <c:v>2050</c:v>
                </c:pt>
              </c:numCache>
            </c:numRef>
          </c:xVal>
          <c:yVal>
            <c:numRef>
              <c:f>'[UN Africa forecasts_2001_2012_eng4.xlsx]Замбия'!$B$3:$B$6</c:f>
              <c:numCache>
                <c:formatCode>General</c:formatCode>
                <c:ptCount val="4"/>
                <c:pt idx="0">
                  <c:v>10101</c:v>
                </c:pt>
                <c:pt idx="1">
                  <c:v>15520</c:v>
                </c:pt>
                <c:pt idx="2">
                  <c:v>21388</c:v>
                </c:pt>
                <c:pt idx="3">
                  <c:v>44206</c:v>
                </c:pt>
              </c:numCache>
            </c:numRef>
          </c:yVal>
          <c:smooth val="1"/>
        </c:ser>
        <c:ser>
          <c:idx val="1"/>
          <c:order val="1"/>
          <c:tx>
            <c:strRef>
              <c:f>'[UN Africa forecasts_2001_2012_eng4.xlsx]Замбия'!$C$2</c:f>
              <c:strCache>
                <c:ptCount val="1"/>
                <c:pt idx="0">
                  <c:v>2000 forecast</c:v>
                </c:pt>
              </c:strCache>
            </c:strRef>
          </c:tx>
          <c:spPr>
            <a:ln>
              <a:solidFill>
                <a:srgbClr val="00B050"/>
              </a:solidFill>
            </a:ln>
          </c:spPr>
          <c:marker>
            <c:symbol val="circle"/>
            <c:size val="7"/>
            <c:spPr>
              <a:solidFill>
                <a:srgbClr val="00B050"/>
              </a:solidFill>
              <a:ln>
                <a:solidFill>
                  <a:srgbClr val="00B050"/>
                </a:solidFill>
              </a:ln>
            </c:spPr>
          </c:marker>
          <c:xVal>
            <c:numRef>
              <c:f>'[UN Africa forecasts_2001_2012_eng4.xlsx]Замбия'!$A$3:$A$6</c:f>
              <c:numCache>
                <c:formatCode>General</c:formatCode>
                <c:ptCount val="4"/>
                <c:pt idx="0">
                  <c:v>2000</c:v>
                </c:pt>
                <c:pt idx="1">
                  <c:v>2015</c:v>
                </c:pt>
                <c:pt idx="2">
                  <c:v>2025</c:v>
                </c:pt>
                <c:pt idx="3">
                  <c:v>2050</c:v>
                </c:pt>
              </c:numCache>
            </c:numRef>
          </c:xVal>
          <c:yVal>
            <c:numRef>
              <c:f>'[UN Africa forecasts_2001_2012_eng4.xlsx]Замбия'!$C$3:$C$6</c:f>
              <c:numCache>
                <c:formatCode>General</c:formatCode>
                <c:ptCount val="4"/>
                <c:pt idx="0">
                  <c:v>10421</c:v>
                </c:pt>
                <c:pt idx="1">
                  <c:v>14796</c:v>
                </c:pt>
                <c:pt idx="2">
                  <c:v>19026</c:v>
                </c:pt>
                <c:pt idx="3">
                  <c:v>29262</c:v>
                </c:pt>
              </c:numCache>
            </c:numRef>
          </c:yVal>
          <c:smooth val="1"/>
        </c:ser>
        <c:dLbls>
          <c:showLegendKey val="0"/>
          <c:showVal val="0"/>
          <c:showCatName val="0"/>
          <c:showSerName val="0"/>
          <c:showPercent val="0"/>
          <c:showBubbleSize val="0"/>
        </c:dLbls>
        <c:axId val="198031232"/>
        <c:axId val="198045696"/>
      </c:scatterChart>
      <c:valAx>
        <c:axId val="198031232"/>
        <c:scaling>
          <c:orientation val="minMax"/>
          <c:max val="2050"/>
          <c:min val="2000"/>
        </c:scaling>
        <c:delete val="0"/>
        <c:axPos val="b"/>
        <c:majorGridlines/>
        <c:numFmt formatCode="General" sourceLinked="1"/>
        <c:majorTickMark val="out"/>
        <c:minorTickMark val="none"/>
        <c:tickLblPos val="nextTo"/>
        <c:txPr>
          <a:bodyPr rot="5400000" vert="horz"/>
          <a:lstStyle/>
          <a:p>
            <a:pPr>
              <a:defRPr/>
            </a:pPr>
            <a:endParaRPr lang="ru-RU"/>
          </a:p>
        </c:txPr>
        <c:crossAx val="198045696"/>
        <c:crosses val="autoZero"/>
        <c:crossBetween val="midCat"/>
      </c:valAx>
      <c:valAx>
        <c:axId val="198045696"/>
        <c:scaling>
          <c:orientation val="minMax"/>
        </c:scaling>
        <c:delete val="0"/>
        <c:axPos val="l"/>
        <c:majorGridlines/>
        <c:numFmt formatCode="#,##0" sourceLinked="0"/>
        <c:majorTickMark val="out"/>
        <c:minorTickMark val="none"/>
        <c:tickLblPos val="nextTo"/>
        <c:crossAx val="198031232"/>
        <c:crosses val="autoZero"/>
        <c:crossBetween val="midCat"/>
      </c:valAx>
    </c:plotArea>
    <c:legend>
      <c:legendPos val="r"/>
      <c:layout>
        <c:manualLayout>
          <c:xMode val="edge"/>
          <c:yMode val="edge"/>
          <c:x val="0.69305794401062482"/>
          <c:y val="0.3603433945756781"/>
          <c:w val="0.26135564902708752"/>
          <c:h val="0.2793132108486439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35761154855644"/>
          <c:y val="5.1400554097404488E-2"/>
          <c:w val="0.5093090551181102"/>
          <c:h val="0.78632327209098862"/>
        </c:manualLayout>
      </c:layout>
      <c:scatterChart>
        <c:scatterStyle val="smoothMarker"/>
        <c:varyColors val="0"/>
        <c:ser>
          <c:idx val="0"/>
          <c:order val="0"/>
          <c:tx>
            <c:strRef>
              <c:f>'[UN Africa forecasts_2001_2012_eng4.xlsx]Мозамбик'!$B$2</c:f>
              <c:strCache>
                <c:ptCount val="1"/>
                <c:pt idx="0">
                  <c:v>2012 forecast</c:v>
                </c:pt>
              </c:strCache>
            </c:strRef>
          </c:tx>
          <c:spPr>
            <a:ln>
              <a:solidFill>
                <a:schemeClr val="tx1"/>
              </a:solidFill>
            </a:ln>
          </c:spPr>
          <c:marker>
            <c:spPr>
              <a:solidFill>
                <a:schemeClr val="bg1"/>
              </a:solidFill>
              <a:ln>
                <a:solidFill>
                  <a:schemeClr val="tx1"/>
                </a:solidFill>
              </a:ln>
            </c:spPr>
          </c:marker>
          <c:xVal>
            <c:numRef>
              <c:f>'[UN Africa forecasts_2001_2012_eng4.xlsx]Мозамбик'!$A$3:$A$6</c:f>
              <c:numCache>
                <c:formatCode>General</c:formatCode>
                <c:ptCount val="4"/>
                <c:pt idx="0">
                  <c:v>2000</c:v>
                </c:pt>
                <c:pt idx="1">
                  <c:v>2015</c:v>
                </c:pt>
                <c:pt idx="2">
                  <c:v>2025</c:v>
                </c:pt>
                <c:pt idx="3">
                  <c:v>2050</c:v>
                </c:pt>
              </c:numCache>
            </c:numRef>
          </c:xVal>
          <c:yVal>
            <c:numRef>
              <c:f>'[UN Africa forecasts_2001_2012_eng4.xlsx]Мозамбик'!$B$3:$B$6</c:f>
              <c:numCache>
                <c:formatCode>General</c:formatCode>
                <c:ptCount val="4"/>
                <c:pt idx="0">
                  <c:v>18276</c:v>
                </c:pt>
                <c:pt idx="1">
                  <c:v>27122</c:v>
                </c:pt>
                <c:pt idx="2">
                  <c:v>34459</c:v>
                </c:pt>
                <c:pt idx="3">
                  <c:v>59929</c:v>
                </c:pt>
              </c:numCache>
            </c:numRef>
          </c:yVal>
          <c:smooth val="1"/>
        </c:ser>
        <c:ser>
          <c:idx val="1"/>
          <c:order val="1"/>
          <c:tx>
            <c:strRef>
              <c:f>'[UN Africa forecasts_2001_2012_eng4.xlsx]Мозамбик'!$C$2</c:f>
              <c:strCache>
                <c:ptCount val="1"/>
                <c:pt idx="0">
                  <c:v>2000 forecast</c:v>
                </c:pt>
              </c:strCache>
            </c:strRef>
          </c:tx>
          <c:spPr>
            <a:ln>
              <a:solidFill>
                <a:srgbClr val="00B050"/>
              </a:solidFill>
            </a:ln>
          </c:spPr>
          <c:marker>
            <c:symbol val="circle"/>
            <c:size val="7"/>
            <c:spPr>
              <a:solidFill>
                <a:srgbClr val="00B050"/>
              </a:solidFill>
              <a:ln>
                <a:solidFill>
                  <a:srgbClr val="00B050"/>
                </a:solidFill>
              </a:ln>
            </c:spPr>
          </c:marker>
          <c:xVal>
            <c:numRef>
              <c:f>'[UN Africa forecasts_2001_2012_eng4.xlsx]Мозамбик'!$A$3:$A$6</c:f>
              <c:numCache>
                <c:formatCode>General</c:formatCode>
                <c:ptCount val="4"/>
                <c:pt idx="0">
                  <c:v>2000</c:v>
                </c:pt>
                <c:pt idx="1">
                  <c:v>2015</c:v>
                </c:pt>
                <c:pt idx="2">
                  <c:v>2025</c:v>
                </c:pt>
                <c:pt idx="3">
                  <c:v>2050</c:v>
                </c:pt>
              </c:numCache>
            </c:numRef>
          </c:xVal>
          <c:yVal>
            <c:numRef>
              <c:f>'[UN Africa forecasts_2001_2012_eng4.xlsx]Мозамбик'!$C$3:$C$6</c:f>
              <c:numCache>
                <c:formatCode>General</c:formatCode>
                <c:ptCount val="4"/>
                <c:pt idx="0">
                  <c:v>18292</c:v>
                </c:pt>
                <c:pt idx="1">
                  <c:v>23526</c:v>
                </c:pt>
                <c:pt idx="2">
                  <c:v>28012</c:v>
                </c:pt>
                <c:pt idx="3">
                  <c:v>38837</c:v>
                </c:pt>
              </c:numCache>
            </c:numRef>
          </c:yVal>
          <c:smooth val="1"/>
        </c:ser>
        <c:dLbls>
          <c:showLegendKey val="0"/>
          <c:showVal val="0"/>
          <c:showCatName val="0"/>
          <c:showSerName val="0"/>
          <c:showPercent val="0"/>
          <c:showBubbleSize val="0"/>
        </c:dLbls>
        <c:axId val="198062080"/>
        <c:axId val="198064000"/>
      </c:scatterChart>
      <c:valAx>
        <c:axId val="198062080"/>
        <c:scaling>
          <c:orientation val="minMax"/>
          <c:max val="2050"/>
          <c:min val="2000"/>
        </c:scaling>
        <c:delete val="0"/>
        <c:axPos val="b"/>
        <c:majorGridlines/>
        <c:numFmt formatCode="General" sourceLinked="1"/>
        <c:majorTickMark val="out"/>
        <c:minorTickMark val="none"/>
        <c:tickLblPos val="nextTo"/>
        <c:txPr>
          <a:bodyPr rot="5400000" vert="horz"/>
          <a:lstStyle/>
          <a:p>
            <a:pPr>
              <a:defRPr/>
            </a:pPr>
            <a:endParaRPr lang="ru-RU"/>
          </a:p>
        </c:txPr>
        <c:crossAx val="198064000"/>
        <c:crosses val="autoZero"/>
        <c:crossBetween val="midCat"/>
      </c:valAx>
      <c:valAx>
        <c:axId val="198064000"/>
        <c:scaling>
          <c:orientation val="minMax"/>
        </c:scaling>
        <c:delete val="0"/>
        <c:axPos val="l"/>
        <c:majorGridlines/>
        <c:numFmt formatCode="#,##0" sourceLinked="0"/>
        <c:majorTickMark val="out"/>
        <c:minorTickMark val="none"/>
        <c:tickLblPos val="nextTo"/>
        <c:crossAx val="198062080"/>
        <c:crosses val="autoZero"/>
        <c:crossBetween val="midCat"/>
      </c:valAx>
    </c:plotArea>
    <c:legend>
      <c:legendPos val="r"/>
      <c:layout>
        <c:manualLayout>
          <c:xMode val="edge"/>
          <c:yMode val="edge"/>
          <c:x val="0.69139534120734913"/>
          <c:y val="0.3603433945756781"/>
          <c:w val="0.26277132545931758"/>
          <c:h val="0.2793132108486439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bg1">
                <a:lumMod val="50000"/>
              </a:schemeClr>
            </a:solidFill>
            <a:ln>
              <a:solidFill>
                <a:schemeClr val="bg1">
                  <a:lumMod val="50000"/>
                </a:schemeClr>
              </a:solidFill>
            </a:ln>
          </c:spPr>
          <c:invertIfNegative val="0"/>
          <c:dPt>
            <c:idx val="0"/>
            <c:invertIfNegative val="0"/>
            <c:bubble3D val="0"/>
            <c:spPr>
              <a:solidFill>
                <a:schemeClr val="bg1"/>
              </a:solidFill>
              <a:ln>
                <a:solidFill>
                  <a:schemeClr val="bg1">
                    <a:lumMod val="50000"/>
                  </a:schemeClr>
                </a:solidFill>
              </a:ln>
            </c:spPr>
          </c:dPt>
          <c:dPt>
            <c:idx val="1"/>
            <c:invertIfNegative val="0"/>
            <c:bubble3D val="0"/>
            <c:spPr>
              <a:solidFill>
                <a:schemeClr val="bg1"/>
              </a:solidFill>
              <a:ln>
                <a:solidFill>
                  <a:schemeClr val="bg1">
                    <a:lumMod val="50000"/>
                  </a:schemeClr>
                </a:solidFill>
              </a:ln>
            </c:spPr>
          </c:dPt>
          <c:dPt>
            <c:idx val="2"/>
            <c:invertIfNegative val="0"/>
            <c:bubble3D val="0"/>
            <c:spPr>
              <a:solidFill>
                <a:schemeClr val="bg1"/>
              </a:solidFill>
              <a:ln>
                <a:solidFill>
                  <a:schemeClr val="bg1">
                    <a:lumMod val="50000"/>
                  </a:schemeClr>
                </a:solidFill>
              </a:ln>
            </c:spPr>
          </c:dPt>
          <c:dPt>
            <c:idx val="3"/>
            <c:invertIfNegative val="0"/>
            <c:bubble3D val="0"/>
            <c:spPr>
              <a:solidFill>
                <a:schemeClr val="bg1"/>
              </a:solidFill>
              <a:ln>
                <a:solidFill>
                  <a:schemeClr val="bg1">
                    <a:lumMod val="50000"/>
                  </a:schemeClr>
                </a:solidFill>
              </a:ln>
            </c:spPr>
          </c:dPt>
          <c:dPt>
            <c:idx val="4"/>
            <c:invertIfNegative val="0"/>
            <c:bubble3D val="0"/>
            <c:spPr>
              <a:solidFill>
                <a:schemeClr val="bg1"/>
              </a:solidFill>
              <a:ln>
                <a:solidFill>
                  <a:schemeClr val="bg1">
                    <a:lumMod val="50000"/>
                  </a:schemeClr>
                </a:solidFill>
              </a:ln>
            </c:spPr>
          </c:dPt>
          <c:dPt>
            <c:idx val="5"/>
            <c:invertIfNegative val="0"/>
            <c:bubble3D val="0"/>
            <c:spPr>
              <a:solidFill>
                <a:schemeClr val="bg1"/>
              </a:solidFill>
              <a:ln>
                <a:solidFill>
                  <a:schemeClr val="bg1">
                    <a:lumMod val="50000"/>
                  </a:schemeClr>
                </a:solidFill>
              </a:ln>
            </c:spPr>
          </c:dPt>
          <c:dPt>
            <c:idx val="6"/>
            <c:invertIfNegative val="0"/>
            <c:bubble3D val="0"/>
            <c:spPr>
              <a:solidFill>
                <a:schemeClr val="bg1"/>
              </a:solidFill>
              <a:ln>
                <a:solidFill>
                  <a:schemeClr val="bg1">
                    <a:lumMod val="50000"/>
                  </a:schemeClr>
                </a:solidFill>
              </a:ln>
            </c:spPr>
          </c:dPt>
          <c:dPt>
            <c:idx val="7"/>
            <c:invertIfNegative val="0"/>
            <c:bubble3D val="0"/>
            <c:spPr>
              <a:solidFill>
                <a:schemeClr val="bg1"/>
              </a:solidFill>
              <a:ln>
                <a:solidFill>
                  <a:schemeClr val="bg1">
                    <a:lumMod val="50000"/>
                  </a:schemeClr>
                </a:solidFill>
              </a:ln>
            </c:spPr>
          </c:dPt>
          <c:dPt>
            <c:idx val="8"/>
            <c:invertIfNegative val="0"/>
            <c:bubble3D val="0"/>
            <c:spPr>
              <a:solidFill>
                <a:schemeClr val="bg1"/>
              </a:solidFill>
              <a:ln>
                <a:solidFill>
                  <a:schemeClr val="bg1">
                    <a:lumMod val="50000"/>
                  </a:schemeClr>
                </a:solidFill>
              </a:ln>
            </c:spPr>
          </c:dPt>
          <c:dPt>
            <c:idx val="9"/>
            <c:invertIfNegative val="0"/>
            <c:bubble3D val="0"/>
            <c:spPr>
              <a:solidFill>
                <a:schemeClr val="bg1"/>
              </a:solidFill>
              <a:ln>
                <a:solidFill>
                  <a:schemeClr val="bg1">
                    <a:lumMod val="50000"/>
                  </a:schemeClr>
                </a:solidFill>
              </a:ln>
            </c:spPr>
          </c:dPt>
          <c:dPt>
            <c:idx val="10"/>
            <c:invertIfNegative val="0"/>
            <c:bubble3D val="0"/>
            <c:spPr>
              <a:solidFill>
                <a:schemeClr val="bg1"/>
              </a:solidFill>
              <a:ln>
                <a:solidFill>
                  <a:schemeClr val="bg1">
                    <a:lumMod val="50000"/>
                  </a:schemeClr>
                </a:solidFill>
              </a:ln>
            </c:spPr>
          </c:dPt>
          <c:dPt>
            <c:idx val="11"/>
            <c:invertIfNegative val="0"/>
            <c:bubble3D val="0"/>
            <c:spPr>
              <a:solidFill>
                <a:schemeClr val="bg1"/>
              </a:solidFill>
              <a:ln>
                <a:solidFill>
                  <a:schemeClr val="bg1">
                    <a:lumMod val="50000"/>
                  </a:schemeClr>
                </a:solidFill>
              </a:ln>
            </c:spPr>
          </c:dPt>
          <c:dPt>
            <c:idx val="12"/>
            <c:invertIfNegative val="0"/>
            <c:bubble3D val="0"/>
            <c:spPr>
              <a:solidFill>
                <a:schemeClr val="bg1"/>
              </a:solidFill>
              <a:ln>
                <a:solidFill>
                  <a:schemeClr val="bg1">
                    <a:lumMod val="50000"/>
                  </a:schemeClr>
                </a:solidFill>
              </a:ln>
            </c:spPr>
          </c:dPt>
          <c:dPt>
            <c:idx val="31"/>
            <c:invertIfNegative val="0"/>
            <c:bubble3D val="0"/>
            <c:spPr>
              <a:solidFill>
                <a:schemeClr val="tx1">
                  <a:lumMod val="85000"/>
                  <a:lumOff val="15000"/>
                </a:schemeClr>
              </a:solidFill>
              <a:ln>
                <a:solidFill>
                  <a:schemeClr val="tx1">
                    <a:lumMod val="85000"/>
                    <a:lumOff val="15000"/>
                  </a:schemeClr>
                </a:solidFill>
              </a:ln>
            </c:spPr>
          </c:dPt>
          <c:dPt>
            <c:idx val="32"/>
            <c:invertIfNegative val="0"/>
            <c:bubble3D val="0"/>
            <c:spPr>
              <a:solidFill>
                <a:schemeClr val="tx1">
                  <a:lumMod val="85000"/>
                  <a:lumOff val="15000"/>
                </a:schemeClr>
              </a:solidFill>
              <a:ln>
                <a:solidFill>
                  <a:schemeClr val="tx1">
                    <a:lumMod val="85000"/>
                    <a:lumOff val="15000"/>
                  </a:schemeClr>
                </a:solidFill>
              </a:ln>
            </c:spPr>
          </c:dPt>
          <c:dPt>
            <c:idx val="33"/>
            <c:invertIfNegative val="0"/>
            <c:bubble3D val="0"/>
            <c:spPr>
              <a:solidFill>
                <a:schemeClr val="tx1">
                  <a:lumMod val="85000"/>
                  <a:lumOff val="15000"/>
                </a:schemeClr>
              </a:solidFill>
              <a:ln>
                <a:solidFill>
                  <a:schemeClr val="tx1">
                    <a:lumMod val="85000"/>
                    <a:lumOff val="15000"/>
                  </a:schemeClr>
                </a:solidFill>
              </a:ln>
            </c:spPr>
          </c:dPt>
          <c:dPt>
            <c:idx val="34"/>
            <c:invertIfNegative val="0"/>
            <c:bubble3D val="0"/>
            <c:spPr>
              <a:solidFill>
                <a:schemeClr val="tx1">
                  <a:lumMod val="85000"/>
                  <a:lumOff val="15000"/>
                </a:schemeClr>
              </a:solidFill>
              <a:ln>
                <a:solidFill>
                  <a:schemeClr val="tx1">
                    <a:lumMod val="85000"/>
                    <a:lumOff val="15000"/>
                  </a:schemeClr>
                </a:solidFill>
              </a:ln>
            </c:spPr>
          </c:dPt>
          <c:dPt>
            <c:idx val="35"/>
            <c:invertIfNegative val="0"/>
            <c:bubble3D val="0"/>
            <c:spPr>
              <a:solidFill>
                <a:schemeClr val="tx1">
                  <a:lumMod val="85000"/>
                  <a:lumOff val="15000"/>
                </a:schemeClr>
              </a:solidFill>
              <a:ln>
                <a:solidFill>
                  <a:schemeClr val="tx1">
                    <a:lumMod val="75000"/>
                    <a:lumOff val="25000"/>
                  </a:schemeClr>
                </a:solidFill>
              </a:ln>
            </c:spPr>
          </c:dPt>
          <c:dPt>
            <c:idx val="36"/>
            <c:invertIfNegative val="0"/>
            <c:bubble3D val="0"/>
            <c:spPr>
              <a:solidFill>
                <a:schemeClr val="tx1"/>
              </a:solidFill>
              <a:ln>
                <a:solidFill>
                  <a:schemeClr val="tx1"/>
                </a:solidFill>
              </a:ln>
            </c:spPr>
          </c:dPt>
          <c:dPt>
            <c:idx val="37"/>
            <c:invertIfNegative val="0"/>
            <c:bubble3D val="0"/>
            <c:spPr>
              <a:solidFill>
                <a:schemeClr val="tx1"/>
              </a:solidFill>
              <a:ln>
                <a:solidFill>
                  <a:schemeClr val="tx1"/>
                </a:solidFill>
              </a:ln>
            </c:spPr>
          </c:dPt>
          <c:dPt>
            <c:idx val="38"/>
            <c:invertIfNegative val="0"/>
            <c:bubble3D val="0"/>
            <c:spPr>
              <a:solidFill>
                <a:schemeClr val="tx1"/>
              </a:solidFill>
              <a:ln>
                <a:solidFill>
                  <a:schemeClr val="tx1"/>
                </a:solidFill>
              </a:ln>
            </c:spPr>
          </c:dPt>
          <c:dPt>
            <c:idx val="39"/>
            <c:invertIfNegative val="0"/>
            <c:bubble3D val="0"/>
            <c:spPr>
              <a:solidFill>
                <a:schemeClr val="tx1"/>
              </a:solidFill>
              <a:ln>
                <a:solidFill>
                  <a:schemeClr val="tx1"/>
                </a:solidFill>
              </a:ln>
            </c:spPr>
          </c:dPt>
          <c:dPt>
            <c:idx val="40"/>
            <c:invertIfNegative val="0"/>
            <c:bubble3D val="0"/>
            <c:spPr>
              <a:solidFill>
                <a:schemeClr val="tx1"/>
              </a:solidFill>
              <a:ln>
                <a:solidFill>
                  <a:schemeClr val="tx1"/>
                </a:solidFill>
              </a:ln>
            </c:spPr>
          </c:dPt>
          <c:cat>
            <c:strRef>
              <c:f>Лист5!$E$2:$E$42</c:f>
              <c:strCache>
                <c:ptCount val="41"/>
                <c:pt idx="0">
                  <c:v>South Africa</c:v>
                </c:pt>
                <c:pt idx="1">
                  <c:v>Botswana</c:v>
                </c:pt>
                <c:pt idx="2">
                  <c:v>Lesotho</c:v>
                </c:pt>
                <c:pt idx="3">
                  <c:v>Swaziland</c:v>
                </c:pt>
                <c:pt idx="4">
                  <c:v>Namibia</c:v>
                </c:pt>
                <c:pt idx="5">
                  <c:v>Burundi</c:v>
                </c:pt>
                <c:pt idx="6">
                  <c:v>Zimbabwe</c:v>
                </c:pt>
                <c:pt idx="7">
                  <c:v>Ethiopia</c:v>
                </c:pt>
                <c:pt idx="8">
                  <c:v>Djibouti</c:v>
                </c:pt>
                <c:pt idx="9">
                  <c:v>Togo</c:v>
                </c:pt>
                <c:pt idx="10">
                  <c:v>Gabon</c:v>
                </c:pt>
                <c:pt idx="11">
                  <c:v>Sierra Leone</c:v>
                </c:pt>
                <c:pt idx="12">
                  <c:v>Central African Republic</c:v>
                </c:pt>
                <c:pt idx="13">
                  <c:v>Cameroon</c:v>
                </c:pt>
                <c:pt idx="14">
                  <c:v>Ghana</c:v>
                </c:pt>
                <c:pt idx="15">
                  <c:v>Cote d Ivoire</c:v>
                </c:pt>
                <c:pt idx="16">
                  <c:v>Guinea-Bissau</c:v>
                </c:pt>
                <c:pt idx="17">
                  <c:v>Eq Guinea</c:v>
                </c:pt>
                <c:pt idx="18">
                  <c:v>Mozambique</c:v>
                </c:pt>
                <c:pt idx="19">
                  <c:v>Congo, Rep.</c:v>
                </c:pt>
                <c:pt idx="20">
                  <c:v>Eritrea</c:v>
                </c:pt>
                <c:pt idx="21">
                  <c:v>Angola</c:v>
                </c:pt>
                <c:pt idx="22">
                  <c:v>Congo, Dem.Rep.</c:v>
                </c:pt>
                <c:pt idx="23">
                  <c:v>Senegal</c:v>
                </c:pt>
                <c:pt idx="24">
                  <c:v>Guinea</c:v>
                </c:pt>
                <c:pt idx="25">
                  <c:v>Gambia, the</c:v>
                </c:pt>
                <c:pt idx="26">
                  <c:v>Kenya</c:v>
                </c:pt>
                <c:pt idx="27">
                  <c:v>Liberia</c:v>
                </c:pt>
                <c:pt idx="28">
                  <c:v>Chad</c:v>
                </c:pt>
                <c:pt idx="29">
                  <c:v>Rwanda</c:v>
                </c:pt>
                <c:pt idx="30">
                  <c:v>Benin</c:v>
                </c:pt>
                <c:pt idx="31">
                  <c:v>Nigeria</c:v>
                </c:pt>
                <c:pt idx="32">
                  <c:v>Madagascar</c:v>
                </c:pt>
                <c:pt idx="33">
                  <c:v>Mali</c:v>
                </c:pt>
                <c:pt idx="34">
                  <c:v>Uganda</c:v>
                </c:pt>
                <c:pt idx="35">
                  <c:v>Burkina Faso</c:v>
                </c:pt>
                <c:pt idx="36">
                  <c:v>Somalia</c:v>
                </c:pt>
                <c:pt idx="37">
                  <c:v>Tanzania</c:v>
                </c:pt>
                <c:pt idx="38">
                  <c:v>Malawi</c:v>
                </c:pt>
                <c:pt idx="39">
                  <c:v>Zambia</c:v>
                </c:pt>
                <c:pt idx="40">
                  <c:v>Niger</c:v>
                </c:pt>
              </c:strCache>
            </c:strRef>
          </c:cat>
          <c:val>
            <c:numRef>
              <c:f>Лист5!$F$2:$F$42</c:f>
              <c:numCache>
                <c:formatCode>0.00</c:formatCode>
                <c:ptCount val="41"/>
                <c:pt idx="0">
                  <c:v>1.1321285380886841</c:v>
                </c:pt>
                <c:pt idx="1">
                  <c:v>1.2471350274040858</c:v>
                </c:pt>
                <c:pt idx="2">
                  <c:v>1.284200829111009</c:v>
                </c:pt>
                <c:pt idx="3">
                  <c:v>1.4156829679595277</c:v>
                </c:pt>
                <c:pt idx="4">
                  <c:v>1.5764345159877355</c:v>
                </c:pt>
                <c:pt idx="5">
                  <c:v>1.6346176786353337</c:v>
                </c:pt>
                <c:pt idx="6">
                  <c:v>1.639805902473948</c:v>
                </c:pt>
                <c:pt idx="7">
                  <c:v>1.7502953586497889</c:v>
                </c:pt>
                <c:pt idx="8">
                  <c:v>1.8222722159730036</c:v>
                </c:pt>
                <c:pt idx="9">
                  <c:v>1.8463835434638358</c:v>
                </c:pt>
                <c:pt idx="10">
                  <c:v>1.8498338870431892</c:v>
                </c:pt>
                <c:pt idx="11">
                  <c:v>1.8895705521472392</c:v>
                </c:pt>
                <c:pt idx="12">
                  <c:v>1.9068393546921154</c:v>
                </c:pt>
                <c:pt idx="13">
                  <c:v>1.9629572937394766</c:v>
                </c:pt>
                <c:pt idx="14">
                  <c:v>2.0132420465726466</c:v>
                </c:pt>
                <c:pt idx="15">
                  <c:v>2.0606951058871208</c:v>
                </c:pt>
                <c:pt idx="16">
                  <c:v>2.1023102310231021</c:v>
                </c:pt>
                <c:pt idx="17">
                  <c:v>2.132857142857143</c:v>
                </c:pt>
                <c:pt idx="18">
                  <c:v>2.1457825659441672</c:v>
                </c:pt>
                <c:pt idx="19">
                  <c:v>2.1768488745980696</c:v>
                </c:pt>
                <c:pt idx="20">
                  <c:v>2.2017510468214696</c:v>
                </c:pt>
                <c:pt idx="21">
                  <c:v>2.2185305523530037</c:v>
                </c:pt>
                <c:pt idx="22">
                  <c:v>2.2515083527878001</c:v>
                </c:pt>
                <c:pt idx="23">
                  <c:v>2.3007077368505713</c:v>
                </c:pt>
                <c:pt idx="24">
                  <c:v>2.3047485473852936</c:v>
                </c:pt>
                <c:pt idx="25">
                  <c:v>2.3356481481481475</c:v>
                </c:pt>
                <c:pt idx="26">
                  <c:v>2.391503961691309</c:v>
                </c:pt>
                <c:pt idx="27">
                  <c:v>2.4186279419128693</c:v>
                </c:pt>
                <c:pt idx="28">
                  <c:v>2.4299999999999997</c:v>
                </c:pt>
                <c:pt idx="29">
                  <c:v>2.4475715361445789</c:v>
                </c:pt>
                <c:pt idx="30">
                  <c:v>2.4558192090395474</c:v>
                </c:pt>
                <c:pt idx="31">
                  <c:v>2.4593335563649221</c:v>
                </c:pt>
                <c:pt idx="32">
                  <c:v>2.5857391136429473</c:v>
                </c:pt>
                <c:pt idx="33">
                  <c:v>2.7410540013012366</c:v>
                </c:pt>
                <c:pt idx="34">
                  <c:v>2.8200149588631267</c:v>
                </c:pt>
                <c:pt idx="35">
                  <c:v>2.8369057016212271</c:v>
                </c:pt>
                <c:pt idx="36">
                  <c:v>3.0240060015003754</c:v>
                </c:pt>
                <c:pt idx="37">
                  <c:v>3.0844985615842644</c:v>
                </c:pt>
                <c:pt idx="38">
                  <c:v>3.3366217032413932</c:v>
                </c:pt>
                <c:pt idx="39">
                  <c:v>3.4408281763312707</c:v>
                </c:pt>
                <c:pt idx="40">
                  <c:v>3.5736848891181014</c:v>
                </c:pt>
              </c:numCache>
            </c:numRef>
          </c:val>
        </c:ser>
        <c:dLbls>
          <c:showLegendKey val="0"/>
          <c:showVal val="0"/>
          <c:showCatName val="0"/>
          <c:showSerName val="0"/>
          <c:showPercent val="0"/>
          <c:showBubbleSize val="0"/>
        </c:dLbls>
        <c:gapWidth val="150"/>
        <c:axId val="198093824"/>
        <c:axId val="198095616"/>
      </c:barChart>
      <c:catAx>
        <c:axId val="198093824"/>
        <c:scaling>
          <c:orientation val="minMax"/>
        </c:scaling>
        <c:delete val="0"/>
        <c:axPos val="l"/>
        <c:numFmt formatCode="General" sourceLinked="0"/>
        <c:majorTickMark val="out"/>
        <c:minorTickMark val="none"/>
        <c:tickLblPos val="nextTo"/>
        <c:crossAx val="198095616"/>
        <c:crosses val="autoZero"/>
        <c:auto val="1"/>
        <c:lblAlgn val="ctr"/>
        <c:lblOffset val="100"/>
        <c:tickLblSkip val="1"/>
        <c:noMultiLvlLbl val="0"/>
      </c:catAx>
      <c:valAx>
        <c:axId val="198095616"/>
        <c:scaling>
          <c:orientation val="minMax"/>
        </c:scaling>
        <c:delete val="0"/>
        <c:axPos val="b"/>
        <c:majorGridlines/>
        <c:numFmt formatCode="0.00" sourceLinked="1"/>
        <c:majorTickMark val="out"/>
        <c:minorTickMark val="none"/>
        <c:tickLblPos val="nextTo"/>
        <c:crossAx val="1980938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bg1">
                <a:lumMod val="50000"/>
              </a:schemeClr>
            </a:solidFill>
            <a:ln>
              <a:solidFill>
                <a:schemeClr val="bg1">
                  <a:lumMod val="50000"/>
                </a:schemeClr>
              </a:solidFill>
            </a:ln>
          </c:spPr>
          <c:invertIfNegative val="0"/>
          <c:dPt>
            <c:idx val="0"/>
            <c:invertIfNegative val="0"/>
            <c:bubble3D val="0"/>
            <c:spPr>
              <a:solidFill>
                <a:schemeClr val="bg1"/>
              </a:solidFill>
              <a:ln>
                <a:solidFill>
                  <a:schemeClr val="bg1">
                    <a:lumMod val="50000"/>
                  </a:schemeClr>
                </a:solidFill>
              </a:ln>
            </c:spPr>
          </c:dPt>
          <c:dPt>
            <c:idx val="1"/>
            <c:invertIfNegative val="0"/>
            <c:bubble3D val="0"/>
            <c:spPr>
              <a:solidFill>
                <a:schemeClr val="bg1"/>
              </a:solidFill>
              <a:ln>
                <a:solidFill>
                  <a:schemeClr val="bg1">
                    <a:lumMod val="50000"/>
                  </a:schemeClr>
                </a:solidFill>
              </a:ln>
            </c:spPr>
          </c:dPt>
          <c:dPt>
            <c:idx val="2"/>
            <c:invertIfNegative val="0"/>
            <c:bubble3D val="0"/>
            <c:spPr>
              <a:solidFill>
                <a:schemeClr val="bg1"/>
              </a:solidFill>
              <a:ln>
                <a:solidFill>
                  <a:schemeClr val="bg1">
                    <a:lumMod val="50000"/>
                  </a:schemeClr>
                </a:solidFill>
              </a:ln>
            </c:spPr>
          </c:dPt>
          <c:dPt>
            <c:idx val="3"/>
            <c:invertIfNegative val="0"/>
            <c:bubble3D val="0"/>
            <c:spPr>
              <a:solidFill>
                <a:schemeClr val="bg1"/>
              </a:solidFill>
              <a:ln>
                <a:solidFill>
                  <a:schemeClr val="bg1">
                    <a:lumMod val="50000"/>
                  </a:schemeClr>
                </a:solidFill>
              </a:ln>
            </c:spPr>
          </c:dPt>
          <c:dPt>
            <c:idx val="4"/>
            <c:invertIfNegative val="0"/>
            <c:bubble3D val="0"/>
            <c:spPr>
              <a:solidFill>
                <a:schemeClr val="bg1"/>
              </a:solidFill>
              <a:ln>
                <a:solidFill>
                  <a:schemeClr val="bg1">
                    <a:lumMod val="50000"/>
                  </a:schemeClr>
                </a:solidFill>
              </a:ln>
            </c:spPr>
          </c:dPt>
          <c:dPt>
            <c:idx val="5"/>
            <c:invertIfNegative val="0"/>
            <c:bubble3D val="0"/>
            <c:spPr>
              <a:solidFill>
                <a:schemeClr val="bg1"/>
              </a:solidFill>
              <a:ln>
                <a:solidFill>
                  <a:schemeClr val="bg1">
                    <a:lumMod val="50000"/>
                  </a:schemeClr>
                </a:solidFill>
              </a:ln>
            </c:spPr>
          </c:dPt>
          <c:dPt>
            <c:idx val="6"/>
            <c:invertIfNegative val="0"/>
            <c:bubble3D val="0"/>
            <c:spPr>
              <a:solidFill>
                <a:schemeClr val="bg1"/>
              </a:solidFill>
              <a:ln>
                <a:solidFill>
                  <a:schemeClr val="bg1">
                    <a:lumMod val="50000"/>
                  </a:schemeClr>
                </a:solidFill>
              </a:ln>
            </c:spPr>
          </c:dPt>
          <c:dPt>
            <c:idx val="7"/>
            <c:invertIfNegative val="0"/>
            <c:bubble3D val="0"/>
            <c:spPr>
              <a:solidFill>
                <a:schemeClr val="bg1"/>
              </a:solidFill>
              <a:ln>
                <a:solidFill>
                  <a:schemeClr val="bg1">
                    <a:lumMod val="50000"/>
                  </a:schemeClr>
                </a:solidFill>
              </a:ln>
            </c:spPr>
          </c:dPt>
          <c:dPt>
            <c:idx val="8"/>
            <c:invertIfNegative val="0"/>
            <c:bubble3D val="0"/>
            <c:spPr>
              <a:solidFill>
                <a:schemeClr val="bg1"/>
              </a:solidFill>
              <a:ln>
                <a:solidFill>
                  <a:schemeClr val="bg1">
                    <a:lumMod val="50000"/>
                  </a:schemeClr>
                </a:solidFill>
              </a:ln>
            </c:spPr>
          </c:dPt>
          <c:dPt>
            <c:idx val="9"/>
            <c:invertIfNegative val="0"/>
            <c:bubble3D val="0"/>
            <c:spPr>
              <a:solidFill>
                <a:schemeClr val="bg1"/>
              </a:solidFill>
              <a:ln>
                <a:solidFill>
                  <a:schemeClr val="bg1">
                    <a:lumMod val="50000"/>
                  </a:schemeClr>
                </a:solidFill>
              </a:ln>
            </c:spPr>
          </c:dPt>
          <c:dPt>
            <c:idx val="10"/>
            <c:invertIfNegative val="0"/>
            <c:bubble3D val="0"/>
            <c:spPr>
              <a:solidFill>
                <a:schemeClr val="bg1"/>
              </a:solidFill>
              <a:ln>
                <a:solidFill>
                  <a:schemeClr val="bg1">
                    <a:lumMod val="50000"/>
                  </a:schemeClr>
                </a:solidFill>
              </a:ln>
            </c:spPr>
          </c:dPt>
          <c:dPt>
            <c:idx val="11"/>
            <c:invertIfNegative val="0"/>
            <c:bubble3D val="0"/>
            <c:spPr>
              <a:solidFill>
                <a:schemeClr val="bg1"/>
              </a:solidFill>
              <a:ln>
                <a:solidFill>
                  <a:schemeClr val="bg1">
                    <a:lumMod val="50000"/>
                  </a:schemeClr>
                </a:solidFill>
              </a:ln>
            </c:spPr>
          </c:dPt>
          <c:dPt>
            <c:idx val="12"/>
            <c:invertIfNegative val="0"/>
            <c:bubble3D val="0"/>
            <c:spPr>
              <a:solidFill>
                <a:schemeClr val="bg1"/>
              </a:solidFill>
              <a:ln>
                <a:solidFill>
                  <a:schemeClr val="bg1">
                    <a:lumMod val="50000"/>
                  </a:schemeClr>
                </a:solidFill>
              </a:ln>
            </c:spPr>
          </c:dPt>
          <c:dPt>
            <c:idx val="26"/>
            <c:invertIfNegative val="0"/>
            <c:bubble3D val="0"/>
            <c:spPr>
              <a:solidFill>
                <a:schemeClr val="tx1">
                  <a:lumMod val="85000"/>
                  <a:lumOff val="15000"/>
                </a:schemeClr>
              </a:solidFill>
              <a:ln>
                <a:solidFill>
                  <a:schemeClr val="bg1">
                    <a:lumMod val="50000"/>
                  </a:schemeClr>
                </a:solidFill>
              </a:ln>
            </c:spPr>
          </c:dPt>
          <c:dPt>
            <c:idx val="27"/>
            <c:invertIfNegative val="0"/>
            <c:bubble3D val="0"/>
            <c:spPr>
              <a:solidFill>
                <a:schemeClr val="tx1">
                  <a:lumMod val="85000"/>
                  <a:lumOff val="15000"/>
                </a:schemeClr>
              </a:solidFill>
              <a:ln>
                <a:solidFill>
                  <a:schemeClr val="bg1">
                    <a:lumMod val="50000"/>
                  </a:schemeClr>
                </a:solidFill>
              </a:ln>
            </c:spPr>
          </c:dPt>
          <c:dPt>
            <c:idx val="28"/>
            <c:invertIfNegative val="0"/>
            <c:bubble3D val="0"/>
            <c:spPr>
              <a:solidFill>
                <a:schemeClr val="tx1">
                  <a:lumMod val="85000"/>
                  <a:lumOff val="15000"/>
                </a:schemeClr>
              </a:solidFill>
              <a:ln>
                <a:solidFill>
                  <a:schemeClr val="bg1">
                    <a:lumMod val="50000"/>
                  </a:schemeClr>
                </a:solidFill>
              </a:ln>
            </c:spPr>
          </c:dPt>
          <c:dPt>
            <c:idx val="29"/>
            <c:invertIfNegative val="0"/>
            <c:bubble3D val="0"/>
            <c:spPr>
              <a:solidFill>
                <a:schemeClr val="tx1">
                  <a:lumMod val="85000"/>
                  <a:lumOff val="15000"/>
                </a:schemeClr>
              </a:solidFill>
              <a:ln>
                <a:solidFill>
                  <a:schemeClr val="bg1">
                    <a:lumMod val="50000"/>
                  </a:schemeClr>
                </a:solidFill>
              </a:ln>
            </c:spPr>
          </c:dPt>
          <c:dPt>
            <c:idx val="30"/>
            <c:invertIfNegative val="0"/>
            <c:bubble3D val="0"/>
            <c:spPr>
              <a:solidFill>
                <a:schemeClr val="tx1">
                  <a:lumMod val="85000"/>
                  <a:lumOff val="15000"/>
                </a:schemeClr>
              </a:solidFill>
              <a:ln>
                <a:solidFill>
                  <a:schemeClr val="bg1">
                    <a:lumMod val="50000"/>
                  </a:schemeClr>
                </a:solidFill>
              </a:ln>
            </c:spPr>
          </c:dPt>
          <c:dPt>
            <c:idx val="31"/>
            <c:invertIfNegative val="0"/>
            <c:bubble3D val="0"/>
            <c:spPr>
              <a:solidFill>
                <a:schemeClr val="tx1">
                  <a:lumMod val="85000"/>
                  <a:lumOff val="15000"/>
                </a:schemeClr>
              </a:solidFill>
              <a:ln>
                <a:solidFill>
                  <a:schemeClr val="bg1">
                    <a:lumMod val="50000"/>
                  </a:schemeClr>
                </a:solidFill>
              </a:ln>
            </c:spPr>
          </c:dPt>
          <c:dPt>
            <c:idx val="32"/>
            <c:invertIfNegative val="0"/>
            <c:bubble3D val="0"/>
            <c:spPr>
              <a:solidFill>
                <a:schemeClr val="tx1">
                  <a:lumMod val="85000"/>
                  <a:lumOff val="15000"/>
                </a:schemeClr>
              </a:solidFill>
              <a:ln>
                <a:solidFill>
                  <a:schemeClr val="bg1">
                    <a:lumMod val="50000"/>
                  </a:schemeClr>
                </a:solidFill>
              </a:ln>
            </c:spPr>
          </c:dPt>
          <c:dPt>
            <c:idx val="33"/>
            <c:invertIfNegative val="0"/>
            <c:bubble3D val="0"/>
            <c:spPr>
              <a:solidFill>
                <a:schemeClr val="tx1">
                  <a:lumMod val="85000"/>
                  <a:lumOff val="15000"/>
                </a:schemeClr>
              </a:solidFill>
              <a:ln>
                <a:solidFill>
                  <a:schemeClr val="bg1">
                    <a:lumMod val="50000"/>
                  </a:schemeClr>
                </a:solidFill>
              </a:ln>
            </c:spPr>
          </c:dPt>
          <c:dPt>
            <c:idx val="34"/>
            <c:invertIfNegative val="0"/>
            <c:bubble3D val="0"/>
            <c:spPr>
              <a:solidFill>
                <a:schemeClr val="tx1">
                  <a:lumMod val="85000"/>
                  <a:lumOff val="15000"/>
                </a:schemeClr>
              </a:solidFill>
              <a:ln>
                <a:solidFill>
                  <a:schemeClr val="bg1">
                    <a:lumMod val="50000"/>
                  </a:schemeClr>
                </a:solidFill>
              </a:ln>
            </c:spPr>
          </c:dPt>
          <c:dPt>
            <c:idx val="35"/>
            <c:invertIfNegative val="0"/>
            <c:bubble3D val="0"/>
            <c:spPr>
              <a:solidFill>
                <a:schemeClr val="tx1">
                  <a:lumMod val="85000"/>
                  <a:lumOff val="15000"/>
                </a:schemeClr>
              </a:solidFill>
              <a:ln>
                <a:solidFill>
                  <a:schemeClr val="bg1">
                    <a:lumMod val="50000"/>
                  </a:schemeClr>
                </a:solidFill>
              </a:ln>
            </c:spPr>
          </c:dPt>
          <c:dPt>
            <c:idx val="36"/>
            <c:invertIfNegative val="0"/>
            <c:bubble3D val="0"/>
            <c:spPr>
              <a:solidFill>
                <a:schemeClr val="tx1"/>
              </a:solidFill>
              <a:ln>
                <a:solidFill>
                  <a:schemeClr val="tx1"/>
                </a:solidFill>
              </a:ln>
            </c:spPr>
          </c:dPt>
          <c:dPt>
            <c:idx val="37"/>
            <c:invertIfNegative val="0"/>
            <c:bubble3D val="0"/>
            <c:spPr>
              <a:solidFill>
                <a:schemeClr val="tx1"/>
              </a:solidFill>
              <a:ln>
                <a:solidFill>
                  <a:schemeClr val="tx1"/>
                </a:solidFill>
              </a:ln>
            </c:spPr>
          </c:dPt>
          <c:dPt>
            <c:idx val="38"/>
            <c:invertIfNegative val="0"/>
            <c:bubble3D val="0"/>
            <c:spPr>
              <a:solidFill>
                <a:schemeClr val="tx1"/>
              </a:solidFill>
              <a:ln>
                <a:solidFill>
                  <a:schemeClr val="tx1"/>
                </a:solidFill>
              </a:ln>
            </c:spPr>
          </c:dPt>
          <c:dPt>
            <c:idx val="39"/>
            <c:invertIfNegative val="0"/>
            <c:bubble3D val="0"/>
            <c:spPr>
              <a:solidFill>
                <a:schemeClr val="tx1"/>
              </a:solidFill>
              <a:ln>
                <a:solidFill>
                  <a:schemeClr val="tx1"/>
                </a:solidFill>
              </a:ln>
            </c:spPr>
          </c:dPt>
          <c:dPt>
            <c:idx val="40"/>
            <c:invertIfNegative val="0"/>
            <c:bubble3D val="0"/>
            <c:spPr>
              <a:solidFill>
                <a:schemeClr val="tx1"/>
              </a:solidFill>
              <a:ln>
                <a:solidFill>
                  <a:schemeClr val="tx1"/>
                </a:solidFill>
              </a:ln>
            </c:spPr>
          </c:dPt>
          <c:cat>
            <c:strRef>
              <c:f>Лист5!$A$2:$A$42</c:f>
              <c:strCache>
                <c:ptCount val="41"/>
                <c:pt idx="0">
                  <c:v>South Africa</c:v>
                </c:pt>
                <c:pt idx="1">
                  <c:v>Botswana</c:v>
                </c:pt>
                <c:pt idx="2">
                  <c:v>Lesotho</c:v>
                </c:pt>
                <c:pt idx="3">
                  <c:v>Swaziland</c:v>
                </c:pt>
                <c:pt idx="4">
                  <c:v>Namibia</c:v>
                </c:pt>
                <c:pt idx="5">
                  <c:v>Zimbabwe</c:v>
                </c:pt>
                <c:pt idx="6">
                  <c:v>Burundi</c:v>
                </c:pt>
                <c:pt idx="7">
                  <c:v>Ethiopia</c:v>
                </c:pt>
                <c:pt idx="8">
                  <c:v>Djibouti</c:v>
                </c:pt>
                <c:pt idx="9">
                  <c:v>Togo</c:v>
                </c:pt>
                <c:pt idx="10">
                  <c:v>Sierra Leone</c:v>
                </c:pt>
                <c:pt idx="11">
                  <c:v>Central African Republic</c:v>
                </c:pt>
                <c:pt idx="12">
                  <c:v>Gabon</c:v>
                </c:pt>
                <c:pt idx="13">
                  <c:v>Cameroon</c:v>
                </c:pt>
                <c:pt idx="14">
                  <c:v>Ghana</c:v>
                </c:pt>
                <c:pt idx="15">
                  <c:v>Cote d Ivoire</c:v>
                </c:pt>
                <c:pt idx="16">
                  <c:v>Eq Guinea</c:v>
                </c:pt>
                <c:pt idx="17">
                  <c:v>Angola</c:v>
                </c:pt>
                <c:pt idx="18">
                  <c:v>Eritrea</c:v>
                </c:pt>
                <c:pt idx="19">
                  <c:v>Congo, Dem.Rep.</c:v>
                </c:pt>
                <c:pt idx="20">
                  <c:v>Mozambique</c:v>
                </c:pt>
                <c:pt idx="21">
                  <c:v>Congo, Rep.</c:v>
                </c:pt>
                <c:pt idx="22">
                  <c:v>Gambia, the</c:v>
                </c:pt>
                <c:pt idx="23">
                  <c:v>Senegal</c:v>
                </c:pt>
                <c:pt idx="24">
                  <c:v>Guinea-Bissau</c:v>
                </c:pt>
                <c:pt idx="25">
                  <c:v>Guinea</c:v>
                </c:pt>
                <c:pt idx="26">
                  <c:v>Chad</c:v>
                </c:pt>
                <c:pt idx="27">
                  <c:v>Kenya</c:v>
                </c:pt>
                <c:pt idx="28">
                  <c:v>Rwanda</c:v>
                </c:pt>
                <c:pt idx="29">
                  <c:v>Liberia</c:v>
                </c:pt>
                <c:pt idx="30">
                  <c:v>Benin</c:v>
                </c:pt>
                <c:pt idx="31">
                  <c:v>Madagascar</c:v>
                </c:pt>
                <c:pt idx="32">
                  <c:v>Nigeria</c:v>
                </c:pt>
                <c:pt idx="33">
                  <c:v>Uganda</c:v>
                </c:pt>
                <c:pt idx="34">
                  <c:v>Mali</c:v>
                </c:pt>
                <c:pt idx="35">
                  <c:v>Burkina Faso</c:v>
                </c:pt>
                <c:pt idx="36">
                  <c:v>Tanzania</c:v>
                </c:pt>
                <c:pt idx="37">
                  <c:v>Somalia</c:v>
                </c:pt>
                <c:pt idx="38">
                  <c:v>Malawi</c:v>
                </c:pt>
                <c:pt idx="39">
                  <c:v>Niger</c:v>
                </c:pt>
                <c:pt idx="40">
                  <c:v>Zambia</c:v>
                </c:pt>
              </c:strCache>
            </c:strRef>
          </c:cat>
          <c:val>
            <c:numRef>
              <c:f>Лист5!$B$2:$B$42</c:f>
              <c:numCache>
                <c:formatCode>0.00</c:formatCode>
                <c:ptCount val="41"/>
                <c:pt idx="0">
                  <c:v>1.0866495122972892</c:v>
                </c:pt>
                <c:pt idx="1">
                  <c:v>1.2336821126058795</c:v>
                </c:pt>
                <c:pt idx="2">
                  <c:v>1.323813910640258</c:v>
                </c:pt>
                <c:pt idx="3">
                  <c:v>1.5286677908937605</c:v>
                </c:pt>
                <c:pt idx="4">
                  <c:v>1.6329391151992989</c:v>
                </c:pt>
                <c:pt idx="5">
                  <c:v>1.7371728581656192</c:v>
                </c:pt>
                <c:pt idx="6">
                  <c:v>1.7400691876416556</c:v>
                </c:pt>
                <c:pt idx="7">
                  <c:v>1.8100060277275467</c:v>
                </c:pt>
                <c:pt idx="8">
                  <c:v>2.1631046119235102</c:v>
                </c:pt>
                <c:pt idx="9">
                  <c:v>2.2491705374917057</c:v>
                </c:pt>
                <c:pt idx="10">
                  <c:v>2.4120654396728005</c:v>
                </c:pt>
                <c:pt idx="11">
                  <c:v>2.488979777323336</c:v>
                </c:pt>
                <c:pt idx="12">
                  <c:v>2.5089700996677742</c:v>
                </c:pt>
                <c:pt idx="13">
                  <c:v>2.739578549926017</c:v>
                </c:pt>
                <c:pt idx="14">
                  <c:v>2.7562315513283049</c:v>
                </c:pt>
                <c:pt idx="15">
                  <c:v>2.8580403283007394</c:v>
                </c:pt>
                <c:pt idx="16">
                  <c:v>2.9342857142857137</c:v>
                </c:pt>
                <c:pt idx="17">
                  <c:v>2.9374279425636729</c:v>
                </c:pt>
                <c:pt idx="18">
                  <c:v>2.9493719071183859</c:v>
                </c:pt>
                <c:pt idx="19">
                  <c:v>3.2154897977746111</c:v>
                </c:pt>
                <c:pt idx="20">
                  <c:v>3.3066991577957334</c:v>
                </c:pt>
                <c:pt idx="21">
                  <c:v>3.5181795696265152</c:v>
                </c:pt>
                <c:pt idx="22">
                  <c:v>3.5208333333333335</c:v>
                </c:pt>
                <c:pt idx="23">
                  <c:v>3.5447161010133508</c:v>
                </c:pt>
                <c:pt idx="24">
                  <c:v>3.6422442244224422</c:v>
                </c:pt>
                <c:pt idx="25">
                  <c:v>3.6730114205570032</c:v>
                </c:pt>
                <c:pt idx="26">
                  <c:v>3.8899999999999997</c:v>
                </c:pt>
                <c:pt idx="27">
                  <c:v>3.9495717424036738</c:v>
                </c:pt>
                <c:pt idx="28">
                  <c:v>3.9830572289156629</c:v>
                </c:pt>
                <c:pt idx="29">
                  <c:v>4.1399599399098657</c:v>
                </c:pt>
                <c:pt idx="30">
                  <c:v>4.1527683615819209</c:v>
                </c:pt>
                <c:pt idx="31">
                  <c:v>4.5487110167036784</c:v>
                </c:pt>
                <c:pt idx="32">
                  <c:v>4.607190875062332</c:v>
                </c:pt>
                <c:pt idx="33">
                  <c:v>5.12161555721765</c:v>
                </c:pt>
                <c:pt idx="34">
                  <c:v>5.2378659726740402</c:v>
                </c:pt>
                <c:pt idx="35">
                  <c:v>5.8514178152893317</c:v>
                </c:pt>
                <c:pt idx="36">
                  <c:v>7.054659797952767</c:v>
                </c:pt>
                <c:pt idx="37">
                  <c:v>7.8208123459436294</c:v>
                </c:pt>
                <c:pt idx="38">
                  <c:v>8.6908261190524136</c:v>
                </c:pt>
                <c:pt idx="39">
                  <c:v>8.9742779783393498</c:v>
                </c:pt>
                <c:pt idx="40">
                  <c:v>10.722591489036594</c:v>
                </c:pt>
              </c:numCache>
            </c:numRef>
          </c:val>
        </c:ser>
        <c:dLbls>
          <c:showLegendKey val="0"/>
          <c:showVal val="0"/>
          <c:showCatName val="0"/>
          <c:showSerName val="0"/>
          <c:showPercent val="0"/>
          <c:showBubbleSize val="0"/>
        </c:dLbls>
        <c:gapWidth val="150"/>
        <c:axId val="198339968"/>
        <c:axId val="198374528"/>
      </c:barChart>
      <c:catAx>
        <c:axId val="198339968"/>
        <c:scaling>
          <c:orientation val="minMax"/>
        </c:scaling>
        <c:delete val="0"/>
        <c:axPos val="l"/>
        <c:numFmt formatCode="General" sourceLinked="0"/>
        <c:majorTickMark val="out"/>
        <c:minorTickMark val="none"/>
        <c:tickLblPos val="nextTo"/>
        <c:crossAx val="198374528"/>
        <c:crosses val="autoZero"/>
        <c:auto val="1"/>
        <c:lblAlgn val="ctr"/>
        <c:lblOffset val="100"/>
        <c:tickLblSkip val="1"/>
        <c:noMultiLvlLbl val="0"/>
      </c:catAx>
      <c:valAx>
        <c:axId val="198374528"/>
        <c:scaling>
          <c:orientation val="minMax"/>
        </c:scaling>
        <c:delete val="0"/>
        <c:axPos val="b"/>
        <c:majorGridlines/>
        <c:numFmt formatCode="0.00" sourceLinked="1"/>
        <c:majorTickMark val="out"/>
        <c:minorTickMark val="none"/>
        <c:tickLblPos val="nextTo"/>
        <c:crossAx val="198339968"/>
        <c:crosses val="autoZero"/>
        <c:crossBetween val="between"/>
        <c:majorUnit val="1"/>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'сравнение СКР'!$B$1</c:f>
              <c:strCache>
                <c:ptCount val="1"/>
                <c:pt idx="0">
                  <c:v>Malawi</c:v>
                </c:pt>
              </c:strCache>
            </c:strRef>
          </c:tx>
          <c:xVal>
            <c:numRef>
              <c:f>'сравнение СКР'!$A$2:$A$31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СКР'!$B$2:$B$31</c:f>
              <c:numCache>
                <c:formatCode>General</c:formatCode>
                <c:ptCount val="30"/>
                <c:pt idx="0">
                  <c:v>6.78</c:v>
                </c:pt>
                <c:pt idx="1">
                  <c:v>6.84</c:v>
                </c:pt>
                <c:pt idx="2">
                  <c:v>7</c:v>
                </c:pt>
                <c:pt idx="3">
                  <c:v>7.2</c:v>
                </c:pt>
                <c:pt idx="4">
                  <c:v>7.4</c:v>
                </c:pt>
                <c:pt idx="5">
                  <c:v>7.5</c:v>
                </c:pt>
                <c:pt idx="6">
                  <c:v>7.3</c:v>
                </c:pt>
                <c:pt idx="7">
                  <c:v>7</c:v>
                </c:pt>
                <c:pt idx="8">
                  <c:v>6.5</c:v>
                </c:pt>
                <c:pt idx="9">
                  <c:v>6.2</c:v>
                </c:pt>
                <c:pt idx="10">
                  <c:v>6.03</c:v>
                </c:pt>
                <c:pt idx="11">
                  <c:v>6</c:v>
                </c:pt>
                <c:pt idx="12">
                  <c:v>5.9700000000000006</c:v>
                </c:pt>
                <c:pt idx="13">
                  <c:v>5.87</c:v>
                </c:pt>
                <c:pt idx="14">
                  <c:v>5.52</c:v>
                </c:pt>
                <c:pt idx="15">
                  <c:v>5.18</c:v>
                </c:pt>
                <c:pt idx="16">
                  <c:v>4.87</c:v>
                </c:pt>
                <c:pt idx="17">
                  <c:v>4.57</c:v>
                </c:pt>
                <c:pt idx="18">
                  <c:v>4.29</c:v>
                </c:pt>
                <c:pt idx="19">
                  <c:v>4.04</c:v>
                </c:pt>
                <c:pt idx="20">
                  <c:v>3.8099999999999996</c:v>
                </c:pt>
                <c:pt idx="21">
                  <c:v>3.6</c:v>
                </c:pt>
                <c:pt idx="22">
                  <c:v>3.42</c:v>
                </c:pt>
                <c:pt idx="23">
                  <c:v>3.25</c:v>
                </c:pt>
                <c:pt idx="24">
                  <c:v>3.1</c:v>
                </c:pt>
                <c:pt idx="25">
                  <c:v>2.9699999999999998</c:v>
                </c:pt>
                <c:pt idx="26">
                  <c:v>2.8499999999999996</c:v>
                </c:pt>
                <c:pt idx="27">
                  <c:v>2.74</c:v>
                </c:pt>
                <c:pt idx="28">
                  <c:v>2.64</c:v>
                </c:pt>
                <c:pt idx="29">
                  <c:v>2.5499999999999998</c:v>
                </c:pt>
              </c:numCache>
            </c:numRef>
          </c:yVal>
          <c:smooth val="1"/>
        </c:ser>
        <c:ser>
          <c:idx val="1"/>
          <c:order val="1"/>
          <c:tx>
            <c:strRef>
              <c:f>'сравнение СКР'!$C$1</c:f>
              <c:strCache>
                <c:ptCount val="1"/>
                <c:pt idx="0">
                  <c:v>Mozambique</c:v>
                </c:pt>
              </c:strCache>
            </c:strRef>
          </c:tx>
          <c:xVal>
            <c:numRef>
              <c:f>'сравнение СКР'!$A$2:$A$31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СКР'!$C$2:$C$31</c:f>
              <c:numCache>
                <c:formatCode>General</c:formatCode>
                <c:ptCount val="30"/>
                <c:pt idx="0">
                  <c:v>6.6</c:v>
                </c:pt>
                <c:pt idx="1">
                  <c:v>6.6</c:v>
                </c:pt>
                <c:pt idx="2">
                  <c:v>6.6</c:v>
                </c:pt>
                <c:pt idx="3">
                  <c:v>6.6</c:v>
                </c:pt>
                <c:pt idx="4">
                  <c:v>6.58</c:v>
                </c:pt>
                <c:pt idx="5">
                  <c:v>6.53</c:v>
                </c:pt>
                <c:pt idx="6">
                  <c:v>6.44</c:v>
                </c:pt>
                <c:pt idx="7">
                  <c:v>6.33</c:v>
                </c:pt>
                <c:pt idx="8">
                  <c:v>6.1199999999999992</c:v>
                </c:pt>
                <c:pt idx="9">
                  <c:v>5.85</c:v>
                </c:pt>
                <c:pt idx="10">
                  <c:v>5.52</c:v>
                </c:pt>
                <c:pt idx="11">
                  <c:v>5.1099999999999994</c:v>
                </c:pt>
                <c:pt idx="12">
                  <c:v>4.71</c:v>
                </c:pt>
                <c:pt idx="13">
                  <c:v>4.33</c:v>
                </c:pt>
                <c:pt idx="14">
                  <c:v>3.98</c:v>
                </c:pt>
                <c:pt idx="15">
                  <c:v>3.66</c:v>
                </c:pt>
                <c:pt idx="16">
                  <c:v>3.38</c:v>
                </c:pt>
                <c:pt idx="17">
                  <c:v>3.13</c:v>
                </c:pt>
                <c:pt idx="18">
                  <c:v>2.92</c:v>
                </c:pt>
                <c:pt idx="19">
                  <c:v>2.74</c:v>
                </c:pt>
                <c:pt idx="20">
                  <c:v>2.59</c:v>
                </c:pt>
                <c:pt idx="21">
                  <c:v>2.46</c:v>
                </c:pt>
                <c:pt idx="22">
                  <c:v>2.3499999999999996</c:v>
                </c:pt>
                <c:pt idx="23">
                  <c:v>2.25</c:v>
                </c:pt>
                <c:pt idx="24">
                  <c:v>2.17</c:v>
                </c:pt>
                <c:pt idx="25">
                  <c:v>2.1</c:v>
                </c:pt>
                <c:pt idx="26">
                  <c:v>2.04</c:v>
                </c:pt>
                <c:pt idx="27">
                  <c:v>2</c:v>
                </c:pt>
                <c:pt idx="28">
                  <c:v>1.9600000000000002</c:v>
                </c:pt>
                <c:pt idx="29">
                  <c:v>1.9400000000000002</c:v>
                </c:pt>
              </c:numCache>
            </c:numRef>
          </c:yVal>
          <c:smooth val="1"/>
        </c:ser>
        <c:ser>
          <c:idx val="2"/>
          <c:order val="2"/>
          <c:tx>
            <c:strRef>
              <c:f>'сравнение СКР'!$D$1</c:f>
              <c:strCache>
                <c:ptCount val="1"/>
                <c:pt idx="0">
                  <c:v>Tanzania</c:v>
                </c:pt>
              </c:strCache>
            </c:strRef>
          </c:tx>
          <c:xVal>
            <c:numRef>
              <c:f>'сравнение СКР'!$A$2:$A$31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СКР'!$D$2:$D$31</c:f>
              <c:numCache>
                <c:formatCode>General</c:formatCode>
                <c:ptCount val="30"/>
                <c:pt idx="0">
                  <c:v>6.74</c:v>
                </c:pt>
                <c:pt idx="1">
                  <c:v>6.8</c:v>
                </c:pt>
                <c:pt idx="2">
                  <c:v>6.8</c:v>
                </c:pt>
                <c:pt idx="3">
                  <c:v>6.79</c:v>
                </c:pt>
                <c:pt idx="4">
                  <c:v>6.75</c:v>
                </c:pt>
                <c:pt idx="5">
                  <c:v>6.73</c:v>
                </c:pt>
                <c:pt idx="6">
                  <c:v>6.55</c:v>
                </c:pt>
                <c:pt idx="7">
                  <c:v>6.3599999999999994</c:v>
                </c:pt>
                <c:pt idx="8">
                  <c:v>6.05</c:v>
                </c:pt>
                <c:pt idx="9">
                  <c:v>5.75</c:v>
                </c:pt>
                <c:pt idx="10">
                  <c:v>5.6599999999999993</c:v>
                </c:pt>
                <c:pt idx="11">
                  <c:v>5.58</c:v>
                </c:pt>
                <c:pt idx="12">
                  <c:v>5.5</c:v>
                </c:pt>
                <c:pt idx="13">
                  <c:v>5.3599999999999994</c:v>
                </c:pt>
                <c:pt idx="14">
                  <c:v>5.0199999999999996</c:v>
                </c:pt>
                <c:pt idx="15">
                  <c:v>4.7</c:v>
                </c:pt>
                <c:pt idx="16">
                  <c:v>4.4000000000000004</c:v>
                </c:pt>
                <c:pt idx="17">
                  <c:v>4.1099999999999994</c:v>
                </c:pt>
                <c:pt idx="18">
                  <c:v>3.8499999999999996</c:v>
                </c:pt>
                <c:pt idx="19">
                  <c:v>3.61</c:v>
                </c:pt>
                <c:pt idx="20">
                  <c:v>3.4</c:v>
                </c:pt>
                <c:pt idx="21">
                  <c:v>3.21</c:v>
                </c:pt>
                <c:pt idx="22">
                  <c:v>3.04</c:v>
                </c:pt>
                <c:pt idx="23">
                  <c:v>2.9</c:v>
                </c:pt>
                <c:pt idx="24">
                  <c:v>2.77</c:v>
                </c:pt>
                <c:pt idx="25">
                  <c:v>2.65</c:v>
                </c:pt>
                <c:pt idx="26">
                  <c:v>2.5499999999999998</c:v>
                </c:pt>
                <c:pt idx="27">
                  <c:v>2.46</c:v>
                </c:pt>
                <c:pt idx="28">
                  <c:v>2.38</c:v>
                </c:pt>
                <c:pt idx="29">
                  <c:v>2.3099999999999996</c:v>
                </c:pt>
              </c:numCache>
            </c:numRef>
          </c:yVal>
          <c:smooth val="1"/>
        </c:ser>
        <c:ser>
          <c:idx val="3"/>
          <c:order val="3"/>
          <c:tx>
            <c:strRef>
              <c:f>'сравнение СКР'!$E$1</c:f>
              <c:strCache>
                <c:ptCount val="1"/>
                <c:pt idx="0">
                  <c:v>Zambia</c:v>
                </c:pt>
              </c:strCache>
            </c:strRef>
          </c:tx>
          <c:xVal>
            <c:numRef>
              <c:f>'сравнение СКР'!$A$2:$A$31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СКР'!$E$2:$E$31</c:f>
              <c:numCache>
                <c:formatCode>General</c:formatCode>
                <c:ptCount val="30"/>
                <c:pt idx="0">
                  <c:v>6.75</c:v>
                </c:pt>
                <c:pt idx="1">
                  <c:v>6.9</c:v>
                </c:pt>
                <c:pt idx="2">
                  <c:v>7.1499999999999995</c:v>
                </c:pt>
                <c:pt idx="3">
                  <c:v>7.4</c:v>
                </c:pt>
                <c:pt idx="4">
                  <c:v>7.4300000000000006</c:v>
                </c:pt>
                <c:pt idx="5">
                  <c:v>7.38</c:v>
                </c:pt>
                <c:pt idx="6">
                  <c:v>6.95</c:v>
                </c:pt>
                <c:pt idx="7">
                  <c:v>6.6599999999999993</c:v>
                </c:pt>
                <c:pt idx="8">
                  <c:v>6.3</c:v>
                </c:pt>
                <c:pt idx="9">
                  <c:v>6.2</c:v>
                </c:pt>
                <c:pt idx="10">
                  <c:v>6.1</c:v>
                </c:pt>
                <c:pt idx="11">
                  <c:v>6.2</c:v>
                </c:pt>
                <c:pt idx="12">
                  <c:v>6.3</c:v>
                </c:pt>
                <c:pt idx="13">
                  <c:v>6.3</c:v>
                </c:pt>
                <c:pt idx="14">
                  <c:v>5.98</c:v>
                </c:pt>
                <c:pt idx="15">
                  <c:v>5.67</c:v>
                </c:pt>
                <c:pt idx="16">
                  <c:v>5.37</c:v>
                </c:pt>
                <c:pt idx="17">
                  <c:v>5.07</c:v>
                </c:pt>
                <c:pt idx="18">
                  <c:v>4.79</c:v>
                </c:pt>
                <c:pt idx="19">
                  <c:v>4.53</c:v>
                </c:pt>
                <c:pt idx="20">
                  <c:v>4.28</c:v>
                </c:pt>
                <c:pt idx="21">
                  <c:v>4.05</c:v>
                </c:pt>
                <c:pt idx="22">
                  <c:v>3.84</c:v>
                </c:pt>
                <c:pt idx="23">
                  <c:v>3.65</c:v>
                </c:pt>
                <c:pt idx="24">
                  <c:v>3.4699999999999998</c:v>
                </c:pt>
                <c:pt idx="25">
                  <c:v>3.3099999999999996</c:v>
                </c:pt>
                <c:pt idx="26">
                  <c:v>3.17</c:v>
                </c:pt>
                <c:pt idx="27">
                  <c:v>3.04</c:v>
                </c:pt>
                <c:pt idx="28">
                  <c:v>2.9299999999999997</c:v>
                </c:pt>
                <c:pt idx="29">
                  <c:v>2.82</c:v>
                </c:pt>
              </c:numCache>
            </c:numRef>
          </c:yVal>
          <c:smooth val="1"/>
        </c:ser>
        <c:dLbls>
          <c:showLegendKey val="0"/>
          <c:showVal val="0"/>
          <c:showCatName val="0"/>
          <c:showSerName val="0"/>
          <c:showPercent val="0"/>
          <c:showBubbleSize val="0"/>
        </c:dLbls>
        <c:axId val="198437504"/>
        <c:axId val="199844224"/>
      </c:scatterChart>
      <c:valAx>
        <c:axId val="198437504"/>
        <c:scaling>
          <c:orientation val="minMax"/>
          <c:max val="2100"/>
          <c:min val="1950"/>
        </c:scaling>
        <c:delete val="0"/>
        <c:axPos val="b"/>
        <c:numFmt formatCode="General" sourceLinked="1"/>
        <c:majorTickMark val="out"/>
        <c:minorTickMark val="none"/>
        <c:tickLblPos val="nextTo"/>
        <c:crossAx val="199844224"/>
        <c:crosses val="autoZero"/>
        <c:crossBetween val="midCat"/>
      </c:valAx>
      <c:valAx>
        <c:axId val="199844224"/>
        <c:scaling>
          <c:orientation val="minMax"/>
        </c:scaling>
        <c:delete val="0"/>
        <c:axPos val="l"/>
        <c:majorGridlines/>
        <c:numFmt formatCode="General" sourceLinked="1"/>
        <c:majorTickMark val="out"/>
        <c:minorTickMark val="none"/>
        <c:tickLblPos val="nextTo"/>
        <c:crossAx val="198437504"/>
        <c:crosses val="autoZero"/>
        <c:crossBetween val="midCat"/>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6435036027966"/>
          <c:y val="3.4030711678281596E-2"/>
          <c:w val="0.53139473015788141"/>
          <c:h val="0.87079180619663921"/>
        </c:manualLayout>
      </c:layout>
      <c:scatterChart>
        <c:scatterStyle val="smoothMarker"/>
        <c:varyColors val="0"/>
        <c:ser>
          <c:idx val="0"/>
          <c:order val="0"/>
          <c:tx>
            <c:strRef>
              <c:f>Лист1!$C$1</c:f>
              <c:strCache>
                <c:ptCount val="1"/>
                <c:pt idx="0">
                  <c:v>Population projections accounting for the recent fertility stall</c:v>
                </c:pt>
              </c:strCache>
            </c:strRef>
          </c:tx>
          <c:spPr>
            <a:ln>
              <a:solidFill>
                <a:schemeClr val="tx1">
                  <a:lumMod val="65000"/>
                  <a:lumOff val="35000"/>
                </a:schemeClr>
              </a:solidFill>
              <a:prstDash val="dash"/>
            </a:ln>
          </c:spPr>
          <c:marker>
            <c:symbol val="none"/>
          </c:marker>
          <c:xVal>
            <c:numRef>
              <c:f>Лист1!$A$2:$A$97</c:f>
              <c:numCache>
                <c:formatCode>General</c:formatCode>
                <c:ptCount val="9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pt idx="36">
                  <c:v>2041</c:v>
                </c:pt>
                <c:pt idx="37">
                  <c:v>2042</c:v>
                </c:pt>
                <c:pt idx="38">
                  <c:v>2043</c:v>
                </c:pt>
                <c:pt idx="39">
                  <c:v>2044</c:v>
                </c:pt>
                <c:pt idx="40">
                  <c:v>2045</c:v>
                </c:pt>
                <c:pt idx="41">
                  <c:v>2046</c:v>
                </c:pt>
                <c:pt idx="42">
                  <c:v>2047</c:v>
                </c:pt>
                <c:pt idx="43">
                  <c:v>2048</c:v>
                </c:pt>
                <c:pt idx="44">
                  <c:v>2049</c:v>
                </c:pt>
                <c:pt idx="45">
                  <c:v>2050</c:v>
                </c:pt>
                <c:pt idx="46">
                  <c:v>2051</c:v>
                </c:pt>
                <c:pt idx="47">
                  <c:v>2052</c:v>
                </c:pt>
                <c:pt idx="48">
                  <c:v>2053</c:v>
                </c:pt>
                <c:pt idx="49">
                  <c:v>2054</c:v>
                </c:pt>
                <c:pt idx="50">
                  <c:v>2055</c:v>
                </c:pt>
                <c:pt idx="51">
                  <c:v>2056</c:v>
                </c:pt>
                <c:pt idx="52">
                  <c:v>2057</c:v>
                </c:pt>
                <c:pt idx="53">
                  <c:v>2058</c:v>
                </c:pt>
                <c:pt idx="54">
                  <c:v>2059</c:v>
                </c:pt>
                <c:pt idx="55">
                  <c:v>2060</c:v>
                </c:pt>
                <c:pt idx="56">
                  <c:v>2061</c:v>
                </c:pt>
                <c:pt idx="57">
                  <c:v>2062</c:v>
                </c:pt>
                <c:pt idx="58">
                  <c:v>2063</c:v>
                </c:pt>
                <c:pt idx="59">
                  <c:v>2064</c:v>
                </c:pt>
                <c:pt idx="60">
                  <c:v>2065</c:v>
                </c:pt>
                <c:pt idx="61">
                  <c:v>2066</c:v>
                </c:pt>
                <c:pt idx="62">
                  <c:v>2067</c:v>
                </c:pt>
                <c:pt idx="63">
                  <c:v>2068</c:v>
                </c:pt>
                <c:pt idx="64">
                  <c:v>2069</c:v>
                </c:pt>
                <c:pt idx="65">
                  <c:v>2070</c:v>
                </c:pt>
                <c:pt idx="66">
                  <c:v>2071</c:v>
                </c:pt>
                <c:pt idx="67">
                  <c:v>2072</c:v>
                </c:pt>
                <c:pt idx="68">
                  <c:v>2073</c:v>
                </c:pt>
                <c:pt idx="69">
                  <c:v>2074</c:v>
                </c:pt>
                <c:pt idx="70">
                  <c:v>2075</c:v>
                </c:pt>
                <c:pt idx="71">
                  <c:v>2076</c:v>
                </c:pt>
                <c:pt idx="72">
                  <c:v>2077</c:v>
                </c:pt>
                <c:pt idx="73">
                  <c:v>2078</c:v>
                </c:pt>
                <c:pt idx="74">
                  <c:v>2079</c:v>
                </c:pt>
                <c:pt idx="75">
                  <c:v>2080</c:v>
                </c:pt>
                <c:pt idx="76">
                  <c:v>2081</c:v>
                </c:pt>
                <c:pt idx="77">
                  <c:v>2082</c:v>
                </c:pt>
                <c:pt idx="78">
                  <c:v>2083</c:v>
                </c:pt>
                <c:pt idx="79">
                  <c:v>2084</c:v>
                </c:pt>
                <c:pt idx="80">
                  <c:v>2085</c:v>
                </c:pt>
                <c:pt idx="81">
                  <c:v>2086</c:v>
                </c:pt>
                <c:pt idx="82">
                  <c:v>2087</c:v>
                </c:pt>
                <c:pt idx="83">
                  <c:v>2088</c:v>
                </c:pt>
                <c:pt idx="84">
                  <c:v>2089</c:v>
                </c:pt>
                <c:pt idx="85">
                  <c:v>2090</c:v>
                </c:pt>
                <c:pt idx="86">
                  <c:v>2091</c:v>
                </c:pt>
                <c:pt idx="87">
                  <c:v>2092</c:v>
                </c:pt>
                <c:pt idx="88">
                  <c:v>2093</c:v>
                </c:pt>
                <c:pt idx="89">
                  <c:v>2094</c:v>
                </c:pt>
                <c:pt idx="90">
                  <c:v>2095</c:v>
                </c:pt>
                <c:pt idx="91">
                  <c:v>2096</c:v>
                </c:pt>
                <c:pt idx="92">
                  <c:v>2097</c:v>
                </c:pt>
                <c:pt idx="93">
                  <c:v>2098</c:v>
                </c:pt>
                <c:pt idx="94">
                  <c:v>2099</c:v>
                </c:pt>
                <c:pt idx="95">
                  <c:v>2100</c:v>
                </c:pt>
              </c:numCache>
            </c:numRef>
          </c:xVal>
          <c:yVal>
            <c:numRef>
              <c:f>Лист1!$C$2:$C$97</c:f>
              <c:numCache>
                <c:formatCode>General</c:formatCode>
                <c:ptCount val="96"/>
                <c:pt idx="0">
                  <c:v>20772305</c:v>
                </c:pt>
                <c:pt idx="1">
                  <c:v>21364352.785648108</c:v>
                </c:pt>
                <c:pt idx="2">
                  <c:v>21966768.87894072</c:v>
                </c:pt>
                <c:pt idx="3">
                  <c:v>22594182.245959762</c:v>
                </c:pt>
                <c:pt idx="4">
                  <c:v>23248043.286461081</c:v>
                </c:pt>
                <c:pt idx="5">
                  <c:v>23928181.312594965</c:v>
                </c:pt>
                <c:pt idx="6">
                  <c:v>24632962.359194357</c:v>
                </c:pt>
                <c:pt idx="7">
                  <c:v>25366019.014946382</c:v>
                </c:pt>
                <c:pt idx="8">
                  <c:v>26119623.12097146</c:v>
                </c:pt>
                <c:pt idx="9">
                  <c:v>26895101.817648925</c:v>
                </c:pt>
                <c:pt idx="10">
                  <c:v>27662893.561609786</c:v>
                </c:pt>
                <c:pt idx="11">
                  <c:v>28425508.061103247</c:v>
                </c:pt>
                <c:pt idx="12">
                  <c:v>29187372.734301027</c:v>
                </c:pt>
                <c:pt idx="13">
                  <c:v>29946078.074143454</c:v>
                </c:pt>
                <c:pt idx="14">
                  <c:v>30701875.116174031</c:v>
                </c:pt>
                <c:pt idx="15">
                  <c:v>31468915.694425896</c:v>
                </c:pt>
                <c:pt idx="16">
                  <c:v>32239341.186569747</c:v>
                </c:pt>
                <c:pt idx="17">
                  <c:v>33017940.920189492</c:v>
                </c:pt>
                <c:pt idx="18">
                  <c:v>33824313.948403701</c:v>
                </c:pt>
                <c:pt idx="19">
                  <c:v>34639771.337298706</c:v>
                </c:pt>
                <c:pt idx="20">
                  <c:v>35465400.259458847</c:v>
                </c:pt>
                <c:pt idx="21">
                  <c:v>36297236.789204299</c:v>
                </c:pt>
                <c:pt idx="22">
                  <c:v>37132295.663568422</c:v>
                </c:pt>
                <c:pt idx="23">
                  <c:v>37993724.416678511</c:v>
                </c:pt>
                <c:pt idx="24">
                  <c:v>38861625.447005987</c:v>
                </c:pt>
                <c:pt idx="25">
                  <c:v>39739346.941350065</c:v>
                </c:pt>
                <c:pt idx="26">
                  <c:v>40627547.210442133</c:v>
                </c:pt>
                <c:pt idx="27">
                  <c:v>41514501.625510775</c:v>
                </c:pt>
                <c:pt idx="28">
                  <c:v>42424574.355750903</c:v>
                </c:pt>
                <c:pt idx="29">
                  <c:v>43339861.521246351</c:v>
                </c:pt>
                <c:pt idx="30">
                  <c:v>44264205.199108049</c:v>
                </c:pt>
                <c:pt idx="31">
                  <c:v>45200716.505177267</c:v>
                </c:pt>
                <c:pt idx="32">
                  <c:v>46135113.400249235</c:v>
                </c:pt>
                <c:pt idx="33">
                  <c:v>47090993.165540569</c:v>
                </c:pt>
                <c:pt idx="34">
                  <c:v>48046712.047517598</c:v>
                </c:pt>
                <c:pt idx="35">
                  <c:v>49004596.561359674</c:v>
                </c:pt>
                <c:pt idx="36">
                  <c:v>49966858.410599932</c:v>
                </c:pt>
                <c:pt idx="37">
                  <c:v>50922582.48880244</c:v>
                </c:pt>
                <c:pt idx="38">
                  <c:v>51884447.151301108</c:v>
                </c:pt>
                <c:pt idx="39">
                  <c:v>52840397.276048183</c:v>
                </c:pt>
                <c:pt idx="40">
                  <c:v>53793141.523354121</c:v>
                </c:pt>
                <c:pt idx="41">
                  <c:v>54744404.158409104</c:v>
                </c:pt>
                <c:pt idx="42">
                  <c:v>55687003.161380097</c:v>
                </c:pt>
                <c:pt idx="43">
                  <c:v>56646553.664918043</c:v>
                </c:pt>
                <c:pt idx="44">
                  <c:v>57598531.877162464</c:v>
                </c:pt>
                <c:pt idx="45">
                  <c:v>58537327.035465293</c:v>
                </c:pt>
                <c:pt idx="46">
                  <c:v>59463944.378743432</c:v>
                </c:pt>
                <c:pt idx="47">
                  <c:v>60373351.310977355</c:v>
                </c:pt>
                <c:pt idx="48">
                  <c:v>61279032.822096653</c:v>
                </c:pt>
                <c:pt idx="49">
                  <c:v>62214890.608191334</c:v>
                </c:pt>
                <c:pt idx="50">
                  <c:v>63142337.970599383</c:v>
                </c:pt>
                <c:pt idx="51">
                  <c:v>64064590.134413503</c:v>
                </c:pt>
                <c:pt idx="52">
                  <c:v>64977040.687615998</c:v>
                </c:pt>
                <c:pt idx="53">
                  <c:v>65908210.847146422</c:v>
                </c:pt>
                <c:pt idx="54">
                  <c:v>66830451.555179462</c:v>
                </c:pt>
                <c:pt idx="55">
                  <c:v>67745770.282370716</c:v>
                </c:pt>
                <c:pt idx="56">
                  <c:v>68654011.580490202</c:v>
                </c:pt>
                <c:pt idx="57">
                  <c:v>69549498.359430432</c:v>
                </c:pt>
                <c:pt idx="58">
                  <c:v>70447372.850294828</c:v>
                </c:pt>
                <c:pt idx="59">
                  <c:v>71335950.741417438</c:v>
                </c:pt>
                <c:pt idx="60">
                  <c:v>72217613.063207403</c:v>
                </c:pt>
                <c:pt idx="61">
                  <c:v>73092076.418703943</c:v>
                </c:pt>
                <c:pt idx="62">
                  <c:v>73952741.891011208</c:v>
                </c:pt>
                <c:pt idx="63">
                  <c:v>74816403.28719908</c:v>
                </c:pt>
                <c:pt idx="64">
                  <c:v>75663761.553868428</c:v>
                </c:pt>
                <c:pt idx="65">
                  <c:v>76496726.608010992</c:v>
                </c:pt>
                <c:pt idx="66">
                  <c:v>77315058.739865422</c:v>
                </c:pt>
                <c:pt idx="67">
                  <c:v>78111223.812634036</c:v>
                </c:pt>
                <c:pt idx="68">
                  <c:v>78920937.315234467</c:v>
                </c:pt>
                <c:pt idx="69">
                  <c:v>79708922.449783847</c:v>
                </c:pt>
                <c:pt idx="70">
                  <c:v>80480065.284857348</c:v>
                </c:pt>
                <c:pt idx="71">
                  <c:v>81235455.173296586</c:v>
                </c:pt>
                <c:pt idx="72">
                  <c:v>81968028.913216949</c:v>
                </c:pt>
                <c:pt idx="73">
                  <c:v>82698995.671691895</c:v>
                </c:pt>
                <c:pt idx="74">
                  <c:v>83409434.823362947</c:v>
                </c:pt>
                <c:pt idx="75">
                  <c:v>84102495.671684518</c:v>
                </c:pt>
                <c:pt idx="76">
                  <c:v>84780381.064366221</c:v>
                </c:pt>
                <c:pt idx="77">
                  <c:v>85436474.155210301</c:v>
                </c:pt>
                <c:pt idx="78">
                  <c:v>86095170.949219078</c:v>
                </c:pt>
                <c:pt idx="79">
                  <c:v>86738537.690790072</c:v>
                </c:pt>
                <c:pt idx="80">
                  <c:v>87367582.067336723</c:v>
                </c:pt>
                <c:pt idx="81">
                  <c:v>87984595.137602344</c:v>
                </c:pt>
                <c:pt idx="82">
                  <c:v>88583807.330911443</c:v>
                </c:pt>
                <c:pt idx="83">
                  <c:v>89190969.377505749</c:v>
                </c:pt>
                <c:pt idx="84">
                  <c:v>89776143.628599167</c:v>
                </c:pt>
                <c:pt idx="85">
                  <c:v>90340063.904570952</c:v>
                </c:pt>
                <c:pt idx="86">
                  <c:v>90884512.700999483</c:v>
                </c:pt>
                <c:pt idx="87">
                  <c:v>91405630.419125661</c:v>
                </c:pt>
                <c:pt idx="88">
                  <c:v>91932600.931867927</c:v>
                </c:pt>
                <c:pt idx="89">
                  <c:v>92433690.461022377</c:v>
                </c:pt>
                <c:pt idx="90">
                  <c:v>92910190.806594118</c:v>
                </c:pt>
                <c:pt idx="91">
                  <c:v>93410000</c:v>
                </c:pt>
                <c:pt idx="92">
                  <c:v>93910000</c:v>
                </c:pt>
                <c:pt idx="93">
                  <c:v>94410000</c:v>
                </c:pt>
                <c:pt idx="94">
                  <c:v>94910000</c:v>
                </c:pt>
                <c:pt idx="95">
                  <c:v>95410000</c:v>
                </c:pt>
              </c:numCache>
            </c:numRef>
          </c:yVal>
          <c:smooth val="1"/>
        </c:ser>
        <c:ser>
          <c:idx val="1"/>
          <c:order val="1"/>
          <c:tx>
            <c:strRef>
              <c:f>Лист1!$D$1</c:f>
              <c:strCache>
                <c:ptCount val="1"/>
                <c:pt idx="0">
                  <c:v>UN medium scenario</c:v>
                </c:pt>
              </c:strCache>
            </c:strRef>
          </c:tx>
          <c:spPr>
            <a:ln>
              <a:solidFill>
                <a:schemeClr val="accent1"/>
              </a:solidFill>
            </a:ln>
          </c:spPr>
          <c:marker>
            <c:symbol val="none"/>
          </c:marker>
          <c:xVal>
            <c:numRef>
              <c:f>Лист1!$A$2:$A$97</c:f>
              <c:numCache>
                <c:formatCode>General</c:formatCode>
                <c:ptCount val="9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pt idx="34">
                  <c:v>2039</c:v>
                </c:pt>
                <c:pt idx="35">
                  <c:v>2040</c:v>
                </c:pt>
                <c:pt idx="36">
                  <c:v>2041</c:v>
                </c:pt>
                <c:pt idx="37">
                  <c:v>2042</c:v>
                </c:pt>
                <c:pt idx="38">
                  <c:v>2043</c:v>
                </c:pt>
                <c:pt idx="39">
                  <c:v>2044</c:v>
                </c:pt>
                <c:pt idx="40">
                  <c:v>2045</c:v>
                </c:pt>
                <c:pt idx="41">
                  <c:v>2046</c:v>
                </c:pt>
                <c:pt idx="42">
                  <c:v>2047</c:v>
                </c:pt>
                <c:pt idx="43">
                  <c:v>2048</c:v>
                </c:pt>
                <c:pt idx="44">
                  <c:v>2049</c:v>
                </c:pt>
                <c:pt idx="45">
                  <c:v>2050</c:v>
                </c:pt>
                <c:pt idx="46">
                  <c:v>2051</c:v>
                </c:pt>
                <c:pt idx="47">
                  <c:v>2052</c:v>
                </c:pt>
                <c:pt idx="48">
                  <c:v>2053</c:v>
                </c:pt>
                <c:pt idx="49">
                  <c:v>2054</c:v>
                </c:pt>
                <c:pt idx="50">
                  <c:v>2055</c:v>
                </c:pt>
                <c:pt idx="51">
                  <c:v>2056</c:v>
                </c:pt>
                <c:pt idx="52">
                  <c:v>2057</c:v>
                </c:pt>
                <c:pt idx="53">
                  <c:v>2058</c:v>
                </c:pt>
                <c:pt idx="54">
                  <c:v>2059</c:v>
                </c:pt>
                <c:pt idx="55">
                  <c:v>2060</c:v>
                </c:pt>
                <c:pt idx="56">
                  <c:v>2061</c:v>
                </c:pt>
                <c:pt idx="57">
                  <c:v>2062</c:v>
                </c:pt>
                <c:pt idx="58">
                  <c:v>2063</c:v>
                </c:pt>
                <c:pt idx="59">
                  <c:v>2064</c:v>
                </c:pt>
                <c:pt idx="60">
                  <c:v>2065</c:v>
                </c:pt>
                <c:pt idx="61">
                  <c:v>2066</c:v>
                </c:pt>
                <c:pt idx="62">
                  <c:v>2067</c:v>
                </c:pt>
                <c:pt idx="63">
                  <c:v>2068</c:v>
                </c:pt>
                <c:pt idx="64">
                  <c:v>2069</c:v>
                </c:pt>
                <c:pt idx="65">
                  <c:v>2070</c:v>
                </c:pt>
                <c:pt idx="66">
                  <c:v>2071</c:v>
                </c:pt>
                <c:pt idx="67">
                  <c:v>2072</c:v>
                </c:pt>
                <c:pt idx="68">
                  <c:v>2073</c:v>
                </c:pt>
                <c:pt idx="69">
                  <c:v>2074</c:v>
                </c:pt>
                <c:pt idx="70">
                  <c:v>2075</c:v>
                </c:pt>
                <c:pt idx="71">
                  <c:v>2076</c:v>
                </c:pt>
                <c:pt idx="72">
                  <c:v>2077</c:v>
                </c:pt>
                <c:pt idx="73">
                  <c:v>2078</c:v>
                </c:pt>
                <c:pt idx="74">
                  <c:v>2079</c:v>
                </c:pt>
                <c:pt idx="75">
                  <c:v>2080</c:v>
                </c:pt>
                <c:pt idx="76">
                  <c:v>2081</c:v>
                </c:pt>
                <c:pt idx="77">
                  <c:v>2082</c:v>
                </c:pt>
                <c:pt idx="78">
                  <c:v>2083</c:v>
                </c:pt>
                <c:pt idx="79">
                  <c:v>2084</c:v>
                </c:pt>
                <c:pt idx="80">
                  <c:v>2085</c:v>
                </c:pt>
                <c:pt idx="81">
                  <c:v>2086</c:v>
                </c:pt>
                <c:pt idx="82">
                  <c:v>2087</c:v>
                </c:pt>
                <c:pt idx="83">
                  <c:v>2088</c:v>
                </c:pt>
                <c:pt idx="84">
                  <c:v>2089</c:v>
                </c:pt>
                <c:pt idx="85">
                  <c:v>2090</c:v>
                </c:pt>
                <c:pt idx="86">
                  <c:v>2091</c:v>
                </c:pt>
                <c:pt idx="87">
                  <c:v>2092</c:v>
                </c:pt>
                <c:pt idx="88">
                  <c:v>2093</c:v>
                </c:pt>
                <c:pt idx="89">
                  <c:v>2094</c:v>
                </c:pt>
                <c:pt idx="90">
                  <c:v>2095</c:v>
                </c:pt>
                <c:pt idx="91">
                  <c:v>2096</c:v>
                </c:pt>
                <c:pt idx="92">
                  <c:v>2097</c:v>
                </c:pt>
                <c:pt idx="93">
                  <c:v>2098</c:v>
                </c:pt>
                <c:pt idx="94">
                  <c:v>2099</c:v>
                </c:pt>
                <c:pt idx="95">
                  <c:v>2100</c:v>
                </c:pt>
              </c:numCache>
            </c:numRef>
          </c:xVal>
          <c:yVal>
            <c:numRef>
              <c:f>Лист1!$D$2:$D$97</c:f>
              <c:numCache>
                <c:formatCode>General</c:formatCode>
                <c:ptCount val="96"/>
                <c:pt idx="0">
                  <c:v>20770000</c:v>
                </c:pt>
                <c:pt idx="5">
                  <c:v>23391000</c:v>
                </c:pt>
                <c:pt idx="10">
                  <c:v>26162000</c:v>
                </c:pt>
                <c:pt idx="15">
                  <c:v>29177000</c:v>
                </c:pt>
                <c:pt idx="20">
                  <c:v>32439000</c:v>
                </c:pt>
                <c:pt idx="25">
                  <c:v>35907000</c:v>
                </c:pt>
                <c:pt idx="30">
                  <c:v>39459000</c:v>
                </c:pt>
                <c:pt idx="35">
                  <c:v>43021000</c:v>
                </c:pt>
                <c:pt idx="40">
                  <c:v>46592000</c:v>
                </c:pt>
                <c:pt idx="45">
                  <c:v>50192000</c:v>
                </c:pt>
                <c:pt idx="50">
                  <c:v>53780000</c:v>
                </c:pt>
                <c:pt idx="55">
                  <c:v>57280000</c:v>
                </c:pt>
                <c:pt idx="60">
                  <c:v>60616000</c:v>
                </c:pt>
                <c:pt idx="65">
                  <c:v>63743000</c:v>
                </c:pt>
                <c:pt idx="70">
                  <c:v>66654000</c:v>
                </c:pt>
                <c:pt idx="75">
                  <c:v>69335000</c:v>
                </c:pt>
                <c:pt idx="80">
                  <c:v>71754000</c:v>
                </c:pt>
                <c:pt idx="85">
                  <c:v>73892000</c:v>
                </c:pt>
                <c:pt idx="90">
                  <c:v>75751000</c:v>
                </c:pt>
                <c:pt idx="95">
                  <c:v>77347000</c:v>
                </c:pt>
              </c:numCache>
            </c:numRef>
          </c:yVal>
          <c:smooth val="1"/>
        </c:ser>
        <c:dLbls>
          <c:showLegendKey val="0"/>
          <c:showVal val="0"/>
          <c:showCatName val="0"/>
          <c:showSerName val="0"/>
          <c:showPercent val="0"/>
          <c:showBubbleSize val="0"/>
        </c:dLbls>
        <c:axId val="199883008"/>
        <c:axId val="200065024"/>
      </c:scatterChart>
      <c:valAx>
        <c:axId val="199883008"/>
        <c:scaling>
          <c:orientation val="minMax"/>
          <c:max val="2100"/>
          <c:min val="2005"/>
        </c:scaling>
        <c:delete val="0"/>
        <c:axPos val="b"/>
        <c:numFmt formatCode="General" sourceLinked="1"/>
        <c:majorTickMark val="out"/>
        <c:minorTickMark val="none"/>
        <c:tickLblPos val="nextTo"/>
        <c:txPr>
          <a:bodyPr rot="-5400000" vert="horz"/>
          <a:lstStyle/>
          <a:p>
            <a:pPr>
              <a:defRPr/>
            </a:pPr>
            <a:endParaRPr lang="ru-RU"/>
          </a:p>
        </c:txPr>
        <c:crossAx val="200065024"/>
        <c:crosses val="autoZero"/>
        <c:crossBetween val="midCat"/>
        <c:majorUnit val="5"/>
      </c:valAx>
      <c:valAx>
        <c:axId val="200065024"/>
        <c:scaling>
          <c:orientation val="minMax"/>
          <c:max val="100000000"/>
          <c:min val="20000000"/>
        </c:scaling>
        <c:delete val="0"/>
        <c:axPos val="l"/>
        <c:majorGridlines/>
        <c:numFmt formatCode="#,##0" sourceLinked="0"/>
        <c:majorTickMark val="out"/>
        <c:minorTickMark val="none"/>
        <c:tickLblPos val="nextTo"/>
        <c:crossAx val="199883008"/>
        <c:crosses val="autoZero"/>
        <c:crossBetween val="midCat"/>
        <c:dispUnits>
          <c:builtInUnit val="millions"/>
          <c:dispUnitsLbl>
            <c:layout>
              <c:manualLayout>
                <c:xMode val="edge"/>
                <c:yMode val="edge"/>
                <c:x val="3.0582908885116021E-2"/>
                <c:y val="4.9356382176365877E-2"/>
              </c:manualLayout>
            </c:layout>
            <c:tx>
              <c:rich>
                <a:bodyPr/>
                <a:lstStyle/>
                <a:p>
                  <a:pPr>
                    <a:defRPr/>
                  </a:pPr>
                  <a:r>
                    <a:rPr lang="en-US" sz="1100"/>
                    <a:t>Millions</a:t>
                  </a:r>
                  <a:endParaRPr lang="ru-RU" sz="1100"/>
                </a:p>
              </c:rich>
            </c:tx>
          </c:dispUnitsLbl>
        </c:dispUnits>
      </c:valAx>
    </c:plotArea>
    <c:legend>
      <c:legendPos val="r"/>
      <c:overlay val="0"/>
    </c:legend>
    <c:plotVisOnly val="1"/>
    <c:dispBlanksAs val="span"/>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'сравнение СКР'!$N$1</c:f>
              <c:strCache>
                <c:ptCount val="1"/>
                <c:pt idx="0">
                  <c:v>Malawi</c:v>
                </c:pt>
              </c:strCache>
            </c:strRef>
          </c:tx>
          <c:xVal>
            <c:numRef>
              <c:f>'сравнение СКР'!$M$2:$M$31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СКР'!$N$2:$N$31</c:f>
              <c:numCache>
                <c:formatCode>General</c:formatCode>
                <c:ptCount val="30"/>
                <c:pt idx="0">
                  <c:v>6.78</c:v>
                </c:pt>
                <c:pt idx="1">
                  <c:v>6.84</c:v>
                </c:pt>
                <c:pt idx="2">
                  <c:v>7</c:v>
                </c:pt>
                <c:pt idx="3">
                  <c:v>7.2</c:v>
                </c:pt>
                <c:pt idx="4">
                  <c:v>7.4</c:v>
                </c:pt>
                <c:pt idx="5">
                  <c:v>7.5</c:v>
                </c:pt>
                <c:pt idx="6">
                  <c:v>7.3</c:v>
                </c:pt>
                <c:pt idx="7">
                  <c:v>7</c:v>
                </c:pt>
                <c:pt idx="8">
                  <c:v>6.5</c:v>
                </c:pt>
                <c:pt idx="9">
                  <c:v>6.2</c:v>
                </c:pt>
                <c:pt idx="10">
                  <c:v>6.03</c:v>
                </c:pt>
                <c:pt idx="11">
                  <c:v>6</c:v>
                </c:pt>
                <c:pt idx="12">
                  <c:v>5.9700000000000006</c:v>
                </c:pt>
                <c:pt idx="13">
                  <c:v>5.87</c:v>
                </c:pt>
                <c:pt idx="14">
                  <c:v>5.52</c:v>
                </c:pt>
                <c:pt idx="15">
                  <c:v>5.18</c:v>
                </c:pt>
                <c:pt idx="16">
                  <c:v>4.87</c:v>
                </c:pt>
                <c:pt idx="17">
                  <c:v>4.57</c:v>
                </c:pt>
                <c:pt idx="18">
                  <c:v>4.29</c:v>
                </c:pt>
                <c:pt idx="19">
                  <c:v>4.04</c:v>
                </c:pt>
                <c:pt idx="20">
                  <c:v>3.8099999999999996</c:v>
                </c:pt>
                <c:pt idx="21">
                  <c:v>3.6</c:v>
                </c:pt>
                <c:pt idx="22">
                  <c:v>3.42</c:v>
                </c:pt>
                <c:pt idx="23">
                  <c:v>3.25</c:v>
                </c:pt>
                <c:pt idx="24">
                  <c:v>3.1</c:v>
                </c:pt>
                <c:pt idx="25">
                  <c:v>2.9699999999999998</c:v>
                </c:pt>
                <c:pt idx="26">
                  <c:v>2.8499999999999996</c:v>
                </c:pt>
                <c:pt idx="27">
                  <c:v>2.74</c:v>
                </c:pt>
                <c:pt idx="28">
                  <c:v>2.64</c:v>
                </c:pt>
                <c:pt idx="29">
                  <c:v>2.5499999999999998</c:v>
                </c:pt>
              </c:numCache>
            </c:numRef>
          </c:yVal>
          <c:smooth val="1"/>
        </c:ser>
        <c:ser>
          <c:idx val="1"/>
          <c:order val="1"/>
          <c:tx>
            <c:strRef>
              <c:f>'сравнение СКР'!$O$1</c:f>
              <c:strCache>
                <c:ptCount val="1"/>
                <c:pt idx="0">
                  <c:v>Mozambique</c:v>
                </c:pt>
              </c:strCache>
            </c:strRef>
          </c:tx>
          <c:xVal>
            <c:numRef>
              <c:f>'сравнение СКР'!$M$2:$M$31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СКР'!$O$2:$O$31</c:f>
              <c:numCache>
                <c:formatCode>General</c:formatCode>
                <c:ptCount val="30"/>
                <c:pt idx="0">
                  <c:v>6.6</c:v>
                </c:pt>
                <c:pt idx="1">
                  <c:v>6.6</c:v>
                </c:pt>
                <c:pt idx="2">
                  <c:v>6.6</c:v>
                </c:pt>
                <c:pt idx="3">
                  <c:v>6.6</c:v>
                </c:pt>
                <c:pt idx="4">
                  <c:v>6.58</c:v>
                </c:pt>
                <c:pt idx="5">
                  <c:v>6.53</c:v>
                </c:pt>
                <c:pt idx="6">
                  <c:v>6.44</c:v>
                </c:pt>
                <c:pt idx="7">
                  <c:v>6.33</c:v>
                </c:pt>
                <c:pt idx="8">
                  <c:v>6.1199999999999992</c:v>
                </c:pt>
                <c:pt idx="9">
                  <c:v>5.85</c:v>
                </c:pt>
                <c:pt idx="10">
                  <c:v>5.52</c:v>
                </c:pt>
                <c:pt idx="11">
                  <c:v>5.1099999999999994</c:v>
                </c:pt>
                <c:pt idx="12">
                  <c:v>4.71</c:v>
                </c:pt>
                <c:pt idx="13">
                  <c:v>4.33</c:v>
                </c:pt>
                <c:pt idx="14">
                  <c:v>3.98</c:v>
                </c:pt>
                <c:pt idx="15">
                  <c:v>3.66</c:v>
                </c:pt>
                <c:pt idx="16">
                  <c:v>3.38</c:v>
                </c:pt>
                <c:pt idx="17">
                  <c:v>3.13</c:v>
                </c:pt>
                <c:pt idx="18">
                  <c:v>2.92</c:v>
                </c:pt>
                <c:pt idx="19">
                  <c:v>2.74</c:v>
                </c:pt>
                <c:pt idx="20">
                  <c:v>2.59</c:v>
                </c:pt>
                <c:pt idx="21">
                  <c:v>2.46</c:v>
                </c:pt>
                <c:pt idx="22">
                  <c:v>2.3499999999999996</c:v>
                </c:pt>
                <c:pt idx="23">
                  <c:v>2.25</c:v>
                </c:pt>
                <c:pt idx="24">
                  <c:v>2.17</c:v>
                </c:pt>
                <c:pt idx="25">
                  <c:v>2.1</c:v>
                </c:pt>
                <c:pt idx="26">
                  <c:v>2.04</c:v>
                </c:pt>
                <c:pt idx="27">
                  <c:v>2</c:v>
                </c:pt>
                <c:pt idx="28">
                  <c:v>1.9600000000000002</c:v>
                </c:pt>
                <c:pt idx="29">
                  <c:v>1.9400000000000002</c:v>
                </c:pt>
              </c:numCache>
            </c:numRef>
          </c:yVal>
          <c:smooth val="1"/>
        </c:ser>
        <c:ser>
          <c:idx val="2"/>
          <c:order val="2"/>
          <c:tx>
            <c:strRef>
              <c:f>'сравнение СКР'!$P$1</c:f>
              <c:strCache>
                <c:ptCount val="1"/>
                <c:pt idx="0">
                  <c:v>Mozambique corrected</c:v>
                </c:pt>
              </c:strCache>
            </c:strRef>
          </c:tx>
          <c:xVal>
            <c:numRef>
              <c:f>'сравнение СКР'!$M$2:$M$31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СКР'!$P$2:$P$31</c:f>
              <c:numCache>
                <c:formatCode>General</c:formatCode>
                <c:ptCount val="30"/>
                <c:pt idx="0">
                  <c:v>6.6</c:v>
                </c:pt>
                <c:pt idx="1">
                  <c:v>6.6</c:v>
                </c:pt>
                <c:pt idx="2">
                  <c:v>6.6</c:v>
                </c:pt>
                <c:pt idx="3">
                  <c:v>6.6</c:v>
                </c:pt>
                <c:pt idx="4">
                  <c:v>6.58</c:v>
                </c:pt>
                <c:pt idx="5">
                  <c:v>6.53</c:v>
                </c:pt>
                <c:pt idx="6">
                  <c:v>6.44</c:v>
                </c:pt>
                <c:pt idx="7">
                  <c:v>6.33</c:v>
                </c:pt>
                <c:pt idx="8">
                  <c:v>6.1199999999999992</c:v>
                </c:pt>
                <c:pt idx="9">
                  <c:v>5.85</c:v>
                </c:pt>
                <c:pt idx="10">
                  <c:v>5.52</c:v>
                </c:pt>
                <c:pt idx="11">
                  <c:v>5.7</c:v>
                </c:pt>
                <c:pt idx="12">
                  <c:v>5.9</c:v>
                </c:pt>
                <c:pt idx="13">
                  <c:v>5.52</c:v>
                </c:pt>
                <c:pt idx="14">
                  <c:v>5.1099999999999994</c:v>
                </c:pt>
                <c:pt idx="15">
                  <c:v>4.71</c:v>
                </c:pt>
                <c:pt idx="16">
                  <c:v>4.33</c:v>
                </c:pt>
                <c:pt idx="17">
                  <c:v>3.98</c:v>
                </c:pt>
                <c:pt idx="18">
                  <c:v>3.66</c:v>
                </c:pt>
                <c:pt idx="19">
                  <c:v>3.38</c:v>
                </c:pt>
                <c:pt idx="20">
                  <c:v>3.13</c:v>
                </c:pt>
                <c:pt idx="21">
                  <c:v>2.92</c:v>
                </c:pt>
                <c:pt idx="22">
                  <c:v>2.74</c:v>
                </c:pt>
                <c:pt idx="23">
                  <c:v>2.59</c:v>
                </c:pt>
                <c:pt idx="24">
                  <c:v>2.46</c:v>
                </c:pt>
                <c:pt idx="25">
                  <c:v>2.3499999999999996</c:v>
                </c:pt>
                <c:pt idx="26">
                  <c:v>2.25</c:v>
                </c:pt>
                <c:pt idx="27">
                  <c:v>2.17</c:v>
                </c:pt>
                <c:pt idx="28">
                  <c:v>2.1</c:v>
                </c:pt>
                <c:pt idx="29">
                  <c:v>2.04</c:v>
                </c:pt>
              </c:numCache>
            </c:numRef>
          </c:yVal>
          <c:smooth val="1"/>
        </c:ser>
        <c:ser>
          <c:idx val="3"/>
          <c:order val="3"/>
          <c:tx>
            <c:strRef>
              <c:f>'сравнение СКР'!$Q$1</c:f>
              <c:strCache>
                <c:ptCount val="1"/>
                <c:pt idx="0">
                  <c:v>Tanzania</c:v>
                </c:pt>
              </c:strCache>
            </c:strRef>
          </c:tx>
          <c:xVal>
            <c:numRef>
              <c:f>'сравнение СКР'!$M$2:$M$31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СКР'!$Q$2:$Q$31</c:f>
              <c:numCache>
                <c:formatCode>General</c:formatCode>
                <c:ptCount val="30"/>
                <c:pt idx="0">
                  <c:v>6.74</c:v>
                </c:pt>
                <c:pt idx="1">
                  <c:v>6.8</c:v>
                </c:pt>
                <c:pt idx="2">
                  <c:v>6.8</c:v>
                </c:pt>
                <c:pt idx="3">
                  <c:v>6.79</c:v>
                </c:pt>
                <c:pt idx="4">
                  <c:v>6.75</c:v>
                </c:pt>
                <c:pt idx="5">
                  <c:v>6.73</c:v>
                </c:pt>
                <c:pt idx="6">
                  <c:v>6.55</c:v>
                </c:pt>
                <c:pt idx="7">
                  <c:v>6.3599999999999994</c:v>
                </c:pt>
                <c:pt idx="8">
                  <c:v>6.05</c:v>
                </c:pt>
                <c:pt idx="9">
                  <c:v>5.75</c:v>
                </c:pt>
                <c:pt idx="10">
                  <c:v>5.6599999999999993</c:v>
                </c:pt>
                <c:pt idx="11">
                  <c:v>5.58</c:v>
                </c:pt>
                <c:pt idx="12">
                  <c:v>5.5</c:v>
                </c:pt>
                <c:pt idx="13">
                  <c:v>5.3599999999999994</c:v>
                </c:pt>
                <c:pt idx="14">
                  <c:v>5.0199999999999996</c:v>
                </c:pt>
                <c:pt idx="15">
                  <c:v>4.7</c:v>
                </c:pt>
                <c:pt idx="16">
                  <c:v>4.4000000000000004</c:v>
                </c:pt>
                <c:pt idx="17">
                  <c:v>4.1099999999999994</c:v>
                </c:pt>
                <c:pt idx="18">
                  <c:v>3.8499999999999996</c:v>
                </c:pt>
                <c:pt idx="19">
                  <c:v>3.61</c:v>
                </c:pt>
                <c:pt idx="20">
                  <c:v>3.4</c:v>
                </c:pt>
                <c:pt idx="21">
                  <c:v>3.21</c:v>
                </c:pt>
                <c:pt idx="22">
                  <c:v>3.04</c:v>
                </c:pt>
                <c:pt idx="23">
                  <c:v>2.9</c:v>
                </c:pt>
                <c:pt idx="24">
                  <c:v>2.77</c:v>
                </c:pt>
                <c:pt idx="25">
                  <c:v>2.65</c:v>
                </c:pt>
                <c:pt idx="26">
                  <c:v>2.5499999999999998</c:v>
                </c:pt>
                <c:pt idx="27">
                  <c:v>2.46</c:v>
                </c:pt>
                <c:pt idx="28">
                  <c:v>2.38</c:v>
                </c:pt>
                <c:pt idx="29">
                  <c:v>2.3099999999999996</c:v>
                </c:pt>
              </c:numCache>
            </c:numRef>
          </c:yVal>
          <c:smooth val="1"/>
        </c:ser>
        <c:ser>
          <c:idx val="4"/>
          <c:order val="4"/>
          <c:tx>
            <c:strRef>
              <c:f>'сравнение СКР'!$R$1</c:f>
              <c:strCache>
                <c:ptCount val="1"/>
                <c:pt idx="0">
                  <c:v>Zambia</c:v>
                </c:pt>
              </c:strCache>
            </c:strRef>
          </c:tx>
          <c:xVal>
            <c:numRef>
              <c:f>'сравнение СКР'!$M$2:$M$31</c:f>
              <c:numCache>
                <c:formatCode>General</c:formatCode>
                <c:ptCount val="30"/>
                <c:pt idx="0">
                  <c:v>1952</c:v>
                </c:pt>
                <c:pt idx="1">
                  <c:v>1957</c:v>
                </c:pt>
                <c:pt idx="2">
                  <c:v>1962</c:v>
                </c:pt>
                <c:pt idx="3">
                  <c:v>1967</c:v>
                </c:pt>
                <c:pt idx="4">
                  <c:v>1972</c:v>
                </c:pt>
                <c:pt idx="5">
                  <c:v>1977</c:v>
                </c:pt>
                <c:pt idx="6">
                  <c:v>1982</c:v>
                </c:pt>
                <c:pt idx="7">
                  <c:v>1987</c:v>
                </c:pt>
                <c:pt idx="8">
                  <c:v>1992</c:v>
                </c:pt>
                <c:pt idx="9">
                  <c:v>1997</c:v>
                </c:pt>
                <c:pt idx="10">
                  <c:v>2002</c:v>
                </c:pt>
                <c:pt idx="11">
                  <c:v>2007</c:v>
                </c:pt>
                <c:pt idx="12">
                  <c:v>2012</c:v>
                </c:pt>
                <c:pt idx="13">
                  <c:v>2017</c:v>
                </c:pt>
                <c:pt idx="14">
                  <c:v>2022</c:v>
                </c:pt>
                <c:pt idx="15">
                  <c:v>2027</c:v>
                </c:pt>
                <c:pt idx="16">
                  <c:v>2032</c:v>
                </c:pt>
                <c:pt idx="17">
                  <c:v>2037</c:v>
                </c:pt>
                <c:pt idx="18">
                  <c:v>2042</c:v>
                </c:pt>
                <c:pt idx="19">
                  <c:v>2047</c:v>
                </c:pt>
                <c:pt idx="20">
                  <c:v>2052</c:v>
                </c:pt>
                <c:pt idx="21">
                  <c:v>2057</c:v>
                </c:pt>
                <c:pt idx="22">
                  <c:v>2062</c:v>
                </c:pt>
                <c:pt idx="23">
                  <c:v>2067</c:v>
                </c:pt>
                <c:pt idx="24">
                  <c:v>2072</c:v>
                </c:pt>
                <c:pt idx="25">
                  <c:v>2077</c:v>
                </c:pt>
                <c:pt idx="26">
                  <c:v>2082</c:v>
                </c:pt>
                <c:pt idx="27">
                  <c:v>2087</c:v>
                </c:pt>
                <c:pt idx="28">
                  <c:v>2092</c:v>
                </c:pt>
                <c:pt idx="29">
                  <c:v>2097</c:v>
                </c:pt>
              </c:numCache>
            </c:numRef>
          </c:xVal>
          <c:yVal>
            <c:numRef>
              <c:f>'сравнение СКР'!$R$2:$R$31</c:f>
              <c:numCache>
                <c:formatCode>General</c:formatCode>
                <c:ptCount val="30"/>
                <c:pt idx="0">
                  <c:v>6.75</c:v>
                </c:pt>
                <c:pt idx="1">
                  <c:v>6.9</c:v>
                </c:pt>
                <c:pt idx="2">
                  <c:v>7.1499999999999995</c:v>
                </c:pt>
                <c:pt idx="3">
                  <c:v>7.4</c:v>
                </c:pt>
                <c:pt idx="4">
                  <c:v>7.4300000000000006</c:v>
                </c:pt>
                <c:pt idx="5">
                  <c:v>7.38</c:v>
                </c:pt>
                <c:pt idx="6">
                  <c:v>6.95</c:v>
                </c:pt>
                <c:pt idx="7">
                  <c:v>6.6599999999999993</c:v>
                </c:pt>
                <c:pt idx="8">
                  <c:v>6.3</c:v>
                </c:pt>
                <c:pt idx="9">
                  <c:v>6.2</c:v>
                </c:pt>
                <c:pt idx="10">
                  <c:v>6.1</c:v>
                </c:pt>
                <c:pt idx="11">
                  <c:v>6.2</c:v>
                </c:pt>
                <c:pt idx="12">
                  <c:v>6.3</c:v>
                </c:pt>
                <c:pt idx="13">
                  <c:v>6.3</c:v>
                </c:pt>
                <c:pt idx="14">
                  <c:v>5.98</c:v>
                </c:pt>
                <c:pt idx="15">
                  <c:v>5.67</c:v>
                </c:pt>
                <c:pt idx="16">
                  <c:v>5.37</c:v>
                </c:pt>
                <c:pt idx="17">
                  <c:v>5.07</c:v>
                </c:pt>
                <c:pt idx="18">
                  <c:v>4.79</c:v>
                </c:pt>
                <c:pt idx="19">
                  <c:v>4.53</c:v>
                </c:pt>
                <c:pt idx="20">
                  <c:v>4.28</c:v>
                </c:pt>
                <c:pt idx="21">
                  <c:v>4.05</c:v>
                </c:pt>
                <c:pt idx="22">
                  <c:v>3.84</c:v>
                </c:pt>
                <c:pt idx="23">
                  <c:v>3.65</c:v>
                </c:pt>
                <c:pt idx="24">
                  <c:v>3.4699999999999998</c:v>
                </c:pt>
                <c:pt idx="25">
                  <c:v>3.3099999999999996</c:v>
                </c:pt>
                <c:pt idx="26">
                  <c:v>3.17</c:v>
                </c:pt>
                <c:pt idx="27">
                  <c:v>3.04</c:v>
                </c:pt>
                <c:pt idx="28">
                  <c:v>2.9299999999999997</c:v>
                </c:pt>
                <c:pt idx="29">
                  <c:v>2.82</c:v>
                </c:pt>
              </c:numCache>
            </c:numRef>
          </c:yVal>
          <c:smooth val="1"/>
        </c:ser>
        <c:dLbls>
          <c:showLegendKey val="0"/>
          <c:showVal val="0"/>
          <c:showCatName val="0"/>
          <c:showSerName val="0"/>
          <c:showPercent val="0"/>
          <c:showBubbleSize val="0"/>
        </c:dLbls>
        <c:axId val="200276992"/>
        <c:axId val="200479488"/>
      </c:scatterChart>
      <c:valAx>
        <c:axId val="200276992"/>
        <c:scaling>
          <c:orientation val="minMax"/>
          <c:max val="2100"/>
          <c:min val="1950"/>
        </c:scaling>
        <c:delete val="0"/>
        <c:axPos val="b"/>
        <c:numFmt formatCode="General" sourceLinked="1"/>
        <c:majorTickMark val="out"/>
        <c:minorTickMark val="none"/>
        <c:tickLblPos val="nextTo"/>
        <c:crossAx val="200479488"/>
        <c:crosses val="autoZero"/>
        <c:crossBetween val="midCat"/>
      </c:valAx>
      <c:valAx>
        <c:axId val="200479488"/>
        <c:scaling>
          <c:orientation val="minMax"/>
        </c:scaling>
        <c:delete val="0"/>
        <c:axPos val="l"/>
        <c:majorGridlines/>
        <c:numFmt formatCode="General" sourceLinked="1"/>
        <c:majorTickMark val="out"/>
        <c:minorTickMark val="none"/>
        <c:tickLblPos val="nextTo"/>
        <c:crossAx val="20027699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4E77-D380-4EB8-8369-2E6C32AE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5538</Words>
  <Characters>31236</Characters>
  <Application>Microsoft Office Word</Application>
  <DocSecurity>0</DocSecurity>
  <Lines>650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W8</cp:lastModifiedBy>
  <cp:revision>2</cp:revision>
  <dcterms:created xsi:type="dcterms:W3CDTF">2014-10-19T06:15:00Z</dcterms:created>
  <dcterms:modified xsi:type="dcterms:W3CDTF">2014-10-19T06:15:00Z</dcterms:modified>
</cp:coreProperties>
</file>