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F8018E" w:rsidRPr="00F8018E" w:rsidTr="00F8018E">
        <w:trPr>
          <w:tblCellSpacing w:w="0" w:type="dxa"/>
        </w:trPr>
        <w:tc>
          <w:tcPr>
            <w:tcW w:w="195" w:type="dxa"/>
            <w:hideMark/>
          </w:tcPr>
          <w:p w:rsidR="00F8018E" w:rsidRPr="00F8018E" w:rsidRDefault="00F8018E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F8018E" w:rsidRPr="00F8018E" w:rsidRDefault="00F8018E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1" name="Рисунок 1" descr="http://magazines.russ.ru/.img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gazines.russ.ru/.img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18E" w:rsidRPr="00F8018E" w:rsidRDefault="00F8018E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F8018E">
                <w:rPr>
                  <w:rFonts w:ascii="Times New Roman CYR" w:eastAsia="Times New Roman" w:hAnsi="Times New Roman CYR" w:cs="Times New Roman CYR"/>
                  <w:b/>
                  <w:bCs/>
                  <w:color w:val="005B59"/>
                  <w:sz w:val="27"/>
                  <w:lang w:eastAsia="ru-RU"/>
                </w:rPr>
                <w:t>В. Зусман</w:t>
              </w:r>
            </w:hyperlink>
            <w:r w:rsidRPr="00F8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018E" w:rsidRPr="00F8018E" w:rsidRDefault="00F8018E" w:rsidP="00F801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33"/>
                <w:szCs w:val="33"/>
                <w:lang w:eastAsia="ru-RU"/>
              </w:rPr>
            </w:pPr>
            <w:r w:rsidRPr="00F8018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33"/>
                <w:szCs w:val="33"/>
                <w:lang w:eastAsia="ru-RU"/>
              </w:rPr>
              <w:t>«Кот в сапогах» Л. Тика: от текста к произведению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24"/>
              <w:gridCol w:w="25"/>
            </w:tblGrid>
            <w:tr w:rsidR="00F8018E" w:rsidRPr="00F801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018E" w:rsidRPr="00F8018E" w:rsidRDefault="00F8018E" w:rsidP="00F80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F8018E">
                      <w:rPr>
                        <w:rFonts w:ascii="Times New Roman CYR" w:eastAsia="Times New Roman" w:hAnsi="Times New Roman CYR" w:cs="Times New Roman CYR"/>
                        <w:color w:val="E10033"/>
                        <w:sz w:val="18"/>
                        <w:lang w:eastAsia="ru-RU"/>
                      </w:rPr>
                      <w:t>версия для печати</w:t>
                    </w:r>
                  </w:hyperlink>
                  <w:r w:rsidRPr="00F801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018E">
                    <w:rPr>
                      <w:rFonts w:ascii="Times New Roman" w:eastAsia="Times New Roman" w:hAnsi="Times New Roman" w:cs="Times New Roman"/>
                      <w:color w:val="FFFDF1"/>
                      <w:sz w:val="24"/>
                      <w:szCs w:val="24"/>
                      <w:lang w:eastAsia="ru-RU"/>
                    </w:rPr>
                    <w:t>(89247)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8018E" w:rsidRPr="00F8018E" w:rsidRDefault="00F8018E" w:rsidP="00F801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018E" w:rsidRPr="00F8018E" w:rsidRDefault="00F8018E" w:rsidP="00F80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018E" w:rsidRPr="00F8018E" w:rsidRDefault="00F8018E" w:rsidP="00F8018E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2" name="Рисунок 2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Памяти А. </w:t>
      </w:r>
      <w:proofErr w:type="gram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Карельского</w:t>
      </w:r>
      <w:proofErr w:type="gramEnd"/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14-15 апреля 2011 года в МГУ прошли чтения, посвященные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семидесятипятилетию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 дня рождения ученого-германиста Альберта Викторовича Карельского, работавшего в Московском университете на кафедре зарубежной литературы, где его помнят как блистательного лектора, как великолепного знатока германоязычной литературы, талантливого переводчика Клейста и Гофмана,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Музиля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Кафки, Ницше и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Фриша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Статьи, которые мы печатаем в этом номере, написаны на 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основе прочитанных на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конференции докладов - о сути предмета филологии, об отражении социальной реальности в литературе и о типологическом сходстве художественных явлений, то есть о том, что живо занимало А. Карельского и что он с блеском исследовал в своих работах.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Валерий ЗУСМАН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“КОТ В САПОГАХ” Л. ТИКА: ОТ ТЕКСТА К ПРОИЗВЕДЕНИЮ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Ранние романтики, в том числе и Тик, использовали слово “произведение” (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das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Werk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но еще чаще возникал у них образ “книги” (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das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Buch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как символа полноты и совершенства, 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объединяющего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физический и метафизический миры</w:t>
      </w: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[1]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переводе на современный терминологический язык, “книга” представляет собой “гипертекст”, рождающийся в процессе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деконструкции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“произведения”. Именно так происходит в комедии немецкого романтика Людвига Тика “Кот в сапогах” (“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Der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gestiefelte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Kater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1797).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Деконструкцию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осуществляют выведенные в пьесе зрители. Под воздействием романтической иронии произведение, если понимать под ним “мещанскую драму”, “семейную картину” или модную в конце XVIII века оперу, распадается. Романтическая ирония порождает “текст”. Однако - взятый в целом и заключенный в раму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раннеромантического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мировосприятия - этот “текст” по воле автора и его идеальных читателей - достраивается, превращаясь в “произведение”.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блестящей статье “От произведения к тексту” (1971) Ролан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Барт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писал: “Различие здесь вот в чем: произведение есть вещественный фрагмент, занимающий определенную часть книжного пространства (например, в библиотеке), а Текст - поле методологических операций (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un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champ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methodologique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)”</w:t>
      </w: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[2]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 далее: “Всякий текст есть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между-текст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отношению к какому-то другому тексту, но эту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интертекстуальность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следует понимать так, что у текста есть какое-то происхождение; всякие поиски “источников” и “влияний” соответствуют мифу о филиации произведений, текст же образуется из анонимных, неуловимых и вместе с тем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уже </w:t>
      </w:r>
      <w:proofErr w:type="gram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читанных</w:t>
      </w:r>
      <w:proofErr w:type="gram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цитат - из цитат без кавычек” (с. 418).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Барт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будто специально имеет в виду комедию Тика “Кот в сапогах”. “Текст” в понимании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Барта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противостоит “произведению”. Те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кст пр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отивостоит ему “своей множественной, бесовской текстурой, что способно повлечь за собой глубокие перемены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 чтении...”. Текст живет вне какой-либо “обусловленности”. Произведение же, напротив, связано с “аксиомой обусловленности”. По мнению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Барта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оно обусловлено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“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действительностью (расой, позднее Историей)...” В отличие от текста произведения следуют друг за другом; они сохраняют свою принадлежность автору.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Барт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пишет: “Автор считается отцом и хозяином своего произведения; литературоведение учит 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нас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поэтому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уважать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автограф и прямо заявленные намерения автора...” (с. 419). И далее: “Текст как раз и подобен такой партитуре нового типа: он требует от читателя деятельного сотрудничества. Это принципиальное новшество - ибо кто же станет исполнять произведение?” (с. 421). У текста нет “автора”, но есть читатели, которые изменяют его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on-line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 интерактивном режиме.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Заметно сходство давней немецкой пьесы 1797 года с романом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Милорада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Павича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“Ящик для письменных принадлежностей” (1999). Выложенный в сети Интернет, текст романа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Павича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“Ящик для письменных принадлежностей” предназначен для того, чтобы </w:t>
      </w:r>
      <w:proofErr w:type="spellStart"/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интернет-пользователи</w:t>
      </w:r>
      <w:proofErr w:type="spellEnd"/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своему усмотрению предлагали варианты продолжения романа.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Павич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дал два варианта романа - “бумажный” (произведение) и электронный (текст). В сети роман оказался в зоне действия избыточных обратных связей. Он предстает как сетевой гипертекст</w:t>
      </w: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[3]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Интернет-пользователи</w:t>
      </w:r>
      <w:proofErr w:type="spellEnd"/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даже не заметили, как оказались в положении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Шлоссера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Мюллера,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Лейтнера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Визенера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известно, занавес в комедии Тика поднимается над партером. Реальные читатели или зрители разных веков знакомятся сначала с публикой, которая собралась посмотреть пьесу. Автор изображает просвещенных берлинских зрителей конца XVIII века. Сам Тик писал о “тривиальном” вкусе зрителей, воспитанных в духе берлинского литератора Ф. Николаи. Позднее автор “Кота в сапогах” говорил об “усредненном образовании” людей “облегченного Просвещения” (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die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mittlere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Bildung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vieler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Menschen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die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leichte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Aufklbrung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[4]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Именно эта публика подвергает “детскую сказку”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деконструкции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превращая исходное, еще не показанное на сцене “произведение” в “текст”. Зрители вмешиваются в ход сказочного действия и меняют его. Актеры выходят из своей роли и общаются с публикой. Текст комедии Тика находится в непрерывном становлении. Перед началом сказочного действия зрители в партере погружаются в состояние глубокой антиципации. Предвосхищая театральное действо, они обсуждают проблему жанра. Зрители категорически протестуют против появления “сказки” на сцене. Они требуют, чтобы пьеса трансформировалась в хорошо знакомый устойчивый жанр - “мещанскую драму” или “семейную картину” в духе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Ифланда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Коцебу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Часть зрителей отдает предпочтение модным в то время оперным постановкам, надеясь услышать что-то вроде оперы Франца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Ксавера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Зюсмайра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Der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Spiegel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von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Arkadien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(1795). Зрители требуют отменить постановку сказки и вместо этого представить привычный жанр, показать внятную и понятную пьесу.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Технически этот конфликт между романтической комедией и просвещенными зрителями показан с помощью разрушения театральной иллюзии. Тик в этом отношении опирается на опыт предшественников и современников Шекспира, и прежде всего Ф.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Бомонта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комедии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Бомонта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“Рыцарь пламенеющего пестика” (“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The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Knight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of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the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Burning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Pestle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ок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1607) перед началом действия бакалейщик, его жена и подмастерье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Ралф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категорически требуют от актеров, чтобы они сыграли пьесу, в которой бакалейщик совершал бы “подвиги 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поудивительнее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[5]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Зрители в партере Тика ведут себя сходным образом.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Разрушая сценическую иллюзию, Л. Тик опирается на драматическое творчество К. Гоцци и датского драматурга Л.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Хольберга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XX веке традицию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антииллюзионизма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продолжили, как известно, Б. Брехт, Л. Пиранделло, П.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Хандке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многие другие. А. Карельский определяет “принцип игнорирования сценической иллюзии” как “вещественную форму романтической иронии”</w:t>
      </w: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[6]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Эта “вещественность” состоит как раз в “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развеществлении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в придании относительности казалось бы безусловному.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Романтическая ирония Тика - это игра на границе реального и поэтического, наличного и кажущегося миров</w:t>
      </w: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[7]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Междудействия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коллизии и столкновения на границах сказочного и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внесказочного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сюжетов обозначают переходы “текста” в “произведение” и “произведения” в “текст”. Так, в начале третьего действия машинист и поэт общаются друг с другом в декорациях сказки. Это вхождение закулисных фигур в “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хронотоп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сказочных декораций выводит публику из равновесия. Поэт умоляет машиниста запускать театральную технику всякий раз, когда нарастает шум в зрительном зале, поскольку “второе действие и так уже закончилось совсем иначе, чем &lt;...&gt; в рукописи” (перевод А. Карельского). Затем на сцену выбегает Гансвурст и вступает в разговор с просвещенными зрителями. И только потом на подмостках появляются крестьянский сын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Готлиб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кот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Гинц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Начинается первая сцена третьего действия. В таком случае предыдущая сцена оказывается нулевой сценой третьего действия. Получается, что третье действие началось с “</w:t>
      </w:r>
      <w:proofErr w:type="spellStart"/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минус-сцены</w:t>
      </w:r>
      <w:proofErr w:type="spellEnd"/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Раздвоение действия вызывает нарушение сценического правдоподобия. Просвещенные зрители оказываются одновременно внутри сказочного сюжета и 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его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Сказочные фигуры выпадают из сказочного действия. Крестьянский сын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Готлиб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просит Кота в сапогах скорее осчастливить его; иначе будет поздно: уже “полвосьмого &lt;...&gt; а в восемь комедия оканчивается”. Пьеса выходит из-под контроля ее персонажа-поэта. Актеры не желают следовать авторским указаниям. Зрители вмешиваются в ход действия.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Вернемся еще раз к началу третьего действия. В хижине крестьянского сына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Готлиба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 декорациях показанной на театре сказки, беседуют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внесказочные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персонажи: “поэт” и машинист сцены. Машинист слышит шум в зрительном зале. Он понимает, что кто-то “...сообразил поднять раньше времени занавес”. Поэт в испуге убегает со сцены. Затем на сцену выходит Гансвурст и начинает общаться с публикой. Зритель с характерной фамилией Мюллер задает “разумный вопрос”: “А как Гансвурст попал в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Готлибову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избу?” Гансвурст обращается к публике “просто как актер к зрителям”. Он выходит из своей роли внутри пьесы-сказки и входит в отведенную ему роль в обрамляющем действии. Зритель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Шлоссер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отчаянии восклицает: “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Ну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все, люди, я отключился. Я уж точно сошел с ума” (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Leute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nun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bin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ich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hin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ich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bin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verrtckt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Это выражение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Шлоссера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“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nun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bin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ich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hin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- заслуживает внимания. Зритель ощущает себя за гранью, он перешел границу. Все происходящее напоминает сон и грозит сумасшествием. Романтическая ирония Тика “провоцирует” публику, выводит публику из себя</w:t>
      </w: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[8]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Театральное действо захватывает партер. 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Зрители с характерными фамилиями “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Шлоссер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“Фишер”, “Мюллер” (А. Карельский пишет - это все равно, что для русского уха “Иванов, Петров, Сидоров”)</w:t>
      </w: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[9]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превращаются в “людей играющих”.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Только они не знают, что им приходится играть.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третьем действии комедии зрители из партера с изумлением слушают спор придворного ученого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Леандра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Гансвурста о пьесе “Кот в сапогах”.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Леандр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считает, что в “пьесе много живых характеров”, в частности, “...в ней хорошо изображена публика”. Зритель по фамилии Фишер реагирует возмущенно: “Публика? Да в пьесе нет никакой публики!” (“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Es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knmmt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ja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kein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Publikum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dem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Sttcke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vor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”). Обратим внимание на определенный артикль, который очень трудно учесть в переводе - “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Es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knmmt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ja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kein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Publikum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dem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Sttcke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vor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 Смысл реплики Фишера таков: “Уж в этой-то пьесе точно нет никакой публики!”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Реплика Фишера показывает, что комедия “Кот в сапогах” не сводится к тексту. Над “текстом” вырастает “произведение”. Разница в кругозоре между Фишером, “поэтом” из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пьесы и Л. Тиком как автором художественным (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концепированным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определяет зазор между текстом и произведением.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Термин “произведение” понимается вслед за М. Бахтиным, по мысли которого “текст” “не равняется всему произведению в его целом”. Текст не равен произведению в статусе “эстетического объекта”. В произведение входит и его “необходимый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внетекстовый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контекст”. Произведение “как бы окутано музыкой интонационно-ценностного контекста, в котором оно понимается и оценивается”. Это восприятие, этот контекст меняются от века к веку</w:t>
      </w: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[10]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Следовательно, “смысл” произведения возникает при восприятии читателями и зрителями разных эпох этого растущего “интонационно-ценностного контекста”.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Текст в понимании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Барта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апеллирует к читателю “здесь” и “сейчас”. Читатель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Барта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- это интерактивный читатель, который всегда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on-line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Этот “читатель” столь же виртуален, как и автор текста. Автор - “гость в тексте”. И читатель - “гость”. По словам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Барта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“Те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кст тр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ебует, чтобы мы стремились к устранению или хотя бы к сокращению дистанции между письмом и чтением, не проецируя еще сильнее личность читателя на произведение, а объединяя чтение и письмо в единой знаковой деятельности” (с. 420).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понимании Бахтина, личность читателя обязательно “проецируется” на произведение. При этом читатель извлекает новый смысл из произведения, опираясь на “интонационно-ценностный контекст”, это произведение окутывающий. В отношении “текста” и “произведения” между Бахтиным и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Бартом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нет точек соприкосновения. Расходятся они и в отношении категории “автор”. Для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Барта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неприемлем автор-демиург, авто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р-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“хозяин”, узурпирующий центральную позицию текста. Филологическая критика здесь переходит у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Барта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критику теологическую.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Бахтин полагал, напротив, что у произведения есть автор,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внеположенный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“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трансгредиентный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ему. Автор обозревает произведение в целом. Этот автор не равен автору биографическому. Дополняя эти идеи Бахтина, Б.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Корман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ввел понятие автора “художественного” (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концепированного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В понимании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Кормана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“Автор -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субъект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(носитель)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сознания,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выражением которого является все произведение или их совокупность”. Так понятый автор “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отграничивается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от биографического автора - реально существующего или существовавшего человека”.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Корман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подчеркивал, что “биографический автор &lt;...&gt; создает с помощью воображения, отбора и переработки жизненного материала А. художественного (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концепированного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)”. И далее: “Инобытием такого А., его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опосредованием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является весь художественный феномен, все литературное произведение”</w:t>
      </w: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[11]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Итак, произведение - это возникающий по авторской воле, выраженный и запечатленный смысл художественного текста, вызывающий ответную реакцию читателей и зрителей разных веков. В ходе обратной связи смысл произведения достраивается, а иногда создается заново.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Смысловой скачок от текста к произведению в комедии Тика связан с цепочкой усложненной коммуникации: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Автор биографический - Автор художественный - Произведение - Поэт - Текст сказки - Зрители в партере - Произведение - Реальные читатели / зрители.</w:t>
      </w:r>
      <w:proofErr w:type="gramEnd"/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 комедии Тика с “текстом” “сотрудничают” просвещенные зрители из партера, Гансвурст, “поэт”, актеры из сказочного сюжета, выходящие из роли. Создавая “произведение”, Автор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концепированный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(художественный) поднимается над их кругозором. Возникает “комедия чистой радости”, о которой писал В.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Жирмунский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[12]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Тику как Автору художественному (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концепированному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удается создать произведение, воплощающее - по определению Карельского - “...формулу самой Комедии, ее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праформу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[13]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 Нижний Новгород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Н О С К И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[1]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Вайнштейн О. Б.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Язык романтической мысли. О философском стиле Новалиса и Фридриха Шлегеля. М.: РГГУ, 1994. С. 58. См. также: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Чавчанидзе</w:t>
      </w:r>
      <w:proofErr w:type="spell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Д. Л.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Феномен искусства в немецкой романтической прозе: Средневековая модель и ее разрушение. М.: МГУ, 1997.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[2]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Барт</w:t>
      </w:r>
      <w:proofErr w:type="spell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Р.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 произведения к тексту //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Барт</w:t>
      </w:r>
      <w:proofErr w:type="spell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Р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Избранные работы: Семиотика. Поэтика / Перевод с франц. Сост., общ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ед. и вступ. ст. Г. К.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Косикова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М.: Прогресс, 1989. С. 415. Далее страницы указываются в тексте.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 w:eastAsia="ru-RU"/>
        </w:rPr>
        <w:t>[3]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>Viehoff</w:t>
      </w:r>
      <w:proofErr w:type="spell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 xml:space="preserve"> R.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Hypertext // Metzler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Lexikon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Medientheorie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Medienwissenschaft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Ansbtze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-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Personen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-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Grundbegriffe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/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Hrsg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. V. Helmut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Schanze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Stuttgart - Weimar: J.B. Metzler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Verlag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, 2002. S. 142-143.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 w:eastAsia="ru-RU"/>
        </w:rPr>
        <w:t>[4]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>Knnig</w:t>
      </w:r>
      <w:proofErr w:type="spell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>der</w:t>
      </w:r>
      <w:proofErr w:type="spell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>Romantik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Das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Leben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Dichters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Ludwig Tieck in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Briefen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Selbstzeugnissen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Berichten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Vorgestellt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von Klaus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Gtnzel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Berlin: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Verlag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der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Nation, 1981. S. 147.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 w:eastAsia="ru-RU"/>
        </w:rPr>
        <w:t>[5]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Бомонт</w:t>
      </w:r>
      <w:proofErr w:type="spell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Франсис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Рыцарь пламенеющего пестика. Комедия в пяти актах / Перевод П.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Мелковой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//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Бомонт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Флетчер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Пьесы. В 2 тт. Т. 1. М.-Л.: Искусство, 1965.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[6]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Карельский А. В.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Немецкий Орфей //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Карельский А. В.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Метаморфозы Орфея. Беседы по истории западной литературы.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3. М.: РГГУ, 2007. С. 217.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lastRenderedPageBreak/>
        <w:t>[7]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Федоров Ф. П.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Художественный мир немецкого романтизма. Структура и семантика. М.: МИК, 2004. С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 45-48.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 w:eastAsia="ru-RU"/>
        </w:rPr>
        <w:t>[8]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>Thalmann</w:t>
      </w:r>
      <w:proofErr w:type="spell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 xml:space="preserve"> Marianne.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Provokation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und Demonstration in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der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Komndie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der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deutschen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Romantik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Mit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Grafiken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zu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den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Literaturkomndien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von Tieck, Brentano, Schlegel,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Grabbe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zum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Amphitryon-Stoff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. Berlin: Erich Schmidt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Verlag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, 1974.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также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: </w:t>
      </w:r>
      <w:proofErr w:type="gram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>Beyer Hans Georg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Ludwig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Tiecks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Theatersatire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“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Der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gestiefelte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Kater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” und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ihre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Stellung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der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Literatur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-und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Theatergeschichte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Dissertation.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Mtnchen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, 1960;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>Pikulik</w:t>
      </w:r>
      <w:proofErr w:type="spell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>Lothar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Frttromantik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Epoche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Werke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Wirkung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Mtnchen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Verlag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C.H. Beck., 1992;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>Klett</w:t>
      </w:r>
      <w:proofErr w:type="spell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 xml:space="preserve"> Dwight A.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An Annotated Guide to Research.</w:t>
      </w:r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New York-London: Garland Publishing, INC, 1993.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val="en-US" w:eastAsia="ru-RU"/>
        </w:rPr>
        <w:t>[9]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Карельский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 xml:space="preserve">.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 xml:space="preserve">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Указ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соч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217.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[10]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Бахтин М. М.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Эстетика словесного творчества. М.: Искусство, 1986. С. 390.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[11]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Корман</w:t>
      </w:r>
      <w:proofErr w:type="spell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Б. О.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Избранные труды по теории и истории литературы /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Предисл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составл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В. И. Чулкова. Ижевск: </w:t>
      </w:r>
      <w:proofErr w:type="spell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Удм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ун-т, 1992. С. 174.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[12]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Жирмунский</w:t>
      </w:r>
      <w:proofErr w:type="spell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В. М. Комедия чистой радости // Из истории западноевропейской литературы. Л.: Наука, 1981.</w:t>
      </w:r>
    </w:p>
    <w:p w:rsidR="00F8018E" w:rsidRPr="00F8018E" w:rsidRDefault="00F8018E" w:rsidP="00F8018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vertAlign w:val="superscript"/>
          <w:lang w:eastAsia="ru-RU"/>
        </w:rPr>
        <w:t>[13]</w:t>
      </w:r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Карельский</w:t>
      </w:r>
      <w:proofErr w:type="gramEnd"/>
      <w:r w:rsidRPr="00F8018E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А. В. </w:t>
      </w:r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Комедия не окончена // Немецкая романтическая комедия / Сост., вступ. ст. А. В. Карельского. СПб</w:t>
      </w:r>
      <w:proofErr w:type="gramStart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Гиперион</w:t>
      </w:r>
      <w:proofErr w:type="spellEnd"/>
      <w:r w:rsidRPr="00F801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2004. C. 10.</w:t>
      </w:r>
    </w:p>
    <w:p w:rsidR="00DC6DDD" w:rsidRDefault="00094C99"/>
    <w:sectPr w:rsidR="00DC6DDD" w:rsidSect="005B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018E"/>
    <w:rsid w:val="00094C99"/>
    <w:rsid w:val="00225054"/>
    <w:rsid w:val="00274A51"/>
    <w:rsid w:val="003B384D"/>
    <w:rsid w:val="003F4E10"/>
    <w:rsid w:val="005B48B7"/>
    <w:rsid w:val="00C251D8"/>
    <w:rsid w:val="00C26427"/>
    <w:rsid w:val="00F8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18E"/>
    <w:rPr>
      <w:color w:val="005B59"/>
      <w:u w:val="single"/>
    </w:rPr>
  </w:style>
  <w:style w:type="paragraph" w:styleId="a4">
    <w:name w:val="Normal (Web)"/>
    <w:basedOn w:val="a"/>
    <w:uiPriority w:val="99"/>
    <w:semiHidden/>
    <w:unhideWhenUsed/>
    <w:rsid w:val="00F8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azines.russ.ru/voplit/2012/1/zu7-pr.html" TargetMode="External"/><Relationship Id="rId5" Type="http://schemas.openxmlformats.org/officeDocument/2006/relationships/hyperlink" Target="http://magazines.russ.ru/authors/z/zusman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Харитонова</cp:lastModifiedBy>
  <cp:revision>1</cp:revision>
  <dcterms:created xsi:type="dcterms:W3CDTF">2012-02-21T08:37:00Z</dcterms:created>
  <dcterms:modified xsi:type="dcterms:W3CDTF">2012-02-21T08:54:00Z</dcterms:modified>
</cp:coreProperties>
</file>