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0E" w:rsidRPr="00F57B46" w:rsidRDefault="004F660E" w:rsidP="004F660E">
      <w:pPr>
        <w:spacing w:after="0" w:line="240" w:lineRule="auto"/>
        <w:ind w:firstLine="567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4F660E">
        <w:rPr>
          <w:rFonts w:ascii="Times New Roman" w:hAnsi="Times New Roman" w:cs="Times New Roman"/>
          <w:sz w:val="24"/>
          <w:szCs w:val="24"/>
          <w:highlight w:val="green"/>
        </w:rPr>
        <w:t>УДК</w:t>
      </w:r>
      <w:r w:rsidRPr="00F57B46">
        <w:rPr>
          <w:rFonts w:ascii="Times New Roman" w:hAnsi="Times New Roman" w:cs="Times New Roman"/>
          <w:sz w:val="24"/>
          <w:szCs w:val="24"/>
        </w:rPr>
        <w:t xml:space="preserve"> </w:t>
      </w:r>
      <w:r w:rsidRPr="00F57B46">
        <w:rPr>
          <w:rFonts w:ascii="Times New Roman" w:hAnsi="Times New Roman" w:cs="Times New Roman"/>
          <w:sz w:val="24"/>
          <w:szCs w:val="24"/>
          <w:highlight w:val="cyan"/>
        </w:rPr>
        <w:t>(</w:t>
      </w:r>
      <w:r w:rsidR="004467C3">
        <w:rPr>
          <w:rFonts w:ascii="Times New Roman" w:hAnsi="Times New Roman" w:cs="Times New Roman"/>
          <w:sz w:val="24"/>
          <w:szCs w:val="24"/>
          <w:highlight w:val="cyan"/>
        </w:rPr>
        <w:t>330.322</w:t>
      </w:r>
      <w:r w:rsidRPr="00F57B46">
        <w:rPr>
          <w:rFonts w:ascii="Times New Roman" w:hAnsi="Times New Roman" w:cs="Times New Roman"/>
          <w:sz w:val="24"/>
          <w:szCs w:val="24"/>
          <w:highlight w:val="cyan"/>
        </w:rPr>
        <w:t>)</w:t>
      </w:r>
    </w:p>
    <w:p w:rsidR="004F660E" w:rsidRPr="00F57B46" w:rsidRDefault="004F660E" w:rsidP="004F660E">
      <w:pPr>
        <w:spacing w:after="0" w:line="240" w:lineRule="auto"/>
        <w:ind w:firstLine="567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4F660E">
        <w:rPr>
          <w:rFonts w:ascii="Times New Roman" w:hAnsi="Times New Roman" w:cs="Times New Roman"/>
          <w:sz w:val="24"/>
          <w:szCs w:val="24"/>
          <w:lang w:val="en-US"/>
        </w:rPr>
        <w:t>DOI</w:t>
      </w:r>
    </w:p>
    <w:p w:rsidR="00D83564" w:rsidRPr="006F4192" w:rsidRDefault="001C1CB3" w:rsidP="00FA6457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4192">
        <w:rPr>
          <w:rFonts w:ascii="Times New Roman" w:hAnsi="Times New Roman" w:cs="Times New Roman"/>
          <w:b/>
          <w:sz w:val="24"/>
          <w:szCs w:val="24"/>
        </w:rPr>
        <w:t>Оптимизация инвестиций в корпоративный риск-менеджмент</w:t>
      </w:r>
    </w:p>
    <w:p w:rsidR="001C1CB3" w:rsidRPr="004F660E" w:rsidRDefault="001C1CB3" w:rsidP="00FA6457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41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Макарова Василиса Александровна</w:t>
      </w:r>
      <w:r w:rsidRPr="006F41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— к. э. н., доцент департамента финансов НИУ ВШЭ. Область научных интересов: корпоративный риск-менеджмент, корпоративное управление, первичное публичное предложение акций, внешнее финансирование развития бизнеса</w:t>
      </w:r>
      <w:r w:rsidR="004F660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F0F76" w:rsidRPr="004F660E" w:rsidRDefault="008F0F76" w:rsidP="00FA6457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Email</w:t>
      </w:r>
      <w:r w:rsidRPr="004F660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vmakarova</w:t>
      </w:r>
      <w:proofErr w:type="spellEnd"/>
      <w:r w:rsidRPr="004F660E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hse</w:t>
      </w:r>
      <w:proofErr w:type="spellEnd"/>
      <w:r w:rsidRPr="004F660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</w:p>
    <w:p w:rsidR="001C1CB3" w:rsidRPr="006F4192" w:rsidRDefault="001C1CB3" w:rsidP="00FA6457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4192" w:rsidRPr="006F4192" w:rsidRDefault="00016327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4192">
        <w:rPr>
          <w:rFonts w:ascii="Times New Roman" w:hAnsi="Times New Roman" w:cs="Times New Roman"/>
          <w:sz w:val="24"/>
          <w:szCs w:val="24"/>
        </w:rPr>
        <w:tab/>
      </w:r>
    </w:p>
    <w:p w:rsidR="00C23024" w:rsidRPr="004F660E" w:rsidRDefault="004F660E" w:rsidP="004F66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4192" w:rsidRPr="006F4192">
        <w:rPr>
          <w:rFonts w:ascii="Times New Roman" w:hAnsi="Times New Roman" w:cs="Times New Roman"/>
          <w:sz w:val="24"/>
          <w:szCs w:val="24"/>
        </w:rPr>
        <w:t xml:space="preserve">роблема оптимизации инвестиций в риск-менеджмент рассматривается через призму теории фирмы и вытекающих из </w:t>
      </w:r>
      <w:r>
        <w:rPr>
          <w:rFonts w:ascii="Times New Roman" w:hAnsi="Times New Roman" w:cs="Times New Roman"/>
          <w:sz w:val="24"/>
          <w:szCs w:val="24"/>
        </w:rPr>
        <w:t xml:space="preserve">теории фирмы проблем (проблема </w:t>
      </w:r>
      <w:r w:rsidR="00506D17">
        <w:rPr>
          <w:rFonts w:ascii="Times New Roman" w:hAnsi="Times New Roman" w:cs="Times New Roman"/>
          <w:sz w:val="24"/>
          <w:szCs w:val="24"/>
        </w:rPr>
        <w:t>«</w:t>
      </w:r>
      <w:r w:rsidR="006F4192" w:rsidRPr="006F4192">
        <w:rPr>
          <w:rFonts w:ascii="Times New Roman" w:hAnsi="Times New Roman" w:cs="Times New Roman"/>
          <w:sz w:val="24"/>
          <w:szCs w:val="24"/>
        </w:rPr>
        <w:t>принципал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6F4192" w:rsidRPr="006F4192">
        <w:rPr>
          <w:rFonts w:ascii="Times New Roman" w:hAnsi="Times New Roman" w:cs="Times New Roman"/>
          <w:sz w:val="24"/>
          <w:szCs w:val="24"/>
        </w:rPr>
        <w:t>агента</w:t>
      </w:r>
      <w:r w:rsidR="00506D17">
        <w:rPr>
          <w:rFonts w:ascii="Times New Roman" w:hAnsi="Times New Roman" w:cs="Times New Roman"/>
          <w:sz w:val="24"/>
          <w:szCs w:val="24"/>
        </w:rPr>
        <w:t>»</w:t>
      </w:r>
      <w:r w:rsidR="006F4192" w:rsidRPr="006F4192">
        <w:rPr>
          <w:rFonts w:ascii="Times New Roman" w:hAnsi="Times New Roman" w:cs="Times New Roman"/>
          <w:sz w:val="24"/>
          <w:szCs w:val="24"/>
        </w:rPr>
        <w:t xml:space="preserve">, теория контрактов).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Исследование предпринято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7E3BB0" w:rsidRPr="006F4192">
        <w:rPr>
          <w:rFonts w:ascii="Times New Roman" w:hAnsi="Times New Roman" w:cs="Times New Roman"/>
          <w:sz w:val="24"/>
          <w:szCs w:val="24"/>
        </w:rPr>
        <w:t xml:space="preserve"> </w:t>
      </w:r>
      <w:r w:rsidRPr="004F660E">
        <w:rPr>
          <w:rFonts w:ascii="Times New Roman" w:hAnsi="Times New Roman" w:cs="Times New Roman"/>
          <w:sz w:val="24"/>
          <w:szCs w:val="24"/>
          <w:highlight w:val="green"/>
        </w:rPr>
        <w:t>теоретически</w:t>
      </w:r>
      <w:proofErr w:type="gramEnd"/>
      <w:r w:rsidR="006F4192" w:rsidRPr="004F660E"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F660E">
        <w:rPr>
          <w:rFonts w:ascii="Times New Roman" w:hAnsi="Times New Roman" w:cs="Times New Roman"/>
          <w:sz w:val="24"/>
          <w:szCs w:val="24"/>
          <w:highlight w:val="green"/>
        </w:rPr>
        <w:t>и эмпирически</w:t>
      </w:r>
      <w:r w:rsidR="006F4192" w:rsidRPr="006F4192">
        <w:rPr>
          <w:rFonts w:ascii="Times New Roman" w:hAnsi="Times New Roman" w:cs="Times New Roman"/>
          <w:sz w:val="24"/>
          <w:szCs w:val="24"/>
        </w:rPr>
        <w:t xml:space="preserve"> </w:t>
      </w:r>
      <w:r w:rsidR="004467C3">
        <w:rPr>
          <w:rFonts w:ascii="Times New Roman" w:hAnsi="Times New Roman" w:cs="Times New Roman"/>
          <w:sz w:val="24"/>
          <w:szCs w:val="24"/>
        </w:rPr>
        <w:t xml:space="preserve">обосновать </w:t>
      </w:r>
      <w:r w:rsidR="00F003FA">
        <w:rPr>
          <w:rFonts w:ascii="Times New Roman" w:hAnsi="Times New Roman" w:cs="Times New Roman"/>
          <w:sz w:val="24"/>
          <w:szCs w:val="24"/>
        </w:rPr>
        <w:t xml:space="preserve"> предложенный автором модель </w:t>
      </w:r>
      <w:r w:rsidR="006F4192" w:rsidRPr="006F4192">
        <w:rPr>
          <w:rFonts w:ascii="Times New Roman" w:hAnsi="Times New Roman" w:cs="Times New Roman"/>
          <w:sz w:val="24"/>
          <w:szCs w:val="24"/>
        </w:rPr>
        <w:t>оптимальных инвестиций в корпоративный риск-менеджмент.</w:t>
      </w:r>
      <w:r w:rsidR="007E3BB0" w:rsidRPr="006F4192">
        <w:rPr>
          <w:rFonts w:ascii="Times New Roman" w:hAnsi="Times New Roman" w:cs="Times New Roman"/>
          <w:sz w:val="24"/>
          <w:szCs w:val="24"/>
        </w:rPr>
        <w:t xml:space="preserve"> </w:t>
      </w:r>
      <w:r w:rsidR="00476129" w:rsidRPr="006F4192">
        <w:rPr>
          <w:rFonts w:ascii="Times New Roman" w:hAnsi="Times New Roman" w:cs="Times New Roman"/>
          <w:sz w:val="24"/>
          <w:szCs w:val="24"/>
        </w:rPr>
        <w:t xml:space="preserve">Объектом исследования являются компании металлургической отрасли РФ. Предмет исследования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476129" w:rsidRPr="006F4192">
        <w:rPr>
          <w:rFonts w:ascii="Times New Roman" w:hAnsi="Times New Roman" w:cs="Times New Roman"/>
          <w:sz w:val="24"/>
          <w:szCs w:val="24"/>
        </w:rPr>
        <w:t xml:space="preserve"> финансовые показатели и объем управленческих расходов </w:t>
      </w:r>
      <w:r w:rsidR="00476129" w:rsidRPr="004F660E">
        <w:rPr>
          <w:rFonts w:ascii="Times New Roman" w:hAnsi="Times New Roman" w:cs="Times New Roman"/>
          <w:sz w:val="24"/>
          <w:szCs w:val="24"/>
        </w:rPr>
        <w:t xml:space="preserve">компаний. </w:t>
      </w:r>
    </w:p>
    <w:p w:rsidR="00753F50" w:rsidRPr="006F4192" w:rsidRDefault="004F660E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543" w:rsidRPr="004F660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еоретическую</w:t>
      </w:r>
      <w:r w:rsidR="00753F50" w:rsidRPr="006F4192">
        <w:rPr>
          <w:rFonts w:ascii="Times New Roman" w:hAnsi="Times New Roman" w:cs="Times New Roman"/>
          <w:sz w:val="24"/>
          <w:szCs w:val="24"/>
        </w:rPr>
        <w:t xml:space="preserve"> значимость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обеспечивает  </w:t>
      </w:r>
      <w:r w:rsidR="007269B3" w:rsidRPr="006F4192">
        <w:rPr>
          <w:rFonts w:ascii="Times New Roman" w:hAnsi="Times New Roman" w:cs="Times New Roman"/>
          <w:sz w:val="24"/>
          <w:szCs w:val="24"/>
        </w:rPr>
        <w:t>возм</w:t>
      </w:r>
      <w:r>
        <w:rPr>
          <w:rFonts w:ascii="Times New Roman" w:hAnsi="Times New Roman" w:cs="Times New Roman"/>
          <w:sz w:val="24"/>
          <w:szCs w:val="24"/>
        </w:rPr>
        <w:t>ожность</w:t>
      </w:r>
      <w:proofErr w:type="gramEnd"/>
      <w:r w:rsidR="006B2C20" w:rsidRPr="006F4192">
        <w:rPr>
          <w:rFonts w:ascii="Times New Roman" w:hAnsi="Times New Roman" w:cs="Times New Roman"/>
          <w:sz w:val="24"/>
          <w:szCs w:val="24"/>
        </w:rPr>
        <w:t xml:space="preserve"> оценить инвестиции в корпоративный риск-</w:t>
      </w:r>
      <w:r w:rsidR="007A0F60" w:rsidRPr="006F4192">
        <w:rPr>
          <w:rFonts w:ascii="Times New Roman" w:hAnsi="Times New Roman" w:cs="Times New Roman"/>
          <w:sz w:val="24"/>
          <w:szCs w:val="24"/>
        </w:rPr>
        <w:t>менеджмент на</w:t>
      </w:r>
      <w:r w:rsidR="007269B3" w:rsidRPr="006F4192">
        <w:rPr>
          <w:rFonts w:ascii="Times New Roman" w:hAnsi="Times New Roman" w:cs="Times New Roman"/>
          <w:sz w:val="24"/>
          <w:szCs w:val="24"/>
        </w:rPr>
        <w:t xml:space="preserve"> основе данных финансовой </w:t>
      </w:r>
      <w:r w:rsidR="007A0F60" w:rsidRPr="006F4192">
        <w:rPr>
          <w:rFonts w:ascii="Times New Roman" w:hAnsi="Times New Roman" w:cs="Times New Roman"/>
          <w:sz w:val="24"/>
          <w:szCs w:val="24"/>
        </w:rPr>
        <w:t>отчетности компании</w:t>
      </w:r>
      <w:r w:rsidR="006F4192">
        <w:rPr>
          <w:rFonts w:ascii="Times New Roman" w:hAnsi="Times New Roman" w:cs="Times New Roman"/>
          <w:sz w:val="24"/>
          <w:szCs w:val="24"/>
        </w:rPr>
        <w:t>, а п</w:t>
      </w:r>
      <w:r>
        <w:rPr>
          <w:rFonts w:ascii="Times New Roman" w:hAnsi="Times New Roman" w:cs="Times New Roman"/>
          <w:sz w:val="24"/>
          <w:szCs w:val="24"/>
        </w:rPr>
        <w:t>рактическую</w:t>
      </w:r>
      <w:r w:rsidR="00C36266" w:rsidRPr="006F4192">
        <w:rPr>
          <w:rFonts w:ascii="Times New Roman" w:hAnsi="Times New Roman" w:cs="Times New Roman"/>
          <w:sz w:val="24"/>
          <w:szCs w:val="24"/>
        </w:rPr>
        <w:t xml:space="preserve"> значимость </w:t>
      </w:r>
      <w:r>
        <w:rPr>
          <w:rFonts w:ascii="Times New Roman" w:hAnsi="Times New Roman" w:cs="Times New Roman"/>
          <w:sz w:val="24"/>
          <w:szCs w:val="24"/>
        </w:rPr>
        <w:t>— возможность</w:t>
      </w:r>
      <w:r w:rsidR="00C36266" w:rsidRPr="006F4192">
        <w:rPr>
          <w:rFonts w:ascii="Times New Roman" w:hAnsi="Times New Roman" w:cs="Times New Roman"/>
          <w:sz w:val="24"/>
          <w:szCs w:val="24"/>
        </w:rPr>
        <w:t xml:space="preserve"> </w:t>
      </w:r>
      <w:r w:rsidR="007A0F60" w:rsidRPr="006F4192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ть полученные</w:t>
      </w:r>
      <w:r w:rsidR="007269B3" w:rsidRPr="006F4192">
        <w:rPr>
          <w:rFonts w:ascii="Times New Roman" w:hAnsi="Times New Roman" w:cs="Times New Roman"/>
          <w:sz w:val="24"/>
          <w:szCs w:val="24"/>
        </w:rPr>
        <w:t xml:space="preserve"> резуль</w:t>
      </w:r>
      <w:r>
        <w:rPr>
          <w:rFonts w:ascii="Times New Roman" w:hAnsi="Times New Roman" w:cs="Times New Roman"/>
          <w:sz w:val="24"/>
          <w:szCs w:val="24"/>
        </w:rPr>
        <w:t>таты</w:t>
      </w:r>
      <w:r w:rsidR="00C36266" w:rsidRPr="006F4192">
        <w:rPr>
          <w:rFonts w:ascii="Times New Roman" w:hAnsi="Times New Roman" w:cs="Times New Roman"/>
          <w:sz w:val="24"/>
          <w:szCs w:val="24"/>
        </w:rPr>
        <w:t xml:space="preserve"> в реальных условиях корпоративного управления компании. </w:t>
      </w:r>
    </w:p>
    <w:p w:rsidR="00B75333" w:rsidRPr="00956E27" w:rsidRDefault="00A71725" w:rsidP="00FA6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956E27">
        <w:rPr>
          <w:rFonts w:ascii="Times New Roman" w:hAnsi="Times New Roman" w:cs="Times New Roman"/>
          <w:sz w:val="24"/>
          <w:szCs w:val="24"/>
        </w:rPr>
        <w:t>корпоративный риск-менеджмент, инвестиции, агентская теория, управленческие расходы</w:t>
      </w:r>
      <w:r w:rsidR="004F660E">
        <w:rPr>
          <w:rFonts w:ascii="Times New Roman" w:hAnsi="Times New Roman" w:cs="Times New Roman"/>
          <w:sz w:val="24"/>
          <w:szCs w:val="24"/>
        </w:rPr>
        <w:t>.</w:t>
      </w:r>
    </w:p>
    <w:p w:rsidR="001E51F9" w:rsidRDefault="001E51F9" w:rsidP="00FA645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660E">
        <w:rPr>
          <w:rFonts w:ascii="Times New Roman" w:hAnsi="Times New Roman" w:cs="Times New Roman"/>
          <w:b/>
          <w:sz w:val="24"/>
          <w:szCs w:val="24"/>
          <w:lang w:val="en-US"/>
        </w:rPr>
        <w:t>Optimization of investments in corporate risk management</w:t>
      </w:r>
    </w:p>
    <w:p w:rsidR="004F660E" w:rsidRDefault="001E51F9" w:rsidP="00FA64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Makarova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Vasilisa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E51F9" w:rsidRPr="00F57B46" w:rsidRDefault="001E51F9" w:rsidP="00FA645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51F9">
        <w:rPr>
          <w:rFonts w:ascii="Times New Roman" w:hAnsi="Times New Roman" w:cs="Times New Roman"/>
          <w:sz w:val="24"/>
          <w:szCs w:val="24"/>
          <w:lang w:val="en-US"/>
        </w:rPr>
        <w:t>P.h.D</w:t>
      </w:r>
      <w:proofErr w:type="spellEnd"/>
      <w:r w:rsidRPr="001E51F9">
        <w:rPr>
          <w:rFonts w:ascii="Times New Roman" w:hAnsi="Times New Roman" w:cs="Times New Roman"/>
          <w:sz w:val="24"/>
          <w:szCs w:val="24"/>
          <w:lang w:val="en-US"/>
        </w:rPr>
        <w:t>, Associate Professor of department of finance, National Research University Higher School of Economics</w:t>
      </w:r>
      <w:r w:rsidR="004F660E" w:rsidRPr="004F66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660E" w:rsidRPr="004F660E" w:rsidRDefault="004F660E" w:rsidP="004F660E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0045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4F660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  <w:r w:rsidRPr="000045E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vmakarova</w:t>
      </w:r>
      <w:r w:rsidRPr="004F660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hse</w:t>
      </w:r>
      <w:r w:rsidRPr="004F660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</w:p>
    <w:p w:rsidR="004F660E" w:rsidRPr="004F660E" w:rsidRDefault="004F660E" w:rsidP="00FA645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51F9" w:rsidRPr="004F660E" w:rsidRDefault="001E51F9" w:rsidP="00FA6457">
      <w:pPr>
        <w:spacing w:line="240" w:lineRule="auto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r w:rsidRPr="004F660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In this article, the problem of optimizing investments in risk management is considered through the theory of the firm and the problems arising from this theory (the problem of the “principal-agent”, the theory of contracts).</w:t>
      </w:r>
    </w:p>
    <w:p w:rsidR="004467C3" w:rsidRDefault="001E51F9" w:rsidP="00FA6457">
      <w:pPr>
        <w:spacing w:line="240" w:lineRule="auto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  <w:r w:rsidRPr="004F660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The purpose of this study is the theoretical and empirical evidence of the optimal investment </w:t>
      </w:r>
      <w:r w:rsidR="00F003FA">
        <w:rPr>
          <w:rFonts w:ascii="Times New Roman" w:hAnsi="Times New Roman" w:cs="Times New Roman"/>
          <w:sz w:val="24"/>
          <w:szCs w:val="24"/>
          <w:highlight w:val="green"/>
          <w:lang w:val="en-US"/>
        </w:rPr>
        <w:t>model</w:t>
      </w:r>
      <w:r w:rsidRPr="004F660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proposed by the author for corporate risk management. The object of the research is the companies of the metal and mining industry of the Russian Federation. The subject of research </w:t>
      </w:r>
      <w:proofErr w:type="gramStart"/>
      <w:r w:rsidRPr="004F660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are</w:t>
      </w:r>
      <w:proofErr w:type="gramEnd"/>
      <w:r w:rsidRPr="004F660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 the financial performance and the amount of management expenses of companies. </w:t>
      </w:r>
    </w:p>
    <w:p w:rsidR="00B75333" w:rsidRPr="00F003FA" w:rsidRDefault="00B75333" w:rsidP="00FA645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660E">
        <w:rPr>
          <w:rFonts w:ascii="Times New Roman" w:hAnsi="Times New Roman" w:cs="Times New Roman"/>
          <w:sz w:val="24"/>
          <w:szCs w:val="24"/>
          <w:highlight w:val="green"/>
          <w:lang w:val="en-US"/>
        </w:rPr>
        <w:t xml:space="preserve">The theoretical significance of the study is in the ability of indirect evaluating investments in corporate risk management based on the company's financial </w:t>
      </w:r>
      <w:proofErr w:type="gramStart"/>
      <w:r w:rsidRPr="004F660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statements..</w:t>
      </w:r>
      <w:proofErr w:type="gramEnd"/>
      <w:r w:rsidRPr="004F660E">
        <w:rPr>
          <w:highlight w:val="green"/>
          <w:lang w:val="en-US"/>
        </w:rPr>
        <w:t xml:space="preserve"> </w:t>
      </w:r>
      <w:r w:rsidRPr="004F660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Practical significance is the ability to use the results obtained in the real conditions of corporate governance of the company.</w:t>
      </w:r>
      <w:r w:rsidRPr="004F660E">
        <w:rPr>
          <w:highlight w:val="green"/>
          <w:lang w:val="en-US"/>
        </w:rPr>
        <w:t xml:space="preserve"> </w:t>
      </w:r>
      <w:r w:rsidRPr="004F660E">
        <w:rPr>
          <w:rFonts w:ascii="Times New Roman" w:hAnsi="Times New Roman" w:cs="Times New Roman"/>
          <w:sz w:val="24"/>
          <w:szCs w:val="24"/>
          <w:highlight w:val="green"/>
          <w:lang w:val="en-US"/>
        </w:rPr>
        <w:t>The practical significance of the study is the ability to determine the appropriate amount of investment in risk management.</w:t>
      </w:r>
      <w:r w:rsidR="004F660E" w:rsidRPr="004F6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03FA" w:rsidRPr="00F003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452FF" w:rsidRPr="00F57B46" w:rsidRDefault="00B75333" w:rsidP="00B850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0029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B75333">
        <w:rPr>
          <w:rFonts w:ascii="Times New Roman" w:hAnsi="Times New Roman" w:cs="Times New Roman"/>
          <w:sz w:val="24"/>
          <w:szCs w:val="24"/>
          <w:lang w:val="en-US"/>
        </w:rPr>
        <w:t xml:space="preserve"> corporate risk management, investments, agent theory, </w:t>
      </w:r>
      <w:r w:rsidR="00DB0029">
        <w:rPr>
          <w:rFonts w:ascii="Times New Roman" w:hAnsi="Times New Roman" w:cs="Times New Roman"/>
          <w:sz w:val="24"/>
          <w:szCs w:val="24"/>
          <w:lang w:val="en-US"/>
        </w:rPr>
        <w:t>administrative costs</w:t>
      </w:r>
      <w:r w:rsidR="00B8501C" w:rsidRPr="00B850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501C" w:rsidRPr="00F57B46" w:rsidRDefault="00B8501C" w:rsidP="00B8501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3E93" w:rsidRPr="006F4192" w:rsidRDefault="00286AD9" w:rsidP="00FA645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8923035"/>
      <w:r w:rsidRPr="006F4192">
        <w:rPr>
          <w:rFonts w:ascii="Times New Roman" w:hAnsi="Times New Roman" w:cs="Times New Roman"/>
          <w:b/>
          <w:sz w:val="24"/>
          <w:szCs w:val="24"/>
        </w:rPr>
        <w:t xml:space="preserve">Теоретическая модель оценки инвестиций в корпоративный </w:t>
      </w:r>
      <w:r w:rsidR="002A56ED" w:rsidRPr="006F4192">
        <w:rPr>
          <w:rFonts w:ascii="Times New Roman" w:hAnsi="Times New Roman" w:cs="Times New Roman"/>
          <w:b/>
          <w:sz w:val="24"/>
          <w:szCs w:val="24"/>
        </w:rPr>
        <w:t>риск-менеджмент</w:t>
      </w:r>
      <w:bookmarkEnd w:id="0"/>
    </w:p>
    <w:p w:rsidR="00F003FA" w:rsidRDefault="000045E5" w:rsidP="00F003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3E93" w:rsidRPr="006F4192">
        <w:rPr>
          <w:rFonts w:ascii="Times New Roman" w:hAnsi="Times New Roman" w:cs="Times New Roman"/>
          <w:sz w:val="24"/>
          <w:szCs w:val="24"/>
        </w:rPr>
        <w:t xml:space="preserve"> </w:t>
      </w:r>
      <w:r w:rsidR="004467C3">
        <w:rPr>
          <w:rFonts w:ascii="Times New Roman" w:hAnsi="Times New Roman" w:cs="Times New Roman"/>
          <w:sz w:val="24"/>
          <w:szCs w:val="24"/>
        </w:rPr>
        <w:t xml:space="preserve">Управление риск-менеджментом не подпадает под обязательные требования к раскрытию информации.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A3E93" w:rsidRPr="006F4192">
        <w:rPr>
          <w:rFonts w:ascii="Times New Roman" w:hAnsi="Times New Roman" w:cs="Times New Roman"/>
          <w:sz w:val="24"/>
          <w:szCs w:val="24"/>
        </w:rPr>
        <w:t xml:space="preserve">омпании </w:t>
      </w:r>
      <w:r w:rsidR="003A3E93" w:rsidRPr="0066228B">
        <w:rPr>
          <w:rFonts w:ascii="Times New Roman" w:hAnsi="Times New Roman" w:cs="Times New Roman"/>
          <w:sz w:val="24"/>
          <w:szCs w:val="24"/>
        </w:rPr>
        <w:t>не предоставляют отчетност</w:t>
      </w:r>
      <w:r w:rsidRPr="0066228B">
        <w:rPr>
          <w:rFonts w:ascii="Times New Roman" w:hAnsi="Times New Roman" w:cs="Times New Roman"/>
          <w:sz w:val="24"/>
          <w:szCs w:val="24"/>
        </w:rPr>
        <w:t>ь</w:t>
      </w:r>
      <w:r w:rsidR="003A3E93" w:rsidRPr="0066228B">
        <w:rPr>
          <w:rFonts w:ascii="Times New Roman" w:hAnsi="Times New Roman" w:cs="Times New Roman"/>
          <w:sz w:val="24"/>
          <w:szCs w:val="24"/>
        </w:rPr>
        <w:t xml:space="preserve"> по проведенным мероприятиям в сфере управления рисками, понесенным убыткам и полученной конкретно от этих мероп</w:t>
      </w:r>
      <w:r w:rsidR="002A56ED" w:rsidRPr="0066228B">
        <w:rPr>
          <w:rFonts w:ascii="Times New Roman" w:hAnsi="Times New Roman" w:cs="Times New Roman"/>
          <w:sz w:val="24"/>
          <w:szCs w:val="24"/>
        </w:rPr>
        <w:t xml:space="preserve">риятий прибыли. </w:t>
      </w:r>
      <w:r w:rsidRPr="0066228B">
        <w:rPr>
          <w:rFonts w:ascii="Times New Roman" w:hAnsi="Times New Roman" w:cs="Times New Roman"/>
          <w:sz w:val="24"/>
          <w:szCs w:val="24"/>
        </w:rPr>
        <w:t xml:space="preserve"> Оценка инвестиций в риск-менеджмент является непростой задачей. </w:t>
      </w:r>
      <w:r w:rsidR="004467C3" w:rsidRPr="0066228B">
        <w:rPr>
          <w:rFonts w:ascii="Times New Roman" w:hAnsi="Times New Roman" w:cs="Times New Roman"/>
          <w:sz w:val="24"/>
          <w:szCs w:val="24"/>
        </w:rPr>
        <w:t>Инвестиционные з</w:t>
      </w:r>
      <w:r w:rsidR="002A56ED" w:rsidRPr="0066228B">
        <w:rPr>
          <w:rFonts w:ascii="Times New Roman" w:hAnsi="Times New Roman" w:cs="Times New Roman"/>
          <w:sz w:val="24"/>
          <w:szCs w:val="24"/>
        </w:rPr>
        <w:t>атраты</w:t>
      </w:r>
      <w:r w:rsidRPr="0066228B">
        <w:rPr>
          <w:rFonts w:ascii="Times New Roman" w:hAnsi="Times New Roman" w:cs="Times New Roman"/>
          <w:sz w:val="24"/>
          <w:szCs w:val="24"/>
        </w:rPr>
        <w:t xml:space="preserve"> </w:t>
      </w:r>
      <w:r w:rsidR="002A56ED" w:rsidRPr="0066228B">
        <w:rPr>
          <w:rFonts w:ascii="Times New Roman" w:hAnsi="Times New Roman" w:cs="Times New Roman"/>
          <w:sz w:val="24"/>
          <w:szCs w:val="24"/>
        </w:rPr>
        <w:t>на риск-</w:t>
      </w:r>
      <w:r w:rsidR="003A3E93" w:rsidRPr="0066228B">
        <w:rPr>
          <w:rFonts w:ascii="Times New Roman" w:hAnsi="Times New Roman" w:cs="Times New Roman"/>
          <w:sz w:val="24"/>
          <w:szCs w:val="24"/>
        </w:rPr>
        <w:t xml:space="preserve">менеджмент включают в себя не только зарплаты </w:t>
      </w:r>
      <w:r w:rsidR="00E575EE" w:rsidRPr="0066228B">
        <w:rPr>
          <w:rFonts w:ascii="Times New Roman" w:hAnsi="Times New Roman" w:cs="Times New Roman"/>
          <w:sz w:val="24"/>
          <w:szCs w:val="24"/>
        </w:rPr>
        <w:t>риск-менеджеров</w:t>
      </w:r>
      <w:r w:rsidR="003A3E93" w:rsidRPr="0066228B">
        <w:rPr>
          <w:rFonts w:ascii="Times New Roman" w:hAnsi="Times New Roman" w:cs="Times New Roman"/>
          <w:sz w:val="24"/>
          <w:szCs w:val="24"/>
        </w:rPr>
        <w:t xml:space="preserve">, </w:t>
      </w:r>
      <w:r w:rsidRPr="0066228B">
        <w:rPr>
          <w:rFonts w:ascii="Times New Roman" w:hAnsi="Times New Roman" w:cs="Times New Roman"/>
          <w:sz w:val="24"/>
          <w:szCs w:val="24"/>
        </w:rPr>
        <w:t>оплату обучения</w:t>
      </w:r>
      <w:r w:rsidR="002E01C1" w:rsidRPr="006F4192">
        <w:rPr>
          <w:rFonts w:ascii="Times New Roman" w:hAnsi="Times New Roman" w:cs="Times New Roman"/>
          <w:sz w:val="24"/>
          <w:szCs w:val="24"/>
        </w:rPr>
        <w:t xml:space="preserve">, но </w:t>
      </w:r>
      <w:r w:rsidR="003A3E93" w:rsidRPr="006F4192">
        <w:rPr>
          <w:rFonts w:ascii="Times New Roman" w:hAnsi="Times New Roman" w:cs="Times New Roman"/>
          <w:sz w:val="24"/>
          <w:szCs w:val="24"/>
        </w:rPr>
        <w:t xml:space="preserve">и траты на превентивные меры управления рисками </w:t>
      </w:r>
      <w:r>
        <w:rPr>
          <w:rFonts w:ascii="Times New Roman" w:hAnsi="Times New Roman" w:cs="Times New Roman"/>
          <w:sz w:val="24"/>
          <w:szCs w:val="24"/>
        </w:rPr>
        <w:t xml:space="preserve">в   </w:t>
      </w:r>
      <w:r w:rsidR="003A3E93" w:rsidRPr="006F4192">
        <w:rPr>
          <w:rFonts w:ascii="Times New Roman" w:hAnsi="Times New Roman" w:cs="Times New Roman"/>
          <w:sz w:val="24"/>
          <w:szCs w:val="24"/>
        </w:rPr>
        <w:t xml:space="preserve"> каждой возможной рисковой ситуации,</w:t>
      </w:r>
      <w:r w:rsidRPr="000045E5">
        <w:rPr>
          <w:rFonts w:ascii="Times New Roman" w:hAnsi="Times New Roman" w:cs="Times New Roman"/>
          <w:i/>
          <w:sz w:val="24"/>
          <w:szCs w:val="24"/>
          <w:highlight w:val="cyan"/>
        </w:rPr>
        <w:t>)</w:t>
      </w:r>
      <w:r w:rsidR="00E259DB" w:rsidRPr="006F4192">
        <w:rPr>
          <w:rFonts w:ascii="Times New Roman" w:hAnsi="Times New Roman" w:cs="Times New Roman"/>
          <w:sz w:val="24"/>
          <w:szCs w:val="24"/>
        </w:rPr>
        <w:t>, а так</w:t>
      </w:r>
      <w:r w:rsidR="003A3E93" w:rsidRPr="006F4192">
        <w:rPr>
          <w:rFonts w:ascii="Times New Roman" w:hAnsi="Times New Roman" w:cs="Times New Roman"/>
          <w:sz w:val="24"/>
          <w:szCs w:val="24"/>
        </w:rPr>
        <w:t xml:space="preserve">же фактический убыток при реализации риска. Более того,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3A3E93" w:rsidRPr="006F4192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3E93" w:rsidRPr="006F4192">
        <w:rPr>
          <w:rFonts w:ascii="Times New Roman" w:hAnsi="Times New Roman" w:cs="Times New Roman"/>
          <w:sz w:val="24"/>
          <w:szCs w:val="24"/>
        </w:rPr>
        <w:t xml:space="preserve"> риск-менеджмента </w:t>
      </w:r>
      <w:r w:rsidRPr="006F4192">
        <w:rPr>
          <w:rFonts w:ascii="Times New Roman" w:hAnsi="Times New Roman" w:cs="Times New Roman"/>
          <w:sz w:val="24"/>
          <w:szCs w:val="24"/>
        </w:rPr>
        <w:t>глубоко интегрирован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75EE">
        <w:rPr>
          <w:rFonts w:ascii="Times New Roman" w:hAnsi="Times New Roman" w:cs="Times New Roman"/>
          <w:sz w:val="24"/>
          <w:szCs w:val="24"/>
        </w:rPr>
        <w:t xml:space="preserve"> в корпоративное управление</w:t>
      </w:r>
      <w:r>
        <w:rPr>
          <w:rFonts w:ascii="Times New Roman" w:hAnsi="Times New Roman" w:cs="Times New Roman"/>
          <w:sz w:val="24"/>
          <w:szCs w:val="24"/>
        </w:rPr>
        <w:t>, ее</w:t>
      </w:r>
      <w:r w:rsidRPr="006F4192">
        <w:rPr>
          <w:rFonts w:ascii="Times New Roman" w:hAnsi="Times New Roman" w:cs="Times New Roman"/>
          <w:sz w:val="24"/>
          <w:szCs w:val="24"/>
        </w:rPr>
        <w:t xml:space="preserve"> </w:t>
      </w:r>
      <w:r w:rsidR="003A3E93" w:rsidRPr="006F4192">
        <w:rPr>
          <w:rFonts w:ascii="Times New Roman" w:hAnsi="Times New Roman" w:cs="Times New Roman"/>
          <w:sz w:val="24"/>
          <w:szCs w:val="24"/>
        </w:rPr>
        <w:t xml:space="preserve">довольно сложно отследить на всех уровнях деятельности компании. Все основные расходы по управлению рисками обычно отражаются в статье баланса </w:t>
      </w:r>
      <w:r w:rsidR="00506D17">
        <w:rPr>
          <w:rFonts w:ascii="Times New Roman" w:hAnsi="Times New Roman" w:cs="Times New Roman"/>
          <w:sz w:val="24"/>
          <w:szCs w:val="24"/>
        </w:rPr>
        <w:t>«</w:t>
      </w:r>
      <w:r w:rsidR="003A3E93" w:rsidRPr="006F4192">
        <w:rPr>
          <w:rFonts w:ascii="Times New Roman" w:hAnsi="Times New Roman" w:cs="Times New Roman"/>
          <w:sz w:val="24"/>
          <w:szCs w:val="24"/>
        </w:rPr>
        <w:t>управленческие расходы</w:t>
      </w:r>
      <w:r w:rsidR="00506D17">
        <w:rPr>
          <w:rFonts w:ascii="Times New Roman" w:hAnsi="Times New Roman" w:cs="Times New Roman"/>
          <w:sz w:val="24"/>
          <w:szCs w:val="24"/>
        </w:rPr>
        <w:t>»</w:t>
      </w:r>
      <w:r w:rsidR="003A3E93" w:rsidRPr="006F41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именно по ней мы будем оценивать объем </w:t>
      </w:r>
      <w:r w:rsidR="003A3E93" w:rsidRPr="006F4192">
        <w:rPr>
          <w:rFonts w:ascii="Times New Roman" w:hAnsi="Times New Roman" w:cs="Times New Roman"/>
          <w:sz w:val="24"/>
          <w:szCs w:val="24"/>
        </w:rPr>
        <w:t>инвестиций в корпоративный риск-менеджмент. К управленческим расходам относятся административные расходы,</w:t>
      </w:r>
      <w:r w:rsidR="0066228B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="003A3E93" w:rsidRPr="006F41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E93" w:rsidRPr="000045E5">
        <w:rPr>
          <w:rFonts w:ascii="Times New Roman" w:hAnsi="Times New Roman" w:cs="Times New Roman"/>
          <w:sz w:val="24"/>
          <w:szCs w:val="24"/>
          <w:highlight w:val="green"/>
        </w:rPr>
        <w:t>выплаты</w:t>
      </w:r>
      <w:r w:rsidR="003A3E93" w:rsidRPr="006F4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5EE" w:rsidRPr="00E575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A3E93" w:rsidRPr="006F4192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F003FA">
        <w:rPr>
          <w:rFonts w:ascii="Times New Roman" w:hAnsi="Times New Roman" w:cs="Times New Roman"/>
          <w:sz w:val="24"/>
          <w:szCs w:val="24"/>
        </w:rPr>
        <w:t>ание управленческого персонала</w:t>
      </w:r>
      <w:r w:rsidR="003A3E93" w:rsidRPr="006F4192">
        <w:rPr>
          <w:rFonts w:ascii="Times New Roman" w:hAnsi="Times New Roman" w:cs="Times New Roman"/>
          <w:sz w:val="24"/>
          <w:szCs w:val="24"/>
        </w:rPr>
        <w:t>, амортизация средств управленческого и общехозяйственного назначения, аренда помещений, расходы на информационные, аудиторские и консультационные услуги и др.</w:t>
      </w:r>
      <w:r w:rsidR="00F003FA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proofErr w:type="spellStart"/>
      <w:r w:rsidR="00F003FA">
        <w:rPr>
          <w:rFonts w:ascii="Times New Roman" w:hAnsi="Times New Roman" w:cs="Times New Roman"/>
          <w:sz w:val="24"/>
          <w:szCs w:val="24"/>
        </w:rPr>
        <w:t>менеджериальной</w:t>
      </w:r>
      <w:proofErr w:type="spellEnd"/>
      <w:r w:rsidR="00F003FA">
        <w:rPr>
          <w:rFonts w:ascii="Times New Roman" w:hAnsi="Times New Roman" w:cs="Times New Roman"/>
          <w:sz w:val="24"/>
          <w:szCs w:val="24"/>
        </w:rPr>
        <w:t xml:space="preserve"> теорией максимизации </w:t>
      </w:r>
      <w:proofErr w:type="gramStart"/>
      <w:r w:rsidR="00F003FA">
        <w:rPr>
          <w:rFonts w:ascii="Times New Roman" w:hAnsi="Times New Roman" w:cs="Times New Roman"/>
          <w:sz w:val="24"/>
          <w:szCs w:val="24"/>
        </w:rPr>
        <w:t>прибыли,  эффект</w:t>
      </w:r>
      <w:proofErr w:type="gramEnd"/>
      <w:r w:rsidR="00F003FA">
        <w:rPr>
          <w:rFonts w:ascii="Times New Roman" w:hAnsi="Times New Roman" w:cs="Times New Roman"/>
          <w:sz w:val="24"/>
          <w:szCs w:val="24"/>
        </w:rPr>
        <w:t xml:space="preserve"> от увеличения прямых затрат на управленческий персонал равнозначен бонусам, получаемым ими от максимизации прибыли, однако менеджеры предпочитают максимизировать управленческие расходы. В связи с </w:t>
      </w:r>
      <w:proofErr w:type="gramStart"/>
      <w:r w:rsidR="00F003FA">
        <w:rPr>
          <w:rFonts w:ascii="Times New Roman" w:hAnsi="Times New Roman" w:cs="Times New Roman"/>
          <w:sz w:val="24"/>
          <w:szCs w:val="24"/>
        </w:rPr>
        <w:t>этим  можно</w:t>
      </w:r>
      <w:proofErr w:type="gramEnd"/>
      <w:r w:rsidR="00F003FA">
        <w:rPr>
          <w:rFonts w:ascii="Times New Roman" w:hAnsi="Times New Roman" w:cs="Times New Roman"/>
          <w:sz w:val="24"/>
          <w:szCs w:val="24"/>
        </w:rPr>
        <w:t xml:space="preserve"> считать, что управленческие расходы напрямую отображают усилия менеджеров.</w:t>
      </w:r>
    </w:p>
    <w:p w:rsidR="003A3E93" w:rsidRPr="006F4192" w:rsidRDefault="008557BB" w:rsidP="00F003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Ц. </w:t>
      </w:r>
      <w:proofErr w:type="spellStart"/>
      <w:r w:rsidR="00BE3AFB" w:rsidRPr="006F4192">
        <w:rPr>
          <w:rFonts w:ascii="Times New Roman" w:hAnsi="Times New Roman" w:cs="Times New Roman"/>
          <w:sz w:val="24"/>
          <w:szCs w:val="24"/>
          <w:lang w:eastAsia="ja-JP"/>
        </w:rPr>
        <w:t>Чен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и соавторы</w:t>
      </w:r>
      <w:r w:rsidR="00BE3AFB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557BB">
        <w:rPr>
          <w:rFonts w:ascii="Times New Roman" w:hAnsi="Times New Roman" w:cs="Times New Roman"/>
          <w:sz w:val="24"/>
          <w:szCs w:val="24"/>
          <w:highlight w:val="cyan"/>
          <w:lang w:eastAsia="ja-JP"/>
        </w:rPr>
        <w:t>рассматривали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>зависимост</w:t>
      </w:r>
      <w:r w:rsidRPr="008557BB">
        <w:rPr>
          <w:rFonts w:ascii="Times New Roman" w:hAnsi="Times New Roman" w:cs="Times New Roman"/>
          <w:sz w:val="24"/>
          <w:szCs w:val="24"/>
          <w:highlight w:val="cyan"/>
          <w:lang w:eastAsia="ja-JP"/>
        </w:rPr>
        <w:t>ь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между агентскими издержками и размером управленческих расходов</w:t>
      </w:r>
      <w:r w:rsidR="00B94FE5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[</w:t>
      </w:r>
      <w:r w:rsidR="00B94FE5" w:rsidRPr="008557BB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  <w:lang w:val="en-US"/>
        </w:rPr>
        <w:t>Chen</w:t>
      </w:r>
      <w:r w:rsidR="00B94FE5" w:rsidRPr="008557BB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</w:rPr>
        <w:t xml:space="preserve"> </w:t>
      </w:r>
      <w:r w:rsidR="00B94FE5" w:rsidRPr="008557BB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  <w:lang w:val="en-US"/>
        </w:rPr>
        <w:t>C</w:t>
      </w:r>
      <w:r w:rsidR="00B94FE5" w:rsidRPr="008557BB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</w:rPr>
        <w:t xml:space="preserve">. </w:t>
      </w:r>
      <w:r w:rsidR="00B94FE5" w:rsidRPr="008557BB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  <w:lang w:val="en-US"/>
        </w:rPr>
        <w:t>X</w:t>
      </w:r>
      <w:r w:rsidR="00B94FE5" w:rsidRPr="008557BB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</w:rPr>
        <w:t xml:space="preserve">., </w:t>
      </w:r>
      <w:r w:rsidR="00B94FE5" w:rsidRPr="008557BB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  <w:lang w:val="en-US"/>
        </w:rPr>
        <w:t>Lu</w:t>
      </w:r>
      <w:r w:rsidR="00B94FE5" w:rsidRPr="008557BB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</w:rPr>
        <w:t xml:space="preserve"> </w:t>
      </w:r>
      <w:r w:rsidR="00B94FE5" w:rsidRPr="008557BB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  <w:lang w:val="en-US"/>
        </w:rPr>
        <w:t>H</w:t>
      </w:r>
      <w:r w:rsidR="00B94FE5" w:rsidRPr="008557BB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</w:rPr>
        <w:t xml:space="preserve">., </w:t>
      </w:r>
      <w:proofErr w:type="spellStart"/>
      <w:r w:rsidR="00B94FE5" w:rsidRPr="008557BB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  <w:lang w:val="en-US"/>
        </w:rPr>
        <w:t>Sougiannis</w:t>
      </w:r>
      <w:proofErr w:type="spellEnd"/>
      <w:r w:rsidR="00B94FE5" w:rsidRPr="008557BB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</w:rPr>
        <w:t xml:space="preserve"> </w:t>
      </w:r>
      <w:r w:rsidR="00B94FE5" w:rsidRPr="008557BB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  <w:lang w:val="en-US"/>
        </w:rPr>
        <w:t>T</w:t>
      </w:r>
      <w:r w:rsidR="00B94FE5" w:rsidRPr="008557BB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</w:rPr>
        <w:t>.,2012</w:t>
      </w:r>
      <w:r w:rsidR="00B94FE5" w:rsidRPr="006F4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. Авторы предполагают, что наличие корпоративного управления снизит риски проблемы </w:t>
      </w:r>
      <w:r w:rsidR="00506D17">
        <w:rPr>
          <w:rFonts w:ascii="Times New Roman" w:hAnsi="Times New Roman" w:cs="Times New Roman"/>
          <w:sz w:val="24"/>
          <w:szCs w:val="24"/>
          <w:lang w:eastAsia="ja-JP"/>
        </w:rPr>
        <w:t>«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>принципал</w:t>
      </w:r>
      <w:r w:rsidR="00B8501C">
        <w:rPr>
          <w:rFonts w:ascii="Times New Roman" w:hAnsi="Times New Roman" w:cs="Times New Roman"/>
          <w:sz w:val="24"/>
          <w:szCs w:val="24"/>
          <w:lang w:eastAsia="ja-JP"/>
        </w:rPr>
        <w:t xml:space="preserve"> — агент</w:t>
      </w:r>
      <w:r w:rsidR="00506D17">
        <w:rPr>
          <w:rFonts w:ascii="Times New Roman" w:hAnsi="Times New Roman" w:cs="Times New Roman"/>
          <w:sz w:val="24"/>
          <w:szCs w:val="24"/>
          <w:lang w:eastAsia="ja-JP"/>
        </w:rPr>
        <w:t>»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. Исследование выявило значимую взаимосвязь </w:t>
      </w:r>
      <w:r w:rsidR="00B8501C">
        <w:rPr>
          <w:rFonts w:ascii="Times New Roman" w:hAnsi="Times New Roman" w:cs="Times New Roman"/>
          <w:sz w:val="24"/>
          <w:szCs w:val="24"/>
          <w:lang w:eastAsia="ja-JP"/>
        </w:rPr>
        <w:t>между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размером управленческих расходов, мотивацией менеджеров и системой воз</w:t>
      </w:r>
      <w:r w:rsidR="00B8501C">
        <w:rPr>
          <w:rFonts w:ascii="Times New Roman" w:hAnsi="Times New Roman" w:cs="Times New Roman"/>
          <w:sz w:val="24"/>
          <w:szCs w:val="24"/>
          <w:lang w:eastAsia="ja-JP"/>
        </w:rPr>
        <w:t>награждений</w:t>
      </w:r>
      <w:r w:rsidR="00B8501C" w:rsidRPr="00B8501C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. П</w:t>
      </w:r>
      <w:r w:rsidR="003A3E93" w:rsidRPr="00B8501C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оложительная свя</w:t>
      </w:r>
      <w:r w:rsidR="00E575EE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зь между данными факторами</w:t>
      </w:r>
      <w:r w:rsidR="006D2E84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 ярче</w:t>
      </w:r>
      <w:r w:rsidR="003A3E93" w:rsidRPr="00B8501C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 выражена</w:t>
      </w:r>
      <w:r w:rsidR="0066228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6228B">
        <w:rPr>
          <w:rFonts w:ascii="Times New Roman" w:hAnsi="Times New Roman" w:cs="Times New Roman"/>
          <w:sz w:val="24"/>
          <w:szCs w:val="24"/>
          <w:highlight w:val="cyan"/>
          <w:lang w:eastAsia="ja-JP"/>
        </w:rPr>
        <w:t xml:space="preserve">прежде всего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при слабом корпоративном управлении. </w:t>
      </w:r>
      <w:r w:rsidR="00B8501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6228B">
        <w:rPr>
          <w:rFonts w:ascii="Times New Roman" w:hAnsi="Times New Roman" w:cs="Times New Roman"/>
          <w:sz w:val="24"/>
          <w:szCs w:val="24"/>
          <w:lang w:eastAsia="ja-JP"/>
        </w:rPr>
        <w:t xml:space="preserve">Так, </w:t>
      </w:r>
      <w:r w:rsidR="00B8501C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Х. </w:t>
      </w:r>
      <w:proofErr w:type="spellStart"/>
      <w:r w:rsidR="00BE3AFB" w:rsidRPr="006F4192">
        <w:rPr>
          <w:rFonts w:ascii="Times New Roman" w:hAnsi="Times New Roman" w:cs="Times New Roman"/>
          <w:sz w:val="24"/>
          <w:szCs w:val="24"/>
          <w:lang w:eastAsia="ja-JP"/>
        </w:rPr>
        <w:t>Леланд</w:t>
      </w:r>
      <w:proofErr w:type="spellEnd"/>
      <w:r w:rsidR="00BE3AFB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рассматривает </w:t>
      </w:r>
      <w:r w:rsidR="00E575EE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взаимосвязь</w:t>
      </w:r>
      <w:r w:rsidR="00E575E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="00E575EE">
        <w:rPr>
          <w:rFonts w:ascii="Times New Roman" w:hAnsi="Times New Roman" w:cs="Times New Roman"/>
          <w:sz w:val="24"/>
          <w:szCs w:val="24"/>
          <w:lang w:eastAsia="ja-JP"/>
        </w:rPr>
        <w:t xml:space="preserve">между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E575EE">
        <w:rPr>
          <w:rFonts w:ascii="Times New Roman" w:hAnsi="Times New Roman" w:cs="Times New Roman"/>
          <w:sz w:val="24"/>
          <w:szCs w:val="24"/>
          <w:lang w:eastAsia="ja-JP"/>
        </w:rPr>
        <w:t>структурой</w:t>
      </w:r>
      <w:proofErr w:type="gramEnd"/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к</w:t>
      </w:r>
      <w:r w:rsidR="00B94FE5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апитала и </w:t>
      </w:r>
      <w:r w:rsidR="00E575EE">
        <w:rPr>
          <w:rFonts w:ascii="Times New Roman" w:hAnsi="Times New Roman" w:cs="Times New Roman"/>
          <w:sz w:val="24"/>
          <w:szCs w:val="24"/>
          <w:lang w:eastAsia="ja-JP"/>
        </w:rPr>
        <w:t>инвестиционным риском</w:t>
      </w:r>
      <w:r w:rsidR="00F003FA">
        <w:rPr>
          <w:rFonts w:ascii="Times New Roman" w:hAnsi="Times New Roman" w:cs="Times New Roman"/>
          <w:sz w:val="24"/>
          <w:szCs w:val="24"/>
          <w:lang w:eastAsia="ja-JP"/>
        </w:rPr>
        <w:t xml:space="preserve"> на примере хеджирования</w:t>
      </w:r>
      <w:r w:rsidR="00B94FE5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[</w:t>
      </w:r>
      <w:r w:rsidR="00B94FE5" w:rsidRPr="006F4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Leland</w:t>
      </w:r>
      <w:r w:rsidR="00B94FE5" w:rsidRPr="006F4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94FE5" w:rsidRPr="006F4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</w:t>
      </w:r>
      <w:r w:rsidR="00B94FE5" w:rsidRPr="006F4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B94FE5" w:rsidRPr="006F4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</w:t>
      </w:r>
      <w:r w:rsidR="00B94FE5" w:rsidRPr="006F4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.,1998].</w:t>
      </w:r>
      <w:r w:rsidR="00B850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</w:t>
      </w:r>
      <w:r w:rsidR="006D2E84">
        <w:rPr>
          <w:rFonts w:ascii="Times New Roman" w:hAnsi="Times New Roman" w:cs="Times New Roman"/>
          <w:sz w:val="24"/>
          <w:szCs w:val="24"/>
          <w:lang w:eastAsia="ja-JP"/>
        </w:rPr>
        <w:t>ыявленная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обратная зависимость между эффективностью хеджирования и управленческими расходами</w:t>
      </w:r>
      <w:r w:rsidR="00B8501C">
        <w:rPr>
          <w:rFonts w:ascii="Times New Roman" w:hAnsi="Times New Roman" w:cs="Times New Roman"/>
          <w:sz w:val="24"/>
          <w:szCs w:val="24"/>
          <w:lang w:eastAsia="ja-JP"/>
        </w:rPr>
        <w:t>, если не преду</w:t>
      </w:r>
      <w:r w:rsidR="00E575EE">
        <w:rPr>
          <w:rFonts w:ascii="Times New Roman" w:hAnsi="Times New Roman" w:cs="Times New Roman"/>
          <w:sz w:val="24"/>
          <w:szCs w:val="24"/>
          <w:lang w:eastAsia="ja-JP"/>
        </w:rPr>
        <w:t>с</w:t>
      </w:r>
      <w:r w:rsidR="00B8501C">
        <w:rPr>
          <w:rFonts w:ascii="Times New Roman" w:hAnsi="Times New Roman" w:cs="Times New Roman"/>
          <w:sz w:val="24"/>
          <w:szCs w:val="24"/>
          <w:lang w:eastAsia="ja-JP"/>
        </w:rPr>
        <w:t>мотрены большие рас</w:t>
      </w:r>
      <w:r w:rsidR="00F003FA">
        <w:rPr>
          <w:rFonts w:ascii="Times New Roman" w:hAnsi="Times New Roman" w:cs="Times New Roman"/>
          <w:sz w:val="24"/>
          <w:szCs w:val="24"/>
          <w:lang w:eastAsia="ja-JP"/>
        </w:rPr>
        <w:t>ходы на реализацию хеджирования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 w:rsidR="00B8501C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М. К. </w:t>
      </w:r>
      <w:proofErr w:type="spellStart"/>
      <w:proofErr w:type="gramStart"/>
      <w:r w:rsidR="00BE3AFB" w:rsidRPr="006F4192">
        <w:rPr>
          <w:rFonts w:ascii="Times New Roman" w:hAnsi="Times New Roman" w:cs="Times New Roman"/>
          <w:sz w:val="24"/>
          <w:szCs w:val="24"/>
          <w:lang w:eastAsia="ja-JP"/>
        </w:rPr>
        <w:t>Беркови</w:t>
      </w:r>
      <w:r w:rsidR="00CC3E69" w:rsidRPr="006F4192">
        <w:rPr>
          <w:rFonts w:ascii="Times New Roman" w:hAnsi="Times New Roman" w:cs="Times New Roman"/>
          <w:sz w:val="24"/>
          <w:szCs w:val="24"/>
          <w:lang w:eastAsia="ja-JP"/>
        </w:rPr>
        <w:t>ц</w:t>
      </w:r>
      <w:proofErr w:type="spellEnd"/>
      <w:r w:rsidR="00CC3E69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выявил</w:t>
      </w:r>
      <w:proofErr w:type="gramEnd"/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, что для </w:t>
      </w:r>
      <w:r w:rsidR="006D2E84">
        <w:rPr>
          <w:rFonts w:ascii="Times New Roman" w:hAnsi="Times New Roman" w:cs="Times New Roman"/>
          <w:sz w:val="24"/>
          <w:szCs w:val="24"/>
          <w:lang w:eastAsia="ja-JP"/>
        </w:rPr>
        <w:t>недостаточно мотивированных менеджеров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существует отрицательная связь между </w:t>
      </w:r>
      <w:r w:rsidR="006D2E84">
        <w:rPr>
          <w:rFonts w:ascii="Times New Roman" w:hAnsi="Times New Roman" w:cs="Times New Roman"/>
          <w:sz w:val="24"/>
          <w:szCs w:val="24"/>
          <w:lang w:eastAsia="ja-JP"/>
        </w:rPr>
        <w:t>управленческими расходами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и эффективностью</w:t>
      </w:r>
      <w:r w:rsidR="00B94FE5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B94FE5" w:rsidRPr="004F660E">
        <w:rPr>
          <w:rFonts w:ascii="Times New Roman" w:hAnsi="Times New Roman" w:cs="Times New Roman"/>
          <w:sz w:val="24"/>
          <w:szCs w:val="24"/>
          <w:lang w:eastAsia="ja-JP"/>
        </w:rPr>
        <w:t>[</w:t>
      </w:r>
      <w:r w:rsidR="00B94FE5" w:rsidRPr="006F4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Berkowitz</w:t>
      </w:r>
      <w:r w:rsidR="00B94FE5" w:rsidRPr="004F6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B94FE5" w:rsidRPr="006F41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Kotowitz</w:t>
      </w:r>
      <w:proofErr w:type="spellEnd"/>
      <w:r w:rsidR="00B94FE5" w:rsidRPr="004F6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4633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94FE5" w:rsidRPr="004F66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2002</w:t>
      </w:r>
      <w:r w:rsidR="00B94FE5" w:rsidRPr="004F660E">
        <w:rPr>
          <w:rFonts w:ascii="Times New Roman" w:hAnsi="Times New Roman" w:cs="Times New Roman"/>
          <w:sz w:val="24"/>
          <w:szCs w:val="24"/>
          <w:lang w:eastAsia="ja-JP"/>
        </w:rPr>
        <w:t>]</w:t>
      </w:r>
      <w:r w:rsidR="003A3E93" w:rsidRPr="004F660E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 w:rsidR="003A3E93" w:rsidRPr="004633F0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Плата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менеджерам была рассмотрена в контексте изменения </w:t>
      </w:r>
      <w:proofErr w:type="gramStart"/>
      <w:r w:rsidR="006D2E84">
        <w:rPr>
          <w:rFonts w:ascii="Times New Roman" w:hAnsi="Times New Roman" w:cs="Times New Roman"/>
          <w:sz w:val="24"/>
          <w:szCs w:val="24"/>
          <w:lang w:eastAsia="ja-JP"/>
        </w:rPr>
        <w:t xml:space="preserve">объема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управленческих</w:t>
      </w:r>
      <w:proofErr w:type="gramEnd"/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расходов. Проблема негативного отбора отрицательно сказывается на качестве риск-менеджмента</w:t>
      </w:r>
      <w:r w:rsidR="004633F0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и дополнительные управленческие расходы </w:t>
      </w:r>
      <w:r w:rsidR="003A3E93" w:rsidRPr="004633F0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могут улучшить </w:t>
      </w:r>
      <w:r w:rsidR="00CC3E69" w:rsidRPr="004633F0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ситуацию только в случае, если</w:t>
      </w:r>
      <w:r w:rsidR="003A3E93" w:rsidRPr="004633F0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 менеджер имеет мотивацию работать или является эффективным сотрудником изначально</w:t>
      </w:r>
      <w:r w:rsidR="004633F0" w:rsidRPr="004633F0">
        <w:rPr>
          <w:rFonts w:ascii="Times New Roman" w:hAnsi="Times New Roman" w:cs="Times New Roman"/>
          <w:sz w:val="24"/>
          <w:szCs w:val="24"/>
          <w:highlight w:val="cyan"/>
          <w:lang w:eastAsia="ja-JP"/>
        </w:rPr>
        <w:t>)</w:t>
      </w:r>
      <w:r w:rsidR="004633F0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4633F0">
        <w:rPr>
          <w:rFonts w:ascii="Times New Roman" w:hAnsi="Times New Roman" w:cs="Times New Roman"/>
          <w:sz w:val="24"/>
          <w:szCs w:val="24"/>
          <w:lang w:eastAsia="ja-JP"/>
        </w:rPr>
        <w:t xml:space="preserve">Итак,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управленческие расходы можно использовать как индикатор вложений в риск-менеджмент, однако стоит </w:t>
      </w:r>
      <w:r w:rsidR="004633F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D2E84">
        <w:rPr>
          <w:rFonts w:ascii="Times New Roman" w:hAnsi="Times New Roman" w:cs="Times New Roman"/>
          <w:sz w:val="24"/>
          <w:szCs w:val="24"/>
          <w:lang w:eastAsia="ja-JP"/>
        </w:rPr>
        <w:t xml:space="preserve">учитывать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>мотиваци</w:t>
      </w:r>
      <w:r w:rsidR="004633F0">
        <w:rPr>
          <w:rFonts w:ascii="Times New Roman" w:hAnsi="Times New Roman" w:cs="Times New Roman"/>
          <w:sz w:val="24"/>
          <w:szCs w:val="24"/>
          <w:lang w:eastAsia="ja-JP"/>
        </w:rPr>
        <w:t xml:space="preserve">ю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сотрудников и </w:t>
      </w:r>
      <w:r w:rsidR="006D2E84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асимметричность информации между высшим менеджментом и риск-менеджерами</w:t>
      </w:r>
      <w:r w:rsidR="00CC3E69" w:rsidRPr="006F4192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F003FA" w:rsidRDefault="004633F0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В соответствии с </w:t>
      </w:r>
      <w:r w:rsidRPr="004633F0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теорией фирмы</w:t>
      </w:r>
      <w:r w:rsidR="00F003FA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нанимая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агента для выполнения </w:t>
      </w:r>
      <w:r>
        <w:rPr>
          <w:rFonts w:ascii="Times New Roman" w:hAnsi="Times New Roman" w:cs="Times New Roman"/>
          <w:sz w:val="24"/>
          <w:szCs w:val="24"/>
          <w:lang w:eastAsia="ja-JP"/>
        </w:rPr>
        <w:t>конкретных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нужно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определить </w:t>
      </w: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 xml:space="preserve">оптимальные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  <w:lang w:eastAsia="ja-JP"/>
        </w:rPr>
        <w:t>ы</w:t>
      </w:r>
      <w:proofErr w:type="gramEnd"/>
      <w:r w:rsidR="003A3E93" w:rsidRPr="004633F0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, но в то же время создать инициативу для качественной работы сотрудника чтобы избежать ситуаций</w:t>
      </w:r>
      <w:r w:rsidR="0066228B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, связанных  с моральным </w:t>
      </w:r>
      <w:r w:rsidR="0066228B">
        <w:rPr>
          <w:rFonts w:ascii="Times New Roman" w:hAnsi="Times New Roman" w:cs="Times New Roman"/>
          <w:sz w:val="24"/>
          <w:szCs w:val="24"/>
          <w:lang w:eastAsia="ja-JP"/>
        </w:rPr>
        <w:t>риском</w:t>
      </w:r>
      <w:r w:rsidR="00F003FA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3A3E93" w:rsidRPr="006F4192" w:rsidRDefault="003A3E93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В таблице ниже представлены статьи и исследования, которые послужили основой для формулировки эмпирической модели, описанной </w:t>
      </w:r>
      <w:r w:rsidR="00B94FE5" w:rsidRPr="006F4192">
        <w:rPr>
          <w:rFonts w:ascii="Times New Roman" w:hAnsi="Times New Roman" w:cs="Times New Roman"/>
          <w:sz w:val="24"/>
          <w:szCs w:val="24"/>
          <w:lang w:eastAsia="ja-JP"/>
        </w:rPr>
        <w:t>далее.</w:t>
      </w:r>
    </w:p>
    <w:p w:rsidR="003A3E93" w:rsidRPr="006F4192" w:rsidRDefault="00B94FE5" w:rsidP="00FA645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ja-JP"/>
        </w:rPr>
      </w:pPr>
      <w:bookmarkStart w:id="1" w:name="_Toc8923036"/>
      <w:r w:rsidRPr="006F4192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r w:rsidR="003A3E93" w:rsidRPr="006F4192">
        <w:rPr>
          <w:rFonts w:ascii="Times New Roman" w:hAnsi="Times New Roman" w:cs="Times New Roman"/>
          <w:b/>
          <w:sz w:val="24"/>
          <w:szCs w:val="24"/>
          <w:lang w:eastAsia="ja-JP"/>
        </w:rPr>
        <w:t>Формулировка оптимизационного уравнения</w:t>
      </w:r>
      <w:bookmarkEnd w:id="1"/>
    </w:p>
    <w:p w:rsidR="003A3E93" w:rsidRPr="006F4192" w:rsidRDefault="004633F0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В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контексте данного исследования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>оптимальные инвестиции в риск-</w:t>
      </w:r>
      <w:r w:rsidR="00896377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менеджмент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>могут быть оценены по следующей формуле:</w:t>
      </w:r>
    </w:p>
    <w:p w:rsidR="004633F0" w:rsidRDefault="004467C3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green"/>
                <w:lang w:val="en-US" w:eastAsia="ja-JP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val="en-US" w:eastAsia="ja-JP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val="en-US" w:eastAsia="ja-JP"/>
              </w:rPr>
              <m:t>ERM</m:t>
            </m:r>
          </m:sub>
        </m:sSub>
        <m:r>
          <w:rPr>
            <w:rFonts w:ascii="Cambria Math" w:hAnsi="Cambria Math" w:cs="Times New Roman"/>
            <w:sz w:val="24"/>
            <w:szCs w:val="24"/>
            <w:highlight w:val="green"/>
            <w:lang w:eastAsia="ja-JP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green"/>
                <w:lang w:val="en-US" w:eastAsia="ja-JP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val="en-US" w:eastAsia="ja-JP"/>
              </w:rPr>
              <m:t>SGA</m:t>
            </m:r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eastAsia="ja-JP"/>
              </w:rPr>
              <m:t>/</m:t>
            </m:r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val="en-US" w:eastAsia="ja-JP"/>
              </w:rPr>
              <m:t>CE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val="en-US" w:eastAsia="ja-JP"/>
              </w:rPr>
              <m:t>S</m:t>
            </m:r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eastAsia="ja-JP"/>
              </w:rPr>
              <m:t>/</m:t>
            </m:r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val="en-US" w:eastAsia="ja-JP"/>
              </w:rPr>
              <m:t>CE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green"/>
            <w:lang w:eastAsia="ja-JP"/>
          </w:rPr>
          <m:t>*</m:t>
        </m:r>
        <m:r>
          <w:rPr>
            <w:rFonts w:ascii="Cambria Math" w:hAnsi="Cambria Math" w:cs="Times New Roman"/>
            <w:sz w:val="24"/>
            <w:szCs w:val="24"/>
            <w:highlight w:val="green"/>
            <w:lang w:val="en-US" w:eastAsia="ja-JP"/>
          </w:rPr>
          <m:t>varEVA</m:t>
        </m:r>
      </m:oMath>
      <w:r w:rsidR="004633F0" w:rsidRPr="004633F0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,</w:t>
      </w:r>
      <w:r w:rsidR="00A65543" w:rsidRPr="004633F0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 </w:t>
      </w:r>
    </w:p>
    <w:p w:rsidR="00046559" w:rsidRDefault="00046559" w:rsidP="002458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003FA" w:rsidRDefault="00F003FA" w:rsidP="002458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</w:p>
    <w:p w:rsidR="00046559" w:rsidRPr="006F4192" w:rsidRDefault="00046559" w:rsidP="000465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m:oMath>
        <m:r>
          <w:rPr>
            <w:rFonts w:ascii="Cambria Math" w:hAnsi="Cambria Math" w:cs="Times New Roman"/>
            <w:sz w:val="24"/>
            <w:szCs w:val="24"/>
            <w:lang w:eastAsia="ja-JP"/>
          </w:rPr>
          <w:lastRenderedPageBreak/>
          <m:t>CE=A-CL</m:t>
        </m:r>
      </m:oMath>
      <w:r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046559" w:rsidRPr="006F4192" w:rsidRDefault="00046559" w:rsidP="000465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046559" w:rsidRDefault="00046559" w:rsidP="002458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</w:p>
    <w:p w:rsidR="003A3E93" w:rsidRPr="006F4192" w:rsidRDefault="004633F0" w:rsidP="002458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г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>де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A06663" w:rsidRPr="006F4192">
        <w:rPr>
          <w:rFonts w:ascii="Times New Roman" w:hAnsi="Times New Roman" w:cs="Times New Roman"/>
          <w:i/>
          <w:sz w:val="24"/>
          <w:szCs w:val="24"/>
          <w:lang w:val="en-US" w:eastAsia="ja-JP"/>
        </w:rPr>
        <w:t>SGA</w:t>
      </w:r>
      <w:r w:rsidR="00245803">
        <w:rPr>
          <w:rFonts w:ascii="Times New Roman" w:hAnsi="Times New Roman" w:cs="Times New Roman"/>
          <w:sz w:val="24"/>
          <w:szCs w:val="24"/>
          <w:lang w:eastAsia="ja-JP"/>
        </w:rPr>
        <w:t xml:space="preserve"> —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>управленческие расходы;</w:t>
      </w:r>
      <w:r w:rsidR="0024580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A3E93" w:rsidRPr="006F4192">
        <w:rPr>
          <w:rFonts w:ascii="Times New Roman" w:hAnsi="Times New Roman" w:cs="Times New Roman"/>
          <w:i/>
          <w:sz w:val="24"/>
          <w:szCs w:val="24"/>
          <w:lang w:val="en-US" w:eastAsia="ja-JP"/>
        </w:rPr>
        <w:t>S</w:t>
      </w:r>
      <w:r w:rsidR="00245803">
        <w:rPr>
          <w:rFonts w:ascii="Times New Roman" w:hAnsi="Times New Roman" w:cs="Times New Roman"/>
          <w:sz w:val="24"/>
          <w:szCs w:val="24"/>
          <w:lang w:eastAsia="ja-JP"/>
        </w:rPr>
        <w:t xml:space="preserve"> —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>выручка;</w:t>
      </w:r>
      <w:r w:rsidR="0024580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A3E93" w:rsidRPr="006F4192">
        <w:rPr>
          <w:rFonts w:ascii="Times New Roman" w:hAnsi="Times New Roman" w:cs="Times New Roman"/>
          <w:i/>
          <w:sz w:val="24"/>
          <w:szCs w:val="24"/>
          <w:lang w:val="en-US" w:eastAsia="ja-JP"/>
        </w:rPr>
        <w:t>CE</w:t>
      </w:r>
      <w:r w:rsidR="00245803">
        <w:rPr>
          <w:rFonts w:ascii="Times New Roman" w:hAnsi="Times New Roman" w:cs="Times New Roman"/>
          <w:sz w:val="24"/>
          <w:szCs w:val="24"/>
          <w:lang w:eastAsia="ja-JP"/>
        </w:rPr>
        <w:t xml:space="preserve"> — </w:t>
      </w:r>
      <w:r w:rsidR="003A3E93" w:rsidRPr="00245803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вовлеченный</w:t>
      </w:r>
      <w:r w:rsidR="0024580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>капитал;</w:t>
      </w:r>
      <w:r w:rsidR="0024580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A3E93" w:rsidRPr="006F4192">
        <w:rPr>
          <w:rFonts w:ascii="Times New Roman" w:hAnsi="Times New Roman" w:cs="Times New Roman"/>
          <w:i/>
          <w:sz w:val="24"/>
          <w:szCs w:val="24"/>
          <w:lang w:val="en-US" w:eastAsia="ja-JP"/>
        </w:rPr>
        <w:t>EVA</w:t>
      </w:r>
      <w:r w:rsidR="00245803">
        <w:rPr>
          <w:rFonts w:ascii="Times New Roman" w:hAnsi="Times New Roman" w:cs="Times New Roman"/>
          <w:sz w:val="24"/>
          <w:szCs w:val="24"/>
          <w:lang w:eastAsia="ja-JP"/>
        </w:rPr>
        <w:t xml:space="preserve"> — </w:t>
      </w:r>
      <w:r w:rsidR="003A3E93" w:rsidRPr="00245803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экономическая</w:t>
      </w:r>
      <w:r w:rsidR="0024580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>добавленная стоимость</w:t>
      </w:r>
      <w:r w:rsidR="00046559">
        <w:rPr>
          <w:rFonts w:ascii="Times New Roman" w:hAnsi="Times New Roman" w:cs="Times New Roman"/>
          <w:sz w:val="24"/>
          <w:szCs w:val="24"/>
          <w:lang w:eastAsia="ja-JP"/>
        </w:rPr>
        <w:t>;</w:t>
      </w:r>
      <w:r w:rsidR="00046559" w:rsidRPr="00046559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046559" w:rsidRPr="006F4192">
        <w:rPr>
          <w:rFonts w:ascii="Times New Roman" w:hAnsi="Times New Roman" w:cs="Times New Roman"/>
          <w:i/>
          <w:sz w:val="24"/>
          <w:szCs w:val="24"/>
          <w:lang w:val="en-US" w:eastAsia="ja-JP"/>
        </w:rPr>
        <w:t>A</w:t>
      </w:r>
      <w:r w:rsidR="00046559">
        <w:rPr>
          <w:rFonts w:ascii="Times New Roman" w:hAnsi="Times New Roman" w:cs="Times New Roman"/>
          <w:sz w:val="24"/>
          <w:szCs w:val="24"/>
          <w:lang w:eastAsia="ja-JP"/>
        </w:rPr>
        <w:t xml:space="preserve"> — </w:t>
      </w:r>
      <w:r w:rsidR="00046559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общая сумма активов; </w:t>
      </w:r>
      <w:r w:rsidR="00046559" w:rsidRPr="006F4192">
        <w:rPr>
          <w:rFonts w:ascii="Times New Roman" w:hAnsi="Times New Roman" w:cs="Times New Roman"/>
          <w:i/>
          <w:sz w:val="24"/>
          <w:szCs w:val="24"/>
          <w:lang w:val="en-US" w:eastAsia="ja-JP"/>
        </w:rPr>
        <w:t>CL</w:t>
      </w:r>
      <w:r w:rsidR="00046559">
        <w:rPr>
          <w:rFonts w:ascii="Times New Roman" w:hAnsi="Times New Roman" w:cs="Times New Roman"/>
          <w:sz w:val="24"/>
          <w:szCs w:val="24"/>
          <w:lang w:eastAsia="ja-JP"/>
        </w:rPr>
        <w:t xml:space="preserve"> — </w:t>
      </w:r>
      <w:r w:rsidR="00046559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краткосрочные </w:t>
      </w:r>
      <w:proofErr w:type="gramStart"/>
      <w:r w:rsidR="00046559" w:rsidRPr="006F4192">
        <w:rPr>
          <w:rFonts w:ascii="Times New Roman" w:hAnsi="Times New Roman" w:cs="Times New Roman"/>
          <w:sz w:val="24"/>
          <w:szCs w:val="24"/>
          <w:lang w:eastAsia="ja-JP"/>
        </w:rPr>
        <w:t>обязательства.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</w:p>
    <w:p w:rsidR="003A3E93" w:rsidRPr="006F4192" w:rsidRDefault="003A3E93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Вовлеченный капитал </w:t>
      </w:r>
      <w:r w:rsidR="0004655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46559">
        <w:rPr>
          <w:rFonts w:ascii="Times New Roman" w:hAnsi="Times New Roman" w:cs="Times New Roman"/>
          <w:sz w:val="24"/>
          <w:szCs w:val="24"/>
          <w:lang w:eastAsia="ja-JP"/>
        </w:rPr>
        <w:t>—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стоимость всех активов, используемых в бизнесе, </w:t>
      </w:r>
      <w:r w:rsidR="00046559">
        <w:rPr>
          <w:rFonts w:ascii="Times New Roman" w:hAnsi="Times New Roman" w:cs="Times New Roman"/>
          <w:sz w:val="24"/>
          <w:szCs w:val="24"/>
          <w:lang w:eastAsia="ja-JP"/>
        </w:rPr>
        <w:t>ее   рассчитывают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путем добавления основны</w:t>
      </w:r>
      <w:r w:rsidR="00046559">
        <w:rPr>
          <w:rFonts w:ascii="Times New Roman" w:hAnsi="Times New Roman" w:cs="Times New Roman"/>
          <w:sz w:val="24"/>
          <w:szCs w:val="24"/>
          <w:lang w:eastAsia="ja-JP"/>
        </w:rPr>
        <w:t>х средств к оборотному капиталу или вычитания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текущих обяза</w:t>
      </w:r>
      <w:r w:rsidR="00B13080">
        <w:rPr>
          <w:rFonts w:ascii="Times New Roman" w:hAnsi="Times New Roman" w:cs="Times New Roman"/>
          <w:sz w:val="24"/>
          <w:szCs w:val="24"/>
          <w:lang w:eastAsia="ja-JP"/>
        </w:rPr>
        <w:t xml:space="preserve">тельств из общей суммы </w:t>
      </w:r>
      <w:proofErr w:type="gramStart"/>
      <w:r w:rsidR="00B13080">
        <w:rPr>
          <w:rFonts w:ascii="Times New Roman" w:hAnsi="Times New Roman" w:cs="Times New Roman"/>
          <w:sz w:val="24"/>
          <w:szCs w:val="24"/>
          <w:lang w:eastAsia="ja-JP"/>
        </w:rPr>
        <w:t>активов</w:t>
      </w:r>
      <w:r w:rsidR="00265E6E" w:rsidRPr="006F4192">
        <w:rPr>
          <w:rFonts w:ascii="Times New Roman" w:hAnsi="Times New Roman" w:cs="Times New Roman"/>
          <w:sz w:val="24"/>
          <w:szCs w:val="24"/>
          <w:lang w:eastAsia="ja-JP"/>
        </w:rPr>
        <w:t>[</w:t>
      </w:r>
      <w:proofErr w:type="spellStart"/>
      <w:proofErr w:type="gramEnd"/>
      <w:r w:rsidR="00046559">
        <w:rPr>
          <w:rFonts w:ascii="Times New Roman" w:hAnsi="Times New Roman" w:cs="Times New Roman"/>
          <w:sz w:val="24"/>
          <w:szCs w:val="24"/>
          <w:lang w:eastAsia="ja-JP"/>
        </w:rPr>
        <w:t>Мазур</w:t>
      </w:r>
      <w:proofErr w:type="spellEnd"/>
      <w:r w:rsidR="00046559">
        <w:rPr>
          <w:rFonts w:ascii="Times New Roman" w:hAnsi="Times New Roman" w:cs="Times New Roman"/>
          <w:sz w:val="24"/>
          <w:szCs w:val="24"/>
          <w:lang w:eastAsia="ja-JP"/>
        </w:rPr>
        <w:t>, Шапиро</w:t>
      </w:r>
      <w:r w:rsidR="00B94FE5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, Коротков </w:t>
      </w:r>
      <w:r w:rsidR="00046559">
        <w:rPr>
          <w:rFonts w:ascii="Times New Roman" w:hAnsi="Times New Roman" w:cs="Times New Roman"/>
          <w:sz w:val="24"/>
          <w:szCs w:val="24"/>
          <w:lang w:eastAsia="ja-JP"/>
        </w:rPr>
        <w:t>и др., 2005</w:t>
      </w:r>
      <w:r w:rsidR="00265E6E" w:rsidRPr="006F4192">
        <w:rPr>
          <w:rFonts w:ascii="Times New Roman" w:hAnsi="Times New Roman" w:cs="Times New Roman"/>
          <w:sz w:val="24"/>
          <w:szCs w:val="24"/>
          <w:lang w:eastAsia="ja-JP"/>
        </w:rPr>
        <w:t>]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B13080" w:rsidRDefault="00046559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Э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>кономическая добавленн</w:t>
      </w:r>
      <w:r>
        <w:rPr>
          <w:rFonts w:ascii="Times New Roman" w:hAnsi="Times New Roman" w:cs="Times New Roman"/>
          <w:sz w:val="24"/>
          <w:szCs w:val="24"/>
          <w:lang w:eastAsia="ja-JP"/>
        </w:rPr>
        <w:t>ая стоимость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используется как показатель оценки ценности компании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2E01C1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для </w:t>
      </w:r>
      <w:proofErr w:type="gramStart"/>
      <w:r w:rsidR="002E01C1" w:rsidRPr="00046559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собственников</w:t>
      </w:r>
      <w:r w:rsidRPr="00046559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>,</w:t>
      </w:r>
      <w:proofErr w:type="gramEnd"/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показывает реальную способность предприятия создавать прибыль на основе имеющегося капитала.</w:t>
      </w:r>
      <w:r w:rsidR="002A56ED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Данный показатель отображает </w:t>
      </w:r>
      <w:r w:rsidR="003A3E93" w:rsidRPr="006C7138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превышение рентабельности над средневзвешенной стоимостью капитала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, чем выше его значение, тем </w:t>
      </w:r>
      <w:r w:rsidR="006C7138">
        <w:rPr>
          <w:rFonts w:ascii="Times New Roman" w:hAnsi="Times New Roman" w:cs="Times New Roman"/>
          <w:sz w:val="24"/>
          <w:szCs w:val="24"/>
          <w:lang w:eastAsia="ja-JP"/>
        </w:rPr>
        <w:t>более эффективно используется капитал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6C7138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С помощью </w:t>
      </w:r>
      <w:r w:rsidR="006C7138">
        <w:rPr>
          <w:rFonts w:ascii="Times New Roman" w:hAnsi="Times New Roman" w:cs="Times New Roman"/>
          <w:sz w:val="24"/>
          <w:szCs w:val="24"/>
          <w:lang w:eastAsia="ja-JP"/>
        </w:rPr>
        <w:t xml:space="preserve">экономической добавленной стоимости   можно </w:t>
      </w:r>
      <w:proofErr w:type="gramStart"/>
      <w:r w:rsidR="006C7138">
        <w:rPr>
          <w:rFonts w:ascii="Times New Roman" w:hAnsi="Times New Roman" w:cs="Times New Roman"/>
          <w:sz w:val="24"/>
          <w:szCs w:val="24"/>
          <w:lang w:eastAsia="ja-JP"/>
        </w:rPr>
        <w:t xml:space="preserve">оценить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C7138">
        <w:rPr>
          <w:rFonts w:ascii="Times New Roman" w:hAnsi="Times New Roman" w:cs="Times New Roman"/>
          <w:sz w:val="24"/>
          <w:szCs w:val="24"/>
          <w:lang w:eastAsia="ja-JP"/>
        </w:rPr>
        <w:t>инвестиционную</w:t>
      </w:r>
      <w:proofErr w:type="gramEnd"/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привлекательность предприятия, его конкурентоспособность, финансовую устойчивость, платежеспособность</w:t>
      </w:r>
      <w:r w:rsidR="00B13080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B13080" w:rsidRDefault="00B13080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</w:p>
    <w:p w:rsidR="003A3E93" w:rsidRPr="006F4192" w:rsidRDefault="003A3E93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m:oMath>
        <m:r>
          <w:rPr>
            <w:rFonts w:ascii="Cambria Math" w:hAnsi="Cambria Math" w:cs="Times New Roman"/>
            <w:sz w:val="24"/>
            <w:szCs w:val="24"/>
            <w:lang w:val="en-US" w:eastAsia="ja-JP"/>
          </w:rPr>
          <m:t>EVA</m:t>
        </m:r>
        <m:r>
          <w:rPr>
            <w:rFonts w:ascii="Cambria Math" w:hAnsi="Cambria Math" w:cs="Times New Roman"/>
            <w:sz w:val="24"/>
            <w:szCs w:val="24"/>
            <w:lang w:eastAsia="ja-JP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 w:eastAsia="ja-JP"/>
          </w:rPr>
          <m:t>NOPAT</m:t>
        </m:r>
        <m:r>
          <w:rPr>
            <w:rFonts w:ascii="Cambria Math" w:hAnsi="Cambria Math" w:cs="Times New Roman"/>
            <w:sz w:val="24"/>
            <w:szCs w:val="24"/>
            <w:lang w:eastAsia="ja-JP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 w:eastAsia="ja-JP"/>
          </w:rPr>
          <m:t>WACC</m:t>
        </m:r>
        <m:r>
          <w:rPr>
            <w:rFonts w:ascii="Cambria Math" w:hAnsi="Cambria Math" w:cs="Times New Roman"/>
            <w:sz w:val="24"/>
            <w:szCs w:val="24"/>
            <w:lang w:eastAsia="ja-JP"/>
          </w:rPr>
          <m:t>*</m:t>
        </m:r>
        <m:r>
          <w:rPr>
            <w:rFonts w:ascii="Cambria Math" w:hAnsi="Cambria Math" w:cs="Times New Roman"/>
            <w:sz w:val="24"/>
            <w:szCs w:val="24"/>
            <w:lang w:val="en-US" w:eastAsia="ja-JP"/>
          </w:rPr>
          <m:t>IC</m:t>
        </m:r>
      </m:oMath>
      <w:r w:rsidR="00EE1F9A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="00A6554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3A3E93" w:rsidRPr="006F4192" w:rsidRDefault="00EE1F9A" w:rsidP="00E533F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г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>де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A3E93" w:rsidRPr="006F4192">
        <w:rPr>
          <w:rFonts w:ascii="Times New Roman" w:hAnsi="Times New Roman" w:cs="Times New Roman"/>
          <w:i/>
          <w:sz w:val="24"/>
          <w:szCs w:val="24"/>
          <w:lang w:val="en-US" w:eastAsia="ja-JP"/>
        </w:rPr>
        <w:t>NOPAT</w:t>
      </w:r>
      <w:r w:rsidR="00245803">
        <w:rPr>
          <w:rFonts w:ascii="Times New Roman" w:hAnsi="Times New Roman" w:cs="Times New Roman"/>
          <w:sz w:val="24"/>
          <w:szCs w:val="24"/>
          <w:lang w:eastAsia="ja-JP"/>
        </w:rPr>
        <w:t xml:space="preserve"> —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>чистая операционная прибыль после уплаты налогов</w:t>
      </w:r>
      <w:r w:rsidR="002E01C1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и до выплаты </w:t>
      </w:r>
      <w:r w:rsidR="003A3E93" w:rsidRPr="00EE1F9A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процентных платежей</w:t>
      </w:r>
      <w:r w:rsidR="00B13080">
        <w:rPr>
          <w:rFonts w:ascii="Times New Roman" w:hAnsi="Times New Roman" w:cs="Times New Roman"/>
          <w:sz w:val="24"/>
          <w:szCs w:val="24"/>
          <w:lang w:eastAsia="ja-JP"/>
        </w:rPr>
        <w:t xml:space="preserve"> по кредиту</w:t>
      </w:r>
      <w:r w:rsidR="00F003FA">
        <w:rPr>
          <w:rFonts w:ascii="Times New Roman" w:hAnsi="Times New Roman" w:cs="Times New Roman"/>
          <w:sz w:val="24"/>
          <w:szCs w:val="24"/>
          <w:lang w:eastAsia="ja-JP"/>
        </w:rPr>
        <w:t xml:space="preserve">; </w:t>
      </w:r>
      <w:r w:rsidR="003A3E93" w:rsidRPr="006F4192">
        <w:rPr>
          <w:rFonts w:ascii="Times New Roman" w:hAnsi="Times New Roman" w:cs="Times New Roman"/>
          <w:i/>
          <w:sz w:val="24"/>
          <w:szCs w:val="24"/>
          <w:lang w:val="en-US" w:eastAsia="ja-JP"/>
        </w:rPr>
        <w:t>WACC</w:t>
      </w:r>
      <w:r w:rsidR="00245803">
        <w:rPr>
          <w:rFonts w:ascii="Times New Roman" w:hAnsi="Times New Roman" w:cs="Times New Roman"/>
          <w:sz w:val="24"/>
          <w:szCs w:val="24"/>
          <w:lang w:eastAsia="ja-JP"/>
        </w:rPr>
        <w:t xml:space="preserve"> — </w:t>
      </w:r>
      <w:r w:rsidR="003A3E93" w:rsidRPr="00EE1F9A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средн</w:t>
      </w:r>
      <w:r w:rsidR="00F003FA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евзвешенная стоимость капитала, норма прибыли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>;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A3E93" w:rsidRPr="006F4192">
        <w:rPr>
          <w:rFonts w:ascii="Times New Roman" w:hAnsi="Times New Roman" w:cs="Times New Roman"/>
          <w:i/>
          <w:sz w:val="24"/>
          <w:szCs w:val="24"/>
          <w:lang w:val="en-US" w:eastAsia="ja-JP"/>
        </w:rPr>
        <w:t>IC</w:t>
      </w:r>
      <w:r w:rsidR="00245803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— </w:t>
      </w:r>
      <w:r w:rsidR="003A3E93" w:rsidRPr="00EE1F9A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инвестированный</w:t>
      </w:r>
      <w:r w:rsidR="003A3E93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капитал</w:t>
      </w:r>
      <w:r w:rsidR="003A3E93" w:rsidRPr="00EE1F9A">
        <w:rPr>
          <w:rFonts w:ascii="Times New Roman" w:hAnsi="Times New Roman" w:cs="Times New Roman"/>
          <w:sz w:val="24"/>
          <w:szCs w:val="24"/>
          <w:lang w:eastAsia="ja-JP"/>
        </w:rPr>
        <w:t xml:space="preserve">, представляет из себя сумму строк баланса </w:t>
      </w:r>
      <w:r w:rsidR="00506D17">
        <w:rPr>
          <w:rFonts w:ascii="Times New Roman" w:hAnsi="Times New Roman" w:cs="Times New Roman"/>
          <w:sz w:val="24"/>
          <w:szCs w:val="24"/>
          <w:lang w:eastAsia="ja-JP"/>
        </w:rPr>
        <w:t>«</w:t>
      </w:r>
      <w:r w:rsidR="003A3E93" w:rsidRPr="00EE1F9A">
        <w:rPr>
          <w:rFonts w:ascii="Times New Roman" w:hAnsi="Times New Roman" w:cs="Times New Roman"/>
          <w:sz w:val="24"/>
          <w:szCs w:val="24"/>
          <w:lang w:eastAsia="ja-JP"/>
        </w:rPr>
        <w:t>Капитал и резервы” и “Долгосрочные обязательства”.</w:t>
      </w:r>
    </w:p>
    <w:p w:rsidR="00B13080" w:rsidRDefault="003A3E93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r w:rsidRPr="00E533F2">
        <w:rPr>
          <w:rFonts w:ascii="Times New Roman" w:hAnsi="Times New Roman" w:cs="Times New Roman"/>
          <w:i/>
          <w:sz w:val="24"/>
          <w:szCs w:val="24"/>
          <w:highlight w:val="green"/>
          <w:lang w:val="en-US" w:eastAsia="ja-JP"/>
        </w:rPr>
        <w:t>WACC</w:t>
      </w:r>
      <w:r w:rsidR="006E56B8" w:rsidRPr="00E533F2">
        <w:rPr>
          <w:rFonts w:ascii="Times New Roman" w:hAnsi="Times New Roman" w:cs="Times New Roman"/>
          <w:i/>
          <w:sz w:val="24"/>
          <w:szCs w:val="24"/>
          <w:highlight w:val="green"/>
          <w:lang w:eastAsia="ja-JP"/>
        </w:rPr>
        <w:t xml:space="preserve"> </w:t>
      </w:r>
      <w:r w:rsidRPr="00E533F2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и </w:t>
      </w:r>
      <w:r w:rsidRPr="00E533F2">
        <w:rPr>
          <w:rFonts w:ascii="Times New Roman" w:hAnsi="Times New Roman" w:cs="Times New Roman"/>
          <w:i/>
          <w:sz w:val="24"/>
          <w:szCs w:val="24"/>
          <w:highlight w:val="green"/>
          <w:lang w:val="en-US" w:eastAsia="ja-JP"/>
        </w:rPr>
        <w:t>IC</w:t>
      </w:r>
      <w:r w:rsidR="006E56B8" w:rsidRPr="00E533F2">
        <w:rPr>
          <w:rFonts w:ascii="Times New Roman" w:hAnsi="Times New Roman" w:cs="Times New Roman"/>
          <w:i/>
          <w:sz w:val="24"/>
          <w:szCs w:val="24"/>
          <w:highlight w:val="green"/>
          <w:lang w:eastAsia="ja-JP"/>
        </w:rPr>
        <w:t xml:space="preserve"> </w:t>
      </w:r>
      <w:r w:rsidRPr="00E533F2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вместе отображают затраты на капитал.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B13080">
        <w:rPr>
          <w:rFonts w:ascii="Times New Roman" w:hAnsi="Times New Roman" w:cs="Times New Roman"/>
          <w:sz w:val="24"/>
          <w:szCs w:val="24"/>
          <w:lang w:eastAsia="ja-JP"/>
        </w:rPr>
        <w:t xml:space="preserve">В зависимости </w:t>
      </w:r>
      <w:proofErr w:type="gramStart"/>
      <w:r w:rsidR="00B13080">
        <w:rPr>
          <w:rFonts w:ascii="Times New Roman" w:hAnsi="Times New Roman" w:cs="Times New Roman"/>
          <w:sz w:val="24"/>
          <w:szCs w:val="24"/>
          <w:lang w:eastAsia="ja-JP"/>
        </w:rPr>
        <w:t>от  данных</w:t>
      </w:r>
      <w:proofErr w:type="gramEnd"/>
      <w:r w:rsidR="00B13080">
        <w:rPr>
          <w:rFonts w:ascii="Times New Roman" w:hAnsi="Times New Roman" w:cs="Times New Roman"/>
          <w:sz w:val="24"/>
          <w:szCs w:val="24"/>
          <w:lang w:eastAsia="ja-JP"/>
        </w:rPr>
        <w:t xml:space="preserve">, показатель можно рассчитать в том числе следующим образом: </w:t>
      </w:r>
    </w:p>
    <w:p w:rsidR="00CD2C49" w:rsidRDefault="003A3E93" w:rsidP="00FA645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eastAsia="ja-JP"/>
        </w:rPr>
      </w:pPr>
      <m:oMath>
        <m:r>
          <w:rPr>
            <w:rFonts w:ascii="Cambria Math" w:hAnsi="Cambria Math" w:cs="Times New Roman"/>
            <w:sz w:val="24"/>
            <w:szCs w:val="24"/>
            <w:highlight w:val="green"/>
            <w:lang w:val="en-US" w:eastAsia="ja-JP"/>
          </w:rPr>
          <m:t>EVA</m:t>
        </m:r>
        <m:r>
          <w:rPr>
            <w:rFonts w:ascii="Cambria Math" w:hAnsi="Cambria Math" w:cs="Times New Roman"/>
            <w:sz w:val="24"/>
            <w:szCs w:val="24"/>
            <w:highlight w:val="green"/>
            <w:lang w:eastAsia="ja-JP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highlight w:val="green"/>
                <w:lang w:val="en-US" w:eastAsia="ja-JP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val="en-US" w:eastAsia="ja-JP"/>
              </w:rPr>
              <m:t>EBIT</m:t>
            </m:r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eastAsia="ja-JP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val="en-US" w:eastAsia="ja-JP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  <w:highlight w:val="green"/>
            <w:lang w:eastAsia="ja-JP"/>
          </w:rPr>
          <m:t>-</m:t>
        </m:r>
        <m:r>
          <w:rPr>
            <w:rFonts w:ascii="Cambria Math" w:hAnsi="Cambria Math" w:cs="Times New Roman"/>
            <w:sz w:val="24"/>
            <w:szCs w:val="24"/>
            <w:highlight w:val="green"/>
            <w:lang w:val="en-US" w:eastAsia="ja-JP"/>
          </w:rPr>
          <m:t>WACC</m:t>
        </m:r>
        <m:r>
          <w:rPr>
            <w:rFonts w:ascii="Cambria Math" w:hAnsi="Cambria Math" w:cs="Times New Roman"/>
            <w:sz w:val="24"/>
            <w:szCs w:val="24"/>
            <w:highlight w:val="green"/>
            <w:lang w:eastAsia="ja-JP"/>
          </w:rPr>
          <m:t>*</m:t>
        </m:r>
        <m:r>
          <w:rPr>
            <w:rFonts w:ascii="Cambria Math" w:hAnsi="Cambria Math" w:cs="Times New Roman"/>
            <w:sz w:val="24"/>
            <w:szCs w:val="24"/>
            <w:highlight w:val="green"/>
            <w:lang w:val="en-US" w:eastAsia="ja-JP"/>
          </w:rPr>
          <m:t>IC</m:t>
        </m:r>
        <m:r>
          <w:rPr>
            <w:rFonts w:ascii="Cambria Math" w:hAnsi="Cambria Math" w:cs="Times New Roman"/>
            <w:sz w:val="24"/>
            <w:szCs w:val="24"/>
            <w:highlight w:val="green"/>
            <w:lang w:eastAsia="ja-JP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highlight w:val="green"/>
                <w:lang w:val="en-US" w:eastAsia="ja-JP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val="en-US" w:eastAsia="ja-JP"/>
              </w:rPr>
              <m:t>ROIC</m:t>
            </m:r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eastAsia="ja-JP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val="en-US" w:eastAsia="ja-JP"/>
              </w:rPr>
              <m:t>WACC</m:t>
            </m:r>
          </m:e>
        </m:d>
        <m:r>
          <w:rPr>
            <w:rFonts w:ascii="Cambria Math" w:hAnsi="Cambria Math" w:cs="Times New Roman"/>
            <w:sz w:val="24"/>
            <w:szCs w:val="24"/>
            <w:highlight w:val="green"/>
            <w:lang w:eastAsia="ja-JP"/>
          </w:rPr>
          <m:t>*</m:t>
        </m:r>
        <m:r>
          <w:rPr>
            <w:rFonts w:ascii="Cambria Math" w:hAnsi="Cambria Math" w:cs="Times New Roman"/>
            <w:sz w:val="24"/>
            <w:szCs w:val="24"/>
            <w:highlight w:val="green"/>
            <w:lang w:val="en-US" w:eastAsia="ja-JP"/>
          </w:rPr>
          <m:t>IC</m:t>
        </m:r>
      </m:oMath>
      <w:r w:rsidR="00A65543" w:rsidRPr="00E533F2">
        <w:rPr>
          <w:rFonts w:ascii="Times New Roman" w:hAnsi="Times New Roman" w:cs="Times New Roman"/>
          <w:i/>
          <w:sz w:val="24"/>
          <w:szCs w:val="24"/>
          <w:highlight w:val="green"/>
          <w:lang w:eastAsia="ja-JP"/>
        </w:rPr>
        <w:t xml:space="preserve"> </w:t>
      </w:r>
    </w:p>
    <w:p w:rsidR="00CD2C49" w:rsidRDefault="00CD2C49" w:rsidP="00FA645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eastAsia="ja-JP"/>
        </w:rPr>
      </w:pPr>
    </w:p>
    <w:p w:rsidR="003A3E93" w:rsidRPr="00E533F2" w:rsidRDefault="003A3E93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green"/>
          <w:lang w:eastAsia="ja-JP"/>
        </w:rPr>
      </w:pP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Вариация (дисперсия) </w:t>
      </w:r>
      <w:r w:rsidRPr="006F4192">
        <w:rPr>
          <w:rFonts w:ascii="Times New Roman" w:hAnsi="Times New Roman" w:cs="Times New Roman"/>
          <w:i/>
          <w:sz w:val="24"/>
          <w:szCs w:val="24"/>
          <w:lang w:val="en-US" w:eastAsia="ja-JP"/>
        </w:rPr>
        <w:t>EVA</w:t>
      </w:r>
      <w:r w:rsidR="006E56B8" w:rsidRPr="006F4192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позволяет оценить ее волатильность от среднего значения, что является мерой риска. Так как высокий показатель </w:t>
      </w:r>
      <w:r w:rsidRPr="006F4192">
        <w:rPr>
          <w:rFonts w:ascii="Times New Roman" w:hAnsi="Times New Roman" w:cs="Times New Roman"/>
          <w:sz w:val="24"/>
          <w:szCs w:val="24"/>
          <w:lang w:val="en-US" w:eastAsia="ja-JP"/>
        </w:rPr>
        <w:t>EVA</w:t>
      </w:r>
      <w:r w:rsidR="006E56B8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является более привлекательным, его вариация должна быть небольшой. На практике многие инвесторы не склонны к риску, </w:t>
      </w:r>
      <w:r w:rsidRPr="00E533F2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поэтому в условиях, когда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E533F2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инвесто</w:t>
      </w:r>
      <w:r w:rsidR="00B13080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ры </w:t>
      </w:r>
      <w:r w:rsidRPr="00E533F2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сами определяют стратегию развития компании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="00E533F2">
        <w:rPr>
          <w:rFonts w:ascii="Times New Roman" w:hAnsi="Times New Roman" w:cs="Times New Roman"/>
          <w:sz w:val="24"/>
          <w:szCs w:val="24"/>
          <w:highlight w:val="cyan"/>
          <w:lang w:eastAsia="ja-JP"/>
        </w:rPr>
        <w:t>соответственно,</w:t>
      </w:r>
      <w:r w:rsidR="00E533F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задачей риск-менеджмента является снижение волатильности, а значит и снижение дисперсии </w:t>
      </w:r>
      <w:r w:rsidRPr="006F4192">
        <w:rPr>
          <w:rFonts w:ascii="Times New Roman" w:hAnsi="Times New Roman" w:cs="Times New Roman"/>
          <w:i/>
          <w:sz w:val="24"/>
          <w:szCs w:val="24"/>
          <w:lang w:val="en-US" w:eastAsia="ja-JP"/>
        </w:rPr>
        <w:t>EVA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 w:rsidRPr="00E533F2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Это оправдывает использование дисперсии </w:t>
      </w:r>
      <w:r w:rsidRPr="00E533F2">
        <w:rPr>
          <w:rFonts w:ascii="Times New Roman" w:hAnsi="Times New Roman" w:cs="Times New Roman"/>
          <w:i/>
          <w:sz w:val="24"/>
          <w:szCs w:val="24"/>
          <w:highlight w:val="green"/>
          <w:lang w:val="en-US" w:eastAsia="ja-JP"/>
        </w:rPr>
        <w:t>EVA</w:t>
      </w:r>
      <w:r w:rsidR="00056FA7" w:rsidRPr="00E533F2">
        <w:rPr>
          <w:rFonts w:ascii="Times New Roman" w:hAnsi="Times New Roman" w:cs="Times New Roman"/>
          <w:i/>
          <w:sz w:val="24"/>
          <w:szCs w:val="24"/>
          <w:highlight w:val="green"/>
          <w:lang w:eastAsia="ja-JP"/>
        </w:rPr>
        <w:t xml:space="preserve"> </w:t>
      </w:r>
      <w:r w:rsidRPr="00E533F2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в качестве множителя</w:t>
      </w:r>
      <w:r w:rsidR="00B94FE5" w:rsidRPr="00E533F2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.</w:t>
      </w:r>
      <w:r w:rsidR="00CD2C49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 Расчет вариации осуществлялся по следующей формуле:</w:t>
      </w:r>
    </w:p>
    <w:p w:rsidR="00C9426D" w:rsidRPr="00CD2C49" w:rsidRDefault="003A3E93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m:oMath>
        <m:r>
          <w:rPr>
            <w:rFonts w:ascii="Cambria Math" w:hAnsi="Cambria Math" w:cs="Times New Roman"/>
            <w:sz w:val="24"/>
            <w:szCs w:val="24"/>
            <w:highlight w:val="green"/>
            <w:lang w:val="en-US" w:eastAsia="ja-JP"/>
          </w:rPr>
          <m:t>varEVA</m:t>
        </m:r>
        <m:r>
          <w:rPr>
            <w:rFonts w:ascii="Cambria Math" w:hAnsi="Cambria Math" w:cs="Times New Roman"/>
            <w:sz w:val="24"/>
            <w:szCs w:val="24"/>
            <w:highlight w:val="green"/>
            <w:lang w:eastAsia="ja-JP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green"/>
                <w:lang w:val="en-US" w:eastAsia="ja-JP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green"/>
                    <w:lang w:val="en-US" w:eastAsia="ja-JP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green"/>
                        <w:lang w:val="en-US" w:eastAsia="ja-JP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highlight w:val="green"/>
                            <w:lang w:val="en-US" w:eastAsia="ja-JP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highlight w:val="green"/>
                                <w:lang w:val="en-US" w:eastAsia="ja-JP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highlight w:val="green"/>
                                <w:lang w:val="en-US" w:eastAsia="ja-JP"/>
                              </w:rPr>
                              <m:t>EVA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highlight w:val="green"/>
                                <w:lang w:val="en-US" w:eastAsia="ja-JP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highlight w:val="green"/>
                            <w:lang w:eastAsia="ja-JP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highlight w:val="green"/>
                                <w:lang w:val="en-US" w:eastAsia="ja-JP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highlight w:val="green"/>
                                <w:lang w:val="en-US" w:eastAsia="ja-JP"/>
                              </w:rPr>
                              <m:t>EVA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highlight w:val="green"/>
                                <w:lang w:eastAsia="ja-JP"/>
                              </w:rPr>
                              <m:t>ср</m:t>
                            </m:r>
                          </m:sub>
                        </m:sSub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highlight w:val="green"/>
                            <w:lang w:eastAsia="ja-JP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green"/>
                        <w:lang w:eastAsia="ja-JP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val="en-US" w:eastAsia="ja-JP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eastAsia="ja-JP"/>
              </w:rPr>
              <m:t>-1</m:t>
            </m:r>
          </m:den>
        </m:f>
      </m:oMath>
      <w:r w:rsidR="00A65543" w:rsidRPr="00E533F2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 </w:t>
      </w:r>
      <w:r w:rsidR="00CD2C49">
        <w:rPr>
          <w:rFonts w:ascii="Times New Roman" w:hAnsi="Times New Roman" w:cs="Times New Roman"/>
          <w:sz w:val="24"/>
          <w:szCs w:val="24"/>
          <w:lang w:eastAsia="ja-JP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  <w:highlight w:val="green"/>
            <w:lang w:val="en-US" w:eastAsia="ja-JP"/>
          </w:rPr>
          <m:t>varEVA</m:t>
        </m:r>
      </m:oMath>
      <w:r w:rsidR="00CD2C49">
        <w:rPr>
          <w:rFonts w:ascii="Times New Roman" w:hAnsi="Times New Roman" w:cs="Times New Roman"/>
          <w:sz w:val="24"/>
          <w:szCs w:val="24"/>
          <w:lang w:eastAsia="ja-JP"/>
        </w:rPr>
        <w:t xml:space="preserve"> – дисперсия </w:t>
      </w:r>
      <w:r w:rsidR="00CD2C49">
        <w:rPr>
          <w:rFonts w:ascii="Times New Roman" w:hAnsi="Times New Roman" w:cs="Times New Roman"/>
          <w:sz w:val="24"/>
          <w:szCs w:val="24"/>
          <w:lang w:val="en-US" w:eastAsia="ja-JP"/>
        </w:rPr>
        <w:t>EVA</w:t>
      </w:r>
      <w:r w:rsidR="00CD2C49" w:rsidRPr="00CD2C49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highlight w:val="green"/>
                <w:lang w:val="en-US" w:eastAsia="ja-JP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val="en-US" w:eastAsia="ja-JP"/>
              </w:rPr>
              <m:t>EVA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highlight w:val="green"/>
                <w:lang w:val="en-US" w:eastAsia="ja-JP"/>
              </w:rPr>
              <m:t>i</m:t>
            </m:r>
          </m:sub>
        </m:sSub>
      </m:oMath>
      <w:r w:rsidR="00CD2C49" w:rsidRPr="00CD2C4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D2C49">
        <w:rPr>
          <w:rFonts w:ascii="Times New Roman" w:hAnsi="Times New Roman" w:cs="Times New Roman"/>
          <w:sz w:val="24"/>
          <w:szCs w:val="24"/>
          <w:lang w:eastAsia="ja-JP"/>
        </w:rPr>
        <w:t xml:space="preserve">–индивидуальное </w:t>
      </w:r>
      <w:r w:rsidR="00F003FA">
        <w:rPr>
          <w:rFonts w:ascii="Times New Roman" w:hAnsi="Times New Roman" w:cs="Times New Roman"/>
          <w:sz w:val="24"/>
          <w:szCs w:val="24"/>
          <w:lang w:eastAsia="ja-JP"/>
        </w:rPr>
        <w:t>значения</w:t>
      </w:r>
    </w:p>
    <w:p w:rsidR="00470F09" w:rsidRPr="006F4192" w:rsidRDefault="006F4192" w:rsidP="00FA6457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  <w:lang w:eastAsia="ja-JP"/>
        </w:rPr>
      </w:pPr>
      <w:bookmarkStart w:id="2" w:name="_Toc8923037"/>
      <w:r w:rsidRPr="006F4192">
        <w:rPr>
          <w:rFonts w:ascii="Times New Roman" w:hAnsi="Times New Roman" w:cs="Times New Roman"/>
          <w:b/>
          <w:sz w:val="24"/>
          <w:szCs w:val="24"/>
          <w:lang w:eastAsia="ja-JP"/>
        </w:rPr>
        <w:t>Проверка гипотез и эмпирическое исследование</w:t>
      </w:r>
      <w:bookmarkEnd w:id="2"/>
    </w:p>
    <w:p w:rsidR="004220CE" w:rsidRPr="006F4192" w:rsidRDefault="00F74960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A132BD" w:rsidRPr="006F4192">
        <w:rPr>
          <w:rFonts w:ascii="Times New Roman" w:hAnsi="Times New Roman" w:cs="Times New Roman"/>
          <w:sz w:val="24"/>
          <w:szCs w:val="24"/>
          <w:lang w:eastAsia="ja-JP"/>
        </w:rPr>
        <w:t>Для построения эмпирических моделей были использованы данные почти о 300 компаниях металлургического сектора РФ. По ходу исследования компании с неполными или недоступными данными исключались из выборки. Данные взяты из финансовых отчетностей компаний за 2013-2017 годы.</w:t>
      </w:r>
    </w:p>
    <w:p w:rsidR="002C105E" w:rsidRPr="006F4192" w:rsidRDefault="00E533F2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В качестве индикаторов</w:t>
      </w:r>
      <w:r w:rsidR="002C105E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2A56ED" w:rsidRPr="006F4192">
        <w:rPr>
          <w:rFonts w:ascii="Times New Roman" w:hAnsi="Times New Roman" w:cs="Times New Roman"/>
          <w:sz w:val="24"/>
          <w:szCs w:val="24"/>
          <w:lang w:eastAsia="ja-JP"/>
        </w:rPr>
        <w:t>инвестиций в корпоративный риск-</w:t>
      </w:r>
      <w:r w:rsidR="002C105E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менеджмент в данной работе являются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2C105E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существенные </w:t>
      </w:r>
      <w:proofErr w:type="gramStart"/>
      <w:r w:rsidR="002C105E" w:rsidRPr="006F4192">
        <w:rPr>
          <w:rFonts w:ascii="Times New Roman" w:hAnsi="Times New Roman" w:cs="Times New Roman"/>
          <w:sz w:val="24"/>
          <w:szCs w:val="24"/>
          <w:lang w:eastAsia="ja-JP"/>
        </w:rPr>
        <w:t>события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="007513B2">
        <w:rPr>
          <w:rFonts w:ascii="Times New Roman" w:hAnsi="Times New Roman" w:cs="Times New Roman"/>
          <w:sz w:val="24"/>
          <w:szCs w:val="24"/>
          <w:lang w:eastAsia="ja-JP"/>
        </w:rPr>
        <w:t xml:space="preserve"> подлежащие</w:t>
      </w:r>
      <w:proofErr w:type="gramEnd"/>
      <w:r w:rsidR="007513B2">
        <w:rPr>
          <w:rFonts w:ascii="Times New Roman" w:hAnsi="Times New Roman" w:cs="Times New Roman"/>
          <w:sz w:val="24"/>
          <w:szCs w:val="24"/>
          <w:lang w:eastAsia="ja-JP"/>
        </w:rPr>
        <w:t xml:space="preserve"> раскрытию. </w:t>
      </w:r>
      <w:r w:rsidR="00E44C4E">
        <w:rPr>
          <w:rFonts w:ascii="Times New Roman" w:hAnsi="Times New Roman" w:cs="Times New Roman"/>
          <w:sz w:val="24"/>
          <w:szCs w:val="24"/>
          <w:lang w:eastAsia="ja-JP"/>
        </w:rPr>
        <w:t>Н</w:t>
      </w:r>
      <w:r w:rsidR="004B7DAA" w:rsidRPr="006F4192">
        <w:rPr>
          <w:rFonts w:ascii="Times New Roman" w:hAnsi="Times New Roman" w:cs="Times New Roman"/>
          <w:sz w:val="24"/>
          <w:szCs w:val="24"/>
          <w:lang w:eastAsia="ja-JP"/>
        </w:rPr>
        <w:t>аиболее существенными считаются те, которые могут отр</w:t>
      </w:r>
      <w:r w:rsidR="002A56ED" w:rsidRPr="006F4192">
        <w:rPr>
          <w:rFonts w:ascii="Times New Roman" w:hAnsi="Times New Roman" w:cs="Times New Roman"/>
          <w:sz w:val="24"/>
          <w:szCs w:val="24"/>
          <w:lang w:eastAsia="ja-JP"/>
        </w:rPr>
        <w:t>азить эффективность работы риск-</w:t>
      </w:r>
      <w:r w:rsidR="004B7DAA" w:rsidRPr="006F4192">
        <w:rPr>
          <w:rFonts w:ascii="Times New Roman" w:hAnsi="Times New Roman" w:cs="Times New Roman"/>
          <w:sz w:val="24"/>
          <w:szCs w:val="24"/>
          <w:lang w:eastAsia="ja-JP"/>
        </w:rPr>
        <w:t>менедж</w:t>
      </w:r>
      <w:r w:rsidR="00E44C4E">
        <w:rPr>
          <w:rFonts w:ascii="Times New Roman" w:hAnsi="Times New Roman" w:cs="Times New Roman"/>
          <w:sz w:val="24"/>
          <w:szCs w:val="24"/>
          <w:lang w:eastAsia="ja-JP"/>
        </w:rPr>
        <w:t>мента</w:t>
      </w:r>
      <w:r w:rsidR="004B7DAA" w:rsidRPr="006F4192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:rsidR="004B7DAA" w:rsidRPr="006F4192" w:rsidRDefault="004F660E" w:rsidP="00FA6457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ja-JP"/>
        </w:rPr>
      </w:pPr>
      <w:r w:rsidRPr="006F4192">
        <w:rPr>
          <w:rFonts w:ascii="Times New Roman" w:hAnsi="Times New Roman" w:cs="Times New Roman"/>
          <w:sz w:val="24"/>
          <w:szCs w:val="24"/>
          <w:lang w:eastAsia="ja-JP"/>
        </w:rPr>
        <w:t>сообщения о принятии решения об уменьшении уставного капитала</w:t>
      </w:r>
      <w:r>
        <w:rPr>
          <w:rFonts w:ascii="Times New Roman" w:hAnsi="Times New Roman" w:cs="Times New Roman"/>
          <w:sz w:val="24"/>
          <w:szCs w:val="24"/>
          <w:lang w:eastAsia="ja-JP"/>
        </w:rPr>
        <w:t>;</w:t>
      </w:r>
    </w:p>
    <w:p w:rsidR="004B7DAA" w:rsidRPr="006F4192" w:rsidRDefault="004F660E" w:rsidP="00FA6457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ja-JP"/>
        </w:rPr>
      </w:pPr>
      <w:r w:rsidRPr="006F4192">
        <w:rPr>
          <w:rFonts w:ascii="Times New Roman" w:hAnsi="Times New Roman" w:cs="Times New Roman"/>
          <w:sz w:val="24"/>
          <w:szCs w:val="24"/>
          <w:lang w:eastAsia="ja-JP"/>
        </w:rPr>
        <w:t>сообщения о принятии решения о реорганизации</w:t>
      </w:r>
      <w:r>
        <w:rPr>
          <w:rFonts w:ascii="Times New Roman" w:hAnsi="Times New Roman" w:cs="Times New Roman"/>
          <w:sz w:val="24"/>
          <w:szCs w:val="24"/>
          <w:lang w:eastAsia="ja-JP"/>
        </w:rPr>
        <w:t>;</w:t>
      </w:r>
    </w:p>
    <w:p w:rsidR="004B7DAA" w:rsidRPr="006F4192" w:rsidRDefault="004F660E" w:rsidP="00FA6457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ja-JP"/>
        </w:rPr>
      </w:pPr>
      <w:r w:rsidRPr="006F4192">
        <w:rPr>
          <w:rFonts w:ascii="Times New Roman" w:hAnsi="Times New Roman" w:cs="Times New Roman"/>
          <w:sz w:val="24"/>
          <w:szCs w:val="24"/>
          <w:lang w:eastAsia="ja-JP"/>
        </w:rPr>
        <w:t>принятие решения о реорганизации или ликвидации подконтрольной эмитенту организаци</w:t>
      </w:r>
      <w:r w:rsidR="00E44C4E" w:rsidRPr="00E44C4E">
        <w:rPr>
          <w:rFonts w:ascii="Times New Roman" w:hAnsi="Times New Roman" w:cs="Times New Roman"/>
          <w:sz w:val="24"/>
          <w:szCs w:val="24"/>
          <w:highlight w:val="cyan"/>
          <w:lang w:eastAsia="ja-JP"/>
        </w:rPr>
        <w:t>и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>, имеющей для него существенное значение</w:t>
      </w:r>
      <w:r>
        <w:rPr>
          <w:rFonts w:ascii="Times New Roman" w:hAnsi="Times New Roman" w:cs="Times New Roman"/>
          <w:sz w:val="24"/>
          <w:szCs w:val="24"/>
          <w:lang w:eastAsia="ja-JP"/>
        </w:rPr>
        <w:t>;</w:t>
      </w:r>
    </w:p>
    <w:p w:rsidR="004B7DAA" w:rsidRPr="006F4192" w:rsidRDefault="004F660E" w:rsidP="00FA6457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ja-JP"/>
        </w:rPr>
      </w:pPr>
      <w:r w:rsidRPr="006F4192">
        <w:rPr>
          <w:rFonts w:ascii="Times New Roman" w:hAnsi="Times New Roman" w:cs="Times New Roman"/>
          <w:sz w:val="24"/>
          <w:szCs w:val="24"/>
          <w:lang w:eastAsia="ja-JP"/>
        </w:rPr>
        <w:t>сообщение должника или кредитора о намерении обратиться в</w:t>
      </w:r>
      <w:r w:rsidR="007513B2">
        <w:rPr>
          <w:rFonts w:ascii="Times New Roman" w:hAnsi="Times New Roman" w:cs="Times New Roman"/>
          <w:sz w:val="24"/>
          <w:szCs w:val="24"/>
          <w:lang w:eastAsia="ja-JP"/>
        </w:rPr>
        <w:t xml:space="preserve"> суд</w:t>
      </w:r>
      <w:r>
        <w:rPr>
          <w:rFonts w:ascii="Times New Roman" w:hAnsi="Times New Roman" w:cs="Times New Roman"/>
          <w:sz w:val="24"/>
          <w:szCs w:val="24"/>
          <w:lang w:eastAsia="ja-JP"/>
        </w:rPr>
        <w:t>;</w:t>
      </w:r>
    </w:p>
    <w:p w:rsidR="004B7DAA" w:rsidRPr="006F4192" w:rsidRDefault="004F660E" w:rsidP="00FA6457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ja-JP"/>
        </w:rPr>
      </w:pPr>
      <w:r w:rsidRPr="006F4192">
        <w:rPr>
          <w:rFonts w:ascii="Times New Roman" w:hAnsi="Times New Roman" w:cs="Times New Roman"/>
          <w:sz w:val="24"/>
          <w:szCs w:val="24"/>
          <w:lang w:eastAsia="ja-JP"/>
        </w:rPr>
        <w:t>смена генерального директора</w:t>
      </w:r>
      <w:r>
        <w:rPr>
          <w:rFonts w:ascii="Times New Roman" w:hAnsi="Times New Roman" w:cs="Times New Roman"/>
          <w:sz w:val="24"/>
          <w:szCs w:val="24"/>
          <w:lang w:eastAsia="ja-JP"/>
        </w:rPr>
        <w:t>;</w:t>
      </w:r>
    </w:p>
    <w:p w:rsidR="00F003FA" w:rsidRDefault="004F660E" w:rsidP="00FA6457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ja-JP"/>
        </w:rPr>
      </w:pPr>
      <w:r w:rsidRPr="006F4192"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выявление ошибок в ранее опубликованной </w:t>
      </w:r>
      <w:r w:rsidR="00263835" w:rsidRPr="006F4192">
        <w:rPr>
          <w:rFonts w:ascii="Times New Roman" w:hAnsi="Times New Roman" w:cs="Times New Roman"/>
          <w:sz w:val="24"/>
          <w:szCs w:val="24"/>
          <w:lang w:eastAsia="ja-JP"/>
        </w:rPr>
        <w:t>финансовой отчетности</w:t>
      </w:r>
    </w:p>
    <w:p w:rsidR="00263835" w:rsidRPr="006F4192" w:rsidRDefault="00F003FA" w:rsidP="00FA6457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участие компании </w:t>
      </w: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 xml:space="preserve">в </w:t>
      </w:r>
      <w:r w:rsidRPr="00F003F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>арбитражны</w:t>
      </w:r>
      <w:r>
        <w:rPr>
          <w:rFonts w:ascii="Times New Roman" w:hAnsi="Times New Roman" w:cs="Times New Roman"/>
          <w:sz w:val="24"/>
          <w:szCs w:val="24"/>
          <w:lang w:eastAsia="ja-JP"/>
        </w:rPr>
        <w:t>х</w:t>
      </w:r>
      <w:proofErr w:type="gramEnd"/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дела</w:t>
      </w:r>
      <w:r>
        <w:rPr>
          <w:rFonts w:ascii="Times New Roman" w:hAnsi="Times New Roman" w:cs="Times New Roman"/>
          <w:sz w:val="24"/>
          <w:szCs w:val="24"/>
          <w:lang w:eastAsia="ja-JP"/>
        </w:rPr>
        <w:t>х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в качестве ответчика и истца</w:t>
      </w:r>
      <w:r w:rsidR="004F660E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0021C4" w:rsidRDefault="00A23B1C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r w:rsidRPr="006F4192">
        <w:rPr>
          <w:rFonts w:ascii="Times New Roman" w:hAnsi="Times New Roman" w:cs="Times New Roman"/>
          <w:sz w:val="24"/>
          <w:szCs w:val="24"/>
          <w:lang w:eastAsia="ja-JP"/>
        </w:rPr>
        <w:t>Предполагается, что</w:t>
      </w:r>
      <w:r w:rsidR="00F003FA">
        <w:rPr>
          <w:rFonts w:ascii="Times New Roman" w:hAnsi="Times New Roman" w:cs="Times New Roman"/>
          <w:sz w:val="24"/>
          <w:szCs w:val="24"/>
          <w:lang w:eastAsia="ja-JP"/>
        </w:rPr>
        <w:t xml:space="preserve"> управленческие расходы чувствительны к выделенным </w:t>
      </w:r>
      <w:proofErr w:type="gramStart"/>
      <w:r w:rsidR="00F003FA">
        <w:rPr>
          <w:rFonts w:ascii="Times New Roman" w:hAnsi="Times New Roman" w:cs="Times New Roman"/>
          <w:sz w:val="24"/>
          <w:szCs w:val="24"/>
          <w:lang w:eastAsia="ja-JP"/>
        </w:rPr>
        <w:t>сигнала.</w:t>
      </w:r>
      <w:r w:rsidR="000021C4" w:rsidRPr="006F4192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  <w:r w:rsidR="00F003FA" w:rsidRPr="00F003FA">
        <w:t xml:space="preserve"> </w:t>
      </w:r>
      <w:r w:rsidR="00F003FA" w:rsidRPr="00F003FA">
        <w:rPr>
          <w:rFonts w:ascii="Times New Roman" w:hAnsi="Times New Roman" w:cs="Times New Roman"/>
          <w:sz w:val="24"/>
          <w:szCs w:val="24"/>
          <w:lang w:eastAsia="ja-JP"/>
        </w:rPr>
        <w:t xml:space="preserve">Остальные </w:t>
      </w:r>
      <w:proofErr w:type="gramStart"/>
      <w:r w:rsidR="00F003FA" w:rsidRPr="00F003FA">
        <w:rPr>
          <w:rFonts w:ascii="Times New Roman" w:hAnsi="Times New Roman" w:cs="Times New Roman"/>
          <w:sz w:val="24"/>
          <w:szCs w:val="24"/>
          <w:lang w:eastAsia="ja-JP"/>
        </w:rPr>
        <w:t>события,  такие</w:t>
      </w:r>
      <w:proofErr w:type="gramEnd"/>
      <w:r w:rsidR="00F003FA" w:rsidRPr="00F003FA">
        <w:rPr>
          <w:rFonts w:ascii="Times New Roman" w:hAnsi="Times New Roman" w:cs="Times New Roman"/>
          <w:sz w:val="24"/>
          <w:szCs w:val="24"/>
          <w:lang w:eastAsia="ja-JP"/>
        </w:rPr>
        <w:t xml:space="preserve"> как сообщения о стоимости чистых активов, сообщения о проведении собрания акционеров, раскрытие в   Интернете списка аффилированных лиц, сообщения о результатах обязательного аудита и пр. не были включены в исследование, так как  имели массовый характер и оказались не значимы статистически.</w:t>
      </w:r>
    </w:p>
    <w:p w:rsidR="00F003FA" w:rsidRDefault="00F003FA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Для проверки выдвинутых в статье предположений, была </w:t>
      </w: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>построена  следующая</w:t>
      </w:r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регрессионная модель:</w:t>
      </w:r>
    </w:p>
    <w:p w:rsidR="00F003FA" w:rsidRPr="00F003FA" w:rsidRDefault="00F003FA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 w:eastAsia="ja-JP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 w:eastAsia="ja-JP"/>
            </w:rPr>
            <m:t>y=const+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 w:eastAsia="ja-JP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 w:eastAsia="ja-JP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 w:eastAsia="ja-JP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 w:eastAsia="ja-JP"/>
            </w:rPr>
            <m:t>*EBIT+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 w:eastAsia="ja-JP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 w:eastAsia="ja-JP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 w:eastAsia="ja-JP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 w:eastAsia="ja-JP"/>
            </w:rPr>
            <m:t>*VarEVA+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 w:eastAsia="ja-JP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 w:eastAsia="ja-JP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 w:eastAsia="ja-JP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 w:eastAsia="ja-JP"/>
            </w:rPr>
            <m:t>*control variables+ε</m:t>
          </m:r>
        </m:oMath>
      </m:oMathPara>
    </w:p>
    <w:p w:rsidR="00F003FA" w:rsidRDefault="00F003FA" w:rsidP="00F00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21481" w:rsidRPr="006F4192" w:rsidRDefault="00AC30D3" w:rsidP="00F00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6F4192">
        <w:rPr>
          <w:rFonts w:ascii="Times New Roman" w:hAnsi="Times New Roman" w:cs="Times New Roman"/>
          <w:sz w:val="24"/>
          <w:szCs w:val="24"/>
          <w:lang w:eastAsia="ja-JP"/>
        </w:rPr>
        <w:t>Зависимой переменной служат управленческие расходы. В качестве</w:t>
      </w:r>
      <w:r w:rsidR="002A56ED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FF028A" w:rsidRPr="006F4192">
        <w:rPr>
          <w:rFonts w:ascii="Times New Roman" w:hAnsi="Times New Roman" w:cs="Times New Roman"/>
          <w:sz w:val="24"/>
          <w:szCs w:val="24"/>
          <w:lang w:eastAsia="ja-JP"/>
        </w:rPr>
        <w:t>основных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объясняющих переменных выбраны </w:t>
      </w:r>
      <w:r w:rsidR="002147B8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факторы, представленные в </w:t>
      </w:r>
      <w:r w:rsidR="002147B8" w:rsidRPr="00F67781">
        <w:rPr>
          <w:rFonts w:ascii="Times New Roman" w:hAnsi="Times New Roman" w:cs="Times New Roman"/>
          <w:sz w:val="24"/>
          <w:szCs w:val="24"/>
          <w:highlight w:val="yellow"/>
          <w:lang w:eastAsia="ja-JP"/>
        </w:rPr>
        <w:t>табл</w:t>
      </w:r>
      <w:r w:rsidR="00F67781" w:rsidRPr="00F67781">
        <w:rPr>
          <w:rFonts w:ascii="Times New Roman" w:hAnsi="Times New Roman" w:cs="Times New Roman"/>
          <w:sz w:val="24"/>
          <w:szCs w:val="24"/>
          <w:highlight w:val="yellow"/>
          <w:lang w:eastAsia="ja-JP"/>
        </w:rPr>
        <w:t>.</w:t>
      </w:r>
      <w:r w:rsidR="002147B8" w:rsidRPr="00F67781">
        <w:rPr>
          <w:rFonts w:ascii="Times New Roman" w:hAnsi="Times New Roman" w:cs="Times New Roman"/>
          <w:sz w:val="24"/>
          <w:szCs w:val="24"/>
          <w:highlight w:val="yellow"/>
          <w:lang w:eastAsia="ja-JP"/>
        </w:rPr>
        <w:t xml:space="preserve"> </w:t>
      </w:r>
      <w:r w:rsidR="00E03DFB" w:rsidRPr="00F67781">
        <w:rPr>
          <w:rFonts w:ascii="Times New Roman" w:hAnsi="Times New Roman" w:cs="Times New Roman"/>
          <w:sz w:val="24"/>
          <w:szCs w:val="24"/>
          <w:highlight w:val="yellow"/>
          <w:lang w:eastAsia="ja-JP"/>
        </w:rPr>
        <w:t>1</w:t>
      </w:r>
      <w:r w:rsidR="002147B8" w:rsidRPr="00F67781">
        <w:rPr>
          <w:rFonts w:ascii="Times New Roman" w:hAnsi="Times New Roman" w:cs="Times New Roman"/>
          <w:sz w:val="24"/>
          <w:szCs w:val="24"/>
          <w:highlight w:val="yellow"/>
          <w:lang w:eastAsia="ja-JP"/>
        </w:rPr>
        <w:t>.</w:t>
      </w:r>
    </w:p>
    <w:p w:rsidR="002147B8" w:rsidRPr="00F67781" w:rsidRDefault="002147B8" w:rsidP="00F67781">
      <w:pPr>
        <w:pStyle w:val="af"/>
        <w:keepNext/>
        <w:spacing w:after="0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  <w:r w:rsidRPr="00F67781">
        <w:rPr>
          <w:rFonts w:ascii="Times New Roman" w:hAnsi="Times New Roman" w:cs="Times New Roman"/>
          <w:color w:val="auto"/>
          <w:sz w:val="20"/>
          <w:szCs w:val="20"/>
          <w:highlight w:val="yellow"/>
        </w:rPr>
        <w:t xml:space="preserve">Таблица </w:t>
      </w:r>
      <w:r w:rsidR="00E03DFB" w:rsidRPr="00F67781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1</w:t>
      </w:r>
    </w:p>
    <w:p w:rsidR="002147B8" w:rsidRPr="00F67781" w:rsidRDefault="002147B8" w:rsidP="00F67781">
      <w:pPr>
        <w:pStyle w:val="af"/>
        <w:keepNext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F67781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Объясняющие переменные для эмпирического исследования</w:t>
      </w:r>
    </w:p>
    <w:tbl>
      <w:tblPr>
        <w:tblStyle w:val="a6"/>
        <w:tblW w:w="7796" w:type="dxa"/>
        <w:tblInd w:w="1384" w:type="dxa"/>
        <w:tblLook w:val="04A0" w:firstRow="1" w:lastRow="0" w:firstColumn="1" w:lastColumn="0" w:noHBand="0" w:noVBand="1"/>
      </w:tblPr>
      <w:tblGrid>
        <w:gridCol w:w="2149"/>
        <w:gridCol w:w="5647"/>
      </w:tblGrid>
      <w:tr w:rsidR="00AC30D3" w:rsidRPr="00F67781" w:rsidTr="00506D17">
        <w:tc>
          <w:tcPr>
            <w:tcW w:w="2149" w:type="dxa"/>
          </w:tcPr>
          <w:p w:rsidR="00AC30D3" w:rsidRPr="00F67781" w:rsidRDefault="00E44C4E" w:rsidP="00F6778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Переменная</w:t>
            </w:r>
          </w:p>
        </w:tc>
        <w:tc>
          <w:tcPr>
            <w:tcW w:w="5647" w:type="dxa"/>
          </w:tcPr>
          <w:p w:rsidR="00AC30D3" w:rsidRPr="00F67781" w:rsidRDefault="00AC30D3" w:rsidP="00F6778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Фактор</w:t>
            </w:r>
          </w:p>
        </w:tc>
      </w:tr>
      <w:tr w:rsidR="00AC30D3" w:rsidRPr="00F67781" w:rsidTr="00506D17">
        <w:tc>
          <w:tcPr>
            <w:tcW w:w="2149" w:type="dxa"/>
          </w:tcPr>
          <w:p w:rsidR="00AC30D3" w:rsidRPr="00F67781" w:rsidRDefault="00AC30D3" w:rsidP="00F67781">
            <w:pPr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proofErr w:type="spellStart"/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Adm_exp</w:t>
            </w:r>
            <w:proofErr w:type="spellEnd"/>
          </w:p>
        </w:tc>
        <w:tc>
          <w:tcPr>
            <w:tcW w:w="5647" w:type="dxa"/>
          </w:tcPr>
          <w:p w:rsidR="00AC30D3" w:rsidRPr="00F67781" w:rsidRDefault="00AC30D3" w:rsidP="00F6778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Управленческие расходы</w:t>
            </w:r>
          </w:p>
        </w:tc>
      </w:tr>
      <w:tr w:rsidR="00AC30D3" w:rsidRPr="00F67781" w:rsidTr="00506D17">
        <w:tc>
          <w:tcPr>
            <w:tcW w:w="2149" w:type="dxa"/>
          </w:tcPr>
          <w:p w:rsidR="00AC30D3" w:rsidRPr="00F67781" w:rsidRDefault="00AC30D3" w:rsidP="00F67781">
            <w:pPr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EBIT</w:t>
            </w:r>
          </w:p>
        </w:tc>
        <w:tc>
          <w:tcPr>
            <w:tcW w:w="5647" w:type="dxa"/>
          </w:tcPr>
          <w:p w:rsidR="00AC30D3" w:rsidRPr="00F67781" w:rsidRDefault="00AC30D3" w:rsidP="00F6778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Прибыль до налогов</w:t>
            </w:r>
          </w:p>
        </w:tc>
      </w:tr>
      <w:tr w:rsidR="00AC30D3" w:rsidRPr="00F67781" w:rsidTr="00506D17">
        <w:tc>
          <w:tcPr>
            <w:tcW w:w="2149" w:type="dxa"/>
          </w:tcPr>
          <w:p w:rsidR="00AC30D3" w:rsidRPr="00F67781" w:rsidRDefault="00AC30D3" w:rsidP="00F6778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Sales</w:t>
            </w:r>
          </w:p>
        </w:tc>
        <w:tc>
          <w:tcPr>
            <w:tcW w:w="5647" w:type="dxa"/>
          </w:tcPr>
          <w:p w:rsidR="00AC30D3" w:rsidRPr="00F67781" w:rsidRDefault="00AC30D3" w:rsidP="00F6778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Выручка</w:t>
            </w:r>
          </w:p>
        </w:tc>
      </w:tr>
      <w:tr w:rsidR="00AC30D3" w:rsidRPr="00F67781" w:rsidTr="00506D17">
        <w:tc>
          <w:tcPr>
            <w:tcW w:w="2149" w:type="dxa"/>
          </w:tcPr>
          <w:p w:rsidR="00AC30D3" w:rsidRPr="00F67781" w:rsidRDefault="005F2B0B" w:rsidP="00F67781">
            <w:pPr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proofErr w:type="spellStart"/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LTDebt</w:t>
            </w:r>
            <w:proofErr w:type="spellEnd"/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/</w:t>
            </w:r>
            <w:proofErr w:type="spellStart"/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SHTDebt</w:t>
            </w:r>
            <w:proofErr w:type="spellEnd"/>
          </w:p>
        </w:tc>
        <w:tc>
          <w:tcPr>
            <w:tcW w:w="5647" w:type="dxa"/>
          </w:tcPr>
          <w:p w:rsidR="00AC30D3" w:rsidRPr="00F67781" w:rsidRDefault="00E543AB" w:rsidP="00F003F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Отношение д</w:t>
            </w:r>
            <w:r w:rsidR="00F003F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олгосрочных и краткосрочных обязательств </w:t>
            </w:r>
          </w:p>
        </w:tc>
      </w:tr>
      <w:tr w:rsidR="00AC30D3" w:rsidRPr="00F67781" w:rsidTr="00506D17">
        <w:tc>
          <w:tcPr>
            <w:tcW w:w="2149" w:type="dxa"/>
          </w:tcPr>
          <w:p w:rsidR="00AC30D3" w:rsidRPr="00F67781" w:rsidRDefault="005F2B0B" w:rsidP="00F67781">
            <w:pPr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Total Payable Debt</w:t>
            </w:r>
          </w:p>
        </w:tc>
        <w:tc>
          <w:tcPr>
            <w:tcW w:w="5647" w:type="dxa"/>
          </w:tcPr>
          <w:p w:rsidR="00AC30D3" w:rsidRPr="00F67781" w:rsidRDefault="001E1D4E" w:rsidP="00F6778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Долг к уплате</w:t>
            </w:r>
          </w:p>
        </w:tc>
      </w:tr>
      <w:tr w:rsidR="005F2B0B" w:rsidRPr="00F67781" w:rsidTr="00506D17">
        <w:tc>
          <w:tcPr>
            <w:tcW w:w="2149" w:type="dxa"/>
          </w:tcPr>
          <w:p w:rsidR="005F2B0B" w:rsidRPr="00F67781" w:rsidRDefault="005F2B0B" w:rsidP="00F67781">
            <w:pPr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proofErr w:type="spellStart"/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SHTliabilities</w:t>
            </w:r>
            <w:proofErr w:type="spellEnd"/>
          </w:p>
        </w:tc>
        <w:tc>
          <w:tcPr>
            <w:tcW w:w="5647" w:type="dxa"/>
          </w:tcPr>
          <w:p w:rsidR="005F2B0B" w:rsidRPr="00F67781" w:rsidRDefault="005F2B0B" w:rsidP="00F6778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Краткосрочные обязательства</w:t>
            </w:r>
          </w:p>
        </w:tc>
      </w:tr>
      <w:tr w:rsidR="005F2B0B" w:rsidRPr="00F67781" w:rsidTr="00506D17">
        <w:tc>
          <w:tcPr>
            <w:tcW w:w="2149" w:type="dxa"/>
          </w:tcPr>
          <w:p w:rsidR="005F2B0B" w:rsidRPr="00F67781" w:rsidRDefault="005F2B0B" w:rsidP="00F67781">
            <w:pPr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proofErr w:type="spellStart"/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Adm</w:t>
            </w:r>
            <w:proofErr w:type="spellEnd"/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/sales</w:t>
            </w:r>
            <w:r w:rsidR="00506D17"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*</w:t>
            </w:r>
            <w:r w:rsidR="00506D17"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varEVA</w:t>
            </w:r>
            <w:proofErr w:type="spellEnd"/>
          </w:p>
        </w:tc>
        <w:tc>
          <w:tcPr>
            <w:tcW w:w="5647" w:type="dxa"/>
          </w:tcPr>
          <w:p w:rsidR="005F2B0B" w:rsidRPr="00F67781" w:rsidRDefault="005944CB" w:rsidP="00F6778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Выведенное уравнение оптимальных</w:t>
            </w:r>
            <w:r w:rsidR="00245803"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ин</w:t>
            </w: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вестиций</w:t>
            </w:r>
          </w:p>
        </w:tc>
      </w:tr>
      <w:tr w:rsidR="005F2B0B" w:rsidRPr="00F67781" w:rsidTr="00506D17">
        <w:tc>
          <w:tcPr>
            <w:tcW w:w="2149" w:type="dxa"/>
          </w:tcPr>
          <w:p w:rsidR="005F2B0B" w:rsidRPr="00F67781" w:rsidRDefault="005F2B0B" w:rsidP="00F67781">
            <w:pPr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def</w:t>
            </w:r>
          </w:p>
        </w:tc>
        <w:tc>
          <w:tcPr>
            <w:tcW w:w="5647" w:type="dxa"/>
          </w:tcPr>
          <w:p w:rsidR="005F2B0B" w:rsidRPr="00F67781" w:rsidRDefault="001E1D4E" w:rsidP="00F003F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Участие в судах в качестве ответчика (бинарн</w:t>
            </w:r>
            <w:r w:rsidRPr="00F67781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ja-JP"/>
              </w:rPr>
              <w:t>ая</w:t>
            </w:r>
            <w:r w:rsidR="00F003F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переменная, были участия – 1, нет - 0</w:t>
            </w: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  <w:r w:rsidR="00506D17"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5F2B0B" w:rsidRPr="00F67781" w:rsidTr="00506D17">
        <w:tc>
          <w:tcPr>
            <w:tcW w:w="2149" w:type="dxa"/>
          </w:tcPr>
          <w:p w:rsidR="005F2B0B" w:rsidRPr="00F67781" w:rsidRDefault="005F2B0B" w:rsidP="00F67781">
            <w:pPr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claim</w:t>
            </w:r>
          </w:p>
        </w:tc>
        <w:tc>
          <w:tcPr>
            <w:tcW w:w="5647" w:type="dxa"/>
          </w:tcPr>
          <w:p w:rsidR="005F2B0B" w:rsidRPr="00F67781" w:rsidRDefault="001E1D4E" w:rsidP="00F6778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Участие в судах в качестве истца (</w:t>
            </w:r>
            <w:r w:rsidR="00F003FA" w:rsidRPr="00F003F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бинарная переменная, были участия – 1, нет - 0</w:t>
            </w: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</w:p>
        </w:tc>
      </w:tr>
      <w:tr w:rsidR="005F2B0B" w:rsidRPr="00F67781" w:rsidTr="00506D17">
        <w:tc>
          <w:tcPr>
            <w:tcW w:w="2149" w:type="dxa"/>
          </w:tcPr>
          <w:p w:rsidR="005F2B0B" w:rsidRPr="00F67781" w:rsidRDefault="001E1D4E" w:rsidP="00F67781">
            <w:pPr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proofErr w:type="spellStart"/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checkauth</w:t>
            </w:r>
            <w:proofErr w:type="spellEnd"/>
          </w:p>
        </w:tc>
        <w:tc>
          <w:tcPr>
            <w:tcW w:w="5647" w:type="dxa"/>
          </w:tcPr>
          <w:p w:rsidR="005F2B0B" w:rsidRPr="00F67781" w:rsidRDefault="001E1D4E" w:rsidP="00F003F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Факт проведения проверок (</w:t>
            </w:r>
            <w:r w:rsidR="00F003FA" w:rsidRPr="00F003F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бинарная переменная, были </w:t>
            </w:r>
            <w:r w:rsidR="00F003F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проверки</w:t>
            </w:r>
            <w:r w:rsidR="00F003FA" w:rsidRPr="00F003F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– 1, нет - 0</w:t>
            </w: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</w:p>
        </w:tc>
      </w:tr>
      <w:tr w:rsidR="005F2B0B" w:rsidRPr="00F67781" w:rsidTr="00506D17">
        <w:tc>
          <w:tcPr>
            <w:tcW w:w="2149" w:type="dxa"/>
          </w:tcPr>
          <w:p w:rsidR="005F2B0B" w:rsidRPr="00F67781" w:rsidRDefault="001E1D4E" w:rsidP="00F67781">
            <w:pPr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proofErr w:type="spellStart"/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vloat</w:t>
            </w:r>
            <w:proofErr w:type="spellEnd"/>
          </w:p>
        </w:tc>
        <w:tc>
          <w:tcPr>
            <w:tcW w:w="5647" w:type="dxa"/>
          </w:tcPr>
          <w:p w:rsidR="005F2B0B" w:rsidRPr="00F67781" w:rsidRDefault="001E1D4E" w:rsidP="00F003F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Факт выявления нарушений после проверок (</w:t>
            </w:r>
            <w:r w:rsidR="00F003F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бинарная переменная, были выявлены нарушения</w:t>
            </w:r>
            <w:r w:rsidR="00F003FA" w:rsidRPr="00F003F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– 1, нет - 0</w:t>
            </w: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</w:p>
        </w:tc>
      </w:tr>
      <w:tr w:rsidR="000244E8" w:rsidRPr="00F67781" w:rsidTr="00506D17">
        <w:tc>
          <w:tcPr>
            <w:tcW w:w="2149" w:type="dxa"/>
          </w:tcPr>
          <w:p w:rsidR="000244E8" w:rsidRPr="00F67781" w:rsidRDefault="000244E8" w:rsidP="00F67781">
            <w:pPr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Event</w:t>
            </w:r>
          </w:p>
        </w:tc>
        <w:tc>
          <w:tcPr>
            <w:tcW w:w="5647" w:type="dxa"/>
          </w:tcPr>
          <w:p w:rsidR="000244E8" w:rsidRPr="00F67781" w:rsidRDefault="000244E8" w:rsidP="00F003F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Наличие существенных событий (</w:t>
            </w:r>
            <w:r w:rsidR="00F003FA" w:rsidRPr="00F003F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бинарная переменная, </w:t>
            </w:r>
            <w:r w:rsidR="00F003F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объявлены события</w:t>
            </w:r>
            <w:r w:rsidR="00F003FA" w:rsidRPr="00F003F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– 1, нет - 0</w:t>
            </w: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</w:p>
        </w:tc>
      </w:tr>
      <w:tr w:rsidR="00F10CCF" w:rsidRPr="00F67781" w:rsidTr="00506D17">
        <w:tc>
          <w:tcPr>
            <w:tcW w:w="2149" w:type="dxa"/>
          </w:tcPr>
          <w:p w:rsidR="00F10CCF" w:rsidRPr="00F67781" w:rsidRDefault="000914FD" w:rsidP="00F6778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Dir</w:t>
            </w:r>
          </w:p>
        </w:tc>
        <w:tc>
          <w:tcPr>
            <w:tcW w:w="5647" w:type="dxa"/>
          </w:tcPr>
          <w:p w:rsidR="00F10CCF" w:rsidRPr="00F67781" w:rsidRDefault="000914FD" w:rsidP="00F003FA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Факт смены директора компании (</w:t>
            </w:r>
            <w:r w:rsidR="00F003FA" w:rsidRPr="00F003F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бинарная переменная, был</w:t>
            </w:r>
            <w:r w:rsidR="00F003F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а смена директора</w:t>
            </w:r>
            <w:r w:rsidR="00F003FA" w:rsidRPr="00F003F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– 1, нет - 0</w:t>
            </w: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</w:p>
        </w:tc>
      </w:tr>
      <w:tr w:rsidR="00133AC6" w:rsidRPr="00F67781" w:rsidTr="00506D17">
        <w:tc>
          <w:tcPr>
            <w:tcW w:w="2149" w:type="dxa"/>
          </w:tcPr>
          <w:p w:rsidR="00133AC6" w:rsidRPr="00F67781" w:rsidRDefault="00133AC6" w:rsidP="00F6778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Type</w:t>
            </w:r>
          </w:p>
        </w:tc>
        <w:tc>
          <w:tcPr>
            <w:tcW w:w="5647" w:type="dxa"/>
          </w:tcPr>
          <w:p w:rsidR="000914FD" w:rsidRPr="00F67781" w:rsidRDefault="00133AC6" w:rsidP="00F6778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Тип организации</w:t>
            </w:r>
            <w:r w:rsidR="000914FD"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:</w:t>
            </w:r>
            <w:r w:rsidR="004F660E"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0914FD"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1 - АО; 2 - ЗАО; 3 - ООО; 4 - ОАО; 5 - ПАО</w:t>
            </w:r>
          </w:p>
        </w:tc>
      </w:tr>
      <w:tr w:rsidR="004226C0" w:rsidRPr="00F67781" w:rsidTr="00506D17">
        <w:tc>
          <w:tcPr>
            <w:tcW w:w="2149" w:type="dxa"/>
          </w:tcPr>
          <w:p w:rsidR="004226C0" w:rsidRPr="00F67781" w:rsidRDefault="004226C0" w:rsidP="00F67781">
            <w:pPr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proofErr w:type="spellStart"/>
            <w:r w:rsidRPr="00F6778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Ind</w:t>
            </w:r>
            <w:proofErr w:type="spellEnd"/>
          </w:p>
        </w:tc>
        <w:tc>
          <w:tcPr>
            <w:tcW w:w="5647" w:type="dxa"/>
          </w:tcPr>
          <w:p w:rsidR="004226C0" w:rsidRPr="00F67781" w:rsidRDefault="000914FD" w:rsidP="00F67781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Тип предприятия:</w:t>
            </w:r>
            <w:r w:rsid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506D17" w:rsidRPr="00F67781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eastAsia="ja-JP"/>
              </w:rPr>
              <w:t xml:space="preserve">(почему нет расшифровки 1 и 2? </w:t>
            </w:r>
            <w:r w:rsidR="00F003FA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eastAsia="ja-JP"/>
              </w:rPr>
              <w:t xml:space="preserve"> - </w:t>
            </w:r>
            <w:r w:rsidR="00F003FA" w:rsidRPr="00F003FA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ja-JP"/>
              </w:rPr>
              <w:t>потому что их нет</w:t>
            </w:r>
            <w:r w:rsidR="00506D17" w:rsidRPr="00F67781">
              <w:rPr>
                <w:rFonts w:ascii="Times New Roman" w:hAnsi="Times New Roman" w:cs="Times New Roman"/>
                <w:i/>
                <w:sz w:val="20"/>
                <w:szCs w:val="20"/>
                <w:highlight w:val="cyan"/>
                <w:lang w:eastAsia="ja-JP"/>
              </w:rPr>
              <w:t>)</w:t>
            </w:r>
            <w:r w:rsidR="00506D17"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F6778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3 - добывающее; 4 - обрабатывающее</w:t>
            </w:r>
          </w:p>
        </w:tc>
      </w:tr>
    </w:tbl>
    <w:p w:rsidR="005A4E4C" w:rsidRPr="00506D17" w:rsidRDefault="005A4E4C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</w:p>
    <w:p w:rsidR="00072856" w:rsidRPr="00F003FA" w:rsidRDefault="00F003FA" w:rsidP="00FA6457">
      <w:pPr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Все переменные</w:t>
      </w:r>
      <w:r w:rsidR="00072856" w:rsidRPr="00506D1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072856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были проверены на нормальность распределения. 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>Однородные значимые</w:t>
      </w:r>
      <w:r w:rsidR="00072856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72856" w:rsidRPr="00F003FA">
        <w:rPr>
          <w:rFonts w:ascii="Times New Roman" w:hAnsi="Times New Roman" w:cs="Times New Roman"/>
          <w:sz w:val="24"/>
          <w:szCs w:val="24"/>
          <w:lang w:eastAsia="ja-JP"/>
        </w:rPr>
        <w:t>факторы</w:t>
      </w:r>
      <w:r w:rsidR="00B221A2" w:rsidRPr="00F003FA"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 w:rsidR="00B221A2" w:rsidRPr="00F003FA">
        <w:rPr>
          <w:rFonts w:ascii="Times New Roman" w:hAnsi="Times New Roman" w:cs="Times New Roman"/>
          <w:sz w:val="24"/>
          <w:szCs w:val="24"/>
          <w:lang w:val="en-US" w:eastAsia="ja-JP"/>
        </w:rPr>
        <w:t>EBIT</w:t>
      </w:r>
      <w:r w:rsidR="00B221A2" w:rsidRPr="00F003FA">
        <w:rPr>
          <w:rFonts w:ascii="Times New Roman" w:hAnsi="Times New Roman" w:cs="Times New Roman"/>
          <w:sz w:val="24"/>
          <w:szCs w:val="24"/>
          <w:lang w:eastAsia="ja-JP"/>
        </w:rPr>
        <w:t xml:space="preserve">, долгосрочные займы, краткосрочные обязательства, </w:t>
      </w:r>
      <w:r w:rsidR="00F67781" w:rsidRPr="00F003FA">
        <w:rPr>
          <w:rFonts w:ascii="Times New Roman" w:hAnsi="Times New Roman" w:cs="Times New Roman"/>
          <w:sz w:val="24"/>
          <w:szCs w:val="24"/>
          <w:lang w:eastAsia="ja-JP"/>
        </w:rPr>
        <w:t>в</w:t>
      </w:r>
      <w:r w:rsidR="00B221A2" w:rsidRPr="00F003FA">
        <w:rPr>
          <w:rFonts w:ascii="Times New Roman" w:hAnsi="Times New Roman" w:cs="Times New Roman"/>
          <w:sz w:val="24"/>
          <w:szCs w:val="24"/>
          <w:lang w:eastAsia="ja-JP"/>
        </w:rPr>
        <w:t>ыручка)</w:t>
      </w:r>
      <w:r w:rsidR="00072856" w:rsidRPr="00F003FA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="00B221A2" w:rsidRPr="00F003FA">
        <w:rPr>
          <w:rFonts w:ascii="Times New Roman" w:hAnsi="Times New Roman" w:cs="Times New Roman"/>
          <w:sz w:val="24"/>
          <w:szCs w:val="24"/>
          <w:lang w:eastAsia="ja-JP"/>
        </w:rPr>
        <w:t xml:space="preserve">продемонстрировали </w:t>
      </w:r>
      <w:r w:rsidR="00072856" w:rsidRPr="00F003FA">
        <w:rPr>
          <w:rFonts w:ascii="Times New Roman" w:hAnsi="Times New Roman" w:cs="Times New Roman"/>
          <w:sz w:val="24"/>
          <w:szCs w:val="24"/>
          <w:lang w:eastAsia="ja-JP"/>
        </w:rPr>
        <w:t xml:space="preserve">высокую </w:t>
      </w:r>
      <w:proofErr w:type="spellStart"/>
      <w:r w:rsidR="00072856" w:rsidRPr="00F003FA">
        <w:rPr>
          <w:rFonts w:ascii="Times New Roman" w:hAnsi="Times New Roman" w:cs="Times New Roman"/>
          <w:sz w:val="24"/>
          <w:szCs w:val="24"/>
          <w:lang w:eastAsia="ja-JP"/>
        </w:rPr>
        <w:t>мультиколлине</w:t>
      </w:r>
      <w:r w:rsidR="00F67781" w:rsidRPr="00F003FA">
        <w:rPr>
          <w:rFonts w:ascii="Times New Roman" w:hAnsi="Times New Roman" w:cs="Times New Roman"/>
          <w:sz w:val="24"/>
          <w:szCs w:val="24"/>
          <w:lang w:eastAsia="ja-JP"/>
        </w:rPr>
        <w:t>а</w:t>
      </w:r>
      <w:r w:rsidR="00072856" w:rsidRPr="00F003FA">
        <w:rPr>
          <w:rFonts w:ascii="Times New Roman" w:hAnsi="Times New Roman" w:cs="Times New Roman"/>
          <w:sz w:val="24"/>
          <w:szCs w:val="24"/>
          <w:lang w:eastAsia="ja-JP"/>
        </w:rPr>
        <w:t>рность</w:t>
      </w:r>
      <w:proofErr w:type="spellEnd"/>
      <w:r w:rsidR="00B221A2" w:rsidRPr="00F003FA">
        <w:rPr>
          <w:rFonts w:ascii="Times New Roman" w:hAnsi="Times New Roman" w:cs="Times New Roman"/>
          <w:sz w:val="24"/>
          <w:szCs w:val="24"/>
          <w:lang w:eastAsia="ja-JP"/>
        </w:rPr>
        <w:t xml:space="preserve"> и </w:t>
      </w:r>
      <w:r w:rsidR="00072856" w:rsidRPr="00F003FA">
        <w:rPr>
          <w:rFonts w:ascii="Times New Roman" w:hAnsi="Times New Roman" w:cs="Times New Roman"/>
          <w:sz w:val="24"/>
          <w:szCs w:val="24"/>
          <w:lang w:eastAsia="ja-JP"/>
        </w:rPr>
        <w:t xml:space="preserve">были свернуты </w:t>
      </w:r>
      <w:r w:rsidRPr="00F003FA">
        <w:rPr>
          <w:rFonts w:ascii="Times New Roman" w:hAnsi="Times New Roman" w:cs="Times New Roman"/>
          <w:sz w:val="24"/>
          <w:szCs w:val="24"/>
          <w:lang w:eastAsia="ja-JP"/>
        </w:rPr>
        <w:t xml:space="preserve">в единую </w:t>
      </w:r>
      <w:r w:rsidR="00072856" w:rsidRPr="00F003FA">
        <w:rPr>
          <w:rFonts w:ascii="Times New Roman" w:hAnsi="Times New Roman" w:cs="Times New Roman"/>
          <w:sz w:val="24"/>
          <w:szCs w:val="24"/>
          <w:lang w:eastAsia="ja-JP"/>
        </w:rPr>
        <w:t xml:space="preserve">переменную </w:t>
      </w:r>
      <w:r w:rsidRPr="00F003FA">
        <w:rPr>
          <w:rFonts w:ascii="Times New Roman" w:hAnsi="Times New Roman" w:cs="Times New Roman"/>
          <w:sz w:val="24"/>
          <w:szCs w:val="24"/>
          <w:lang w:eastAsia="ja-JP"/>
        </w:rPr>
        <w:t>(</w:t>
      </w:r>
      <w:r w:rsidR="00072856" w:rsidRPr="00F003FA">
        <w:rPr>
          <w:rFonts w:ascii="Times New Roman" w:hAnsi="Times New Roman" w:cs="Times New Roman"/>
          <w:sz w:val="24"/>
          <w:szCs w:val="24"/>
          <w:highlight w:val="green"/>
          <w:lang w:val="en-US" w:eastAsia="ja-JP"/>
        </w:rPr>
        <w:t>A</w:t>
      </w:r>
      <w:r w:rsidR="00072856" w:rsidRPr="00F003FA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>-</w:t>
      </w:r>
      <w:proofErr w:type="gramStart"/>
      <w:r w:rsidR="00072856" w:rsidRPr="00F003FA">
        <w:rPr>
          <w:rFonts w:ascii="Times New Roman" w:hAnsi="Times New Roman" w:cs="Times New Roman"/>
          <w:sz w:val="24"/>
          <w:szCs w:val="24"/>
          <w:highlight w:val="green"/>
          <w:lang w:val="en-US" w:eastAsia="ja-JP"/>
        </w:rPr>
        <w:t>R</w:t>
      </w:r>
      <w:r w:rsidR="00072856" w:rsidRPr="00F003FA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  </w:t>
      </w:r>
      <w:r w:rsidR="00072856" w:rsidRPr="00F003FA">
        <w:rPr>
          <w:rFonts w:ascii="Times New Roman" w:hAnsi="Times New Roman" w:cs="Times New Roman"/>
          <w:sz w:val="24"/>
          <w:szCs w:val="24"/>
          <w:highlight w:val="green"/>
          <w:lang w:val="en-US" w:eastAsia="ja-JP"/>
        </w:rPr>
        <w:t>factor</w:t>
      </w:r>
      <w:proofErr w:type="gramEnd"/>
      <w:r w:rsidR="00072856" w:rsidRPr="00F003FA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 </w:t>
      </w:r>
      <w:r w:rsidR="00072856" w:rsidRPr="00F003FA">
        <w:rPr>
          <w:rFonts w:ascii="Times New Roman" w:hAnsi="Times New Roman" w:cs="Times New Roman"/>
          <w:sz w:val="24"/>
          <w:szCs w:val="24"/>
          <w:highlight w:val="green"/>
          <w:lang w:val="en-US" w:eastAsia="ja-JP"/>
        </w:rPr>
        <w:t>score</w:t>
      </w:r>
      <w:r w:rsidR="00072856" w:rsidRPr="00F003FA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 1 </w:t>
      </w:r>
      <w:proofErr w:type="spellStart"/>
      <w:r w:rsidR="00072856" w:rsidRPr="00F003FA">
        <w:rPr>
          <w:rFonts w:ascii="Times New Roman" w:hAnsi="Times New Roman" w:cs="Times New Roman"/>
          <w:sz w:val="24"/>
          <w:szCs w:val="24"/>
          <w:highlight w:val="green"/>
          <w:lang w:val="en-US" w:eastAsia="ja-JP"/>
        </w:rPr>
        <w:t>foranalysis</w:t>
      </w:r>
      <w:proofErr w:type="spellEnd"/>
      <w:r w:rsidR="00072856" w:rsidRPr="00F003FA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 1</w:t>
      </w:r>
      <w:r w:rsidR="00F67781" w:rsidRPr="00F003FA">
        <w:rPr>
          <w:rFonts w:ascii="Times New Roman" w:hAnsi="Times New Roman" w:cs="Times New Roman"/>
          <w:sz w:val="24"/>
          <w:szCs w:val="24"/>
          <w:highlight w:val="cyan"/>
          <w:lang w:eastAsia="ja-JP"/>
        </w:rPr>
        <w:t>)</w:t>
      </w:r>
      <w:r w:rsidR="00072856" w:rsidRPr="00F003FA">
        <w:rPr>
          <w:rFonts w:ascii="Times New Roman" w:hAnsi="Times New Roman" w:cs="Times New Roman"/>
          <w:sz w:val="24"/>
          <w:szCs w:val="24"/>
          <w:lang w:eastAsia="ja-JP"/>
        </w:rPr>
        <w:t xml:space="preserve">. Процент </w:t>
      </w:r>
      <w:r w:rsidRPr="00F003FA">
        <w:rPr>
          <w:rFonts w:ascii="Times New Roman" w:hAnsi="Times New Roman" w:cs="Times New Roman"/>
          <w:i/>
          <w:sz w:val="24"/>
          <w:szCs w:val="24"/>
          <w:highlight w:val="cyan"/>
          <w:lang w:eastAsia="ja-JP"/>
        </w:rPr>
        <w:t>свертки</w:t>
      </w:r>
      <w:r w:rsidR="00072856" w:rsidRPr="00F003FA">
        <w:rPr>
          <w:rFonts w:ascii="Times New Roman" w:hAnsi="Times New Roman" w:cs="Times New Roman"/>
          <w:sz w:val="24"/>
          <w:szCs w:val="24"/>
          <w:lang w:eastAsia="ja-JP"/>
        </w:rPr>
        <w:t xml:space="preserve"> был оценен при помощи теста </w:t>
      </w:r>
      <w:proofErr w:type="spellStart"/>
      <w:r w:rsidR="00072856" w:rsidRPr="00F003FA">
        <w:rPr>
          <w:rFonts w:ascii="Times New Roman" w:hAnsi="Times New Roman" w:cs="Times New Roman"/>
          <w:sz w:val="24"/>
          <w:szCs w:val="24"/>
          <w:lang w:eastAsia="ja-JP"/>
        </w:rPr>
        <w:t>Барлетта</w:t>
      </w:r>
      <w:proofErr w:type="spellEnd"/>
      <w:r w:rsidR="00072856" w:rsidRPr="00F003FA">
        <w:rPr>
          <w:rFonts w:ascii="Times New Roman" w:hAnsi="Times New Roman" w:cs="Times New Roman"/>
          <w:sz w:val="24"/>
          <w:szCs w:val="24"/>
          <w:lang w:eastAsia="ja-JP"/>
        </w:rPr>
        <w:t xml:space="preserve">, процент свертки </w:t>
      </w:r>
      <w:r w:rsidR="00F67781" w:rsidRPr="00F003FA">
        <w:rPr>
          <w:rFonts w:ascii="Times New Roman" w:hAnsi="Times New Roman" w:cs="Times New Roman"/>
          <w:sz w:val="24"/>
          <w:szCs w:val="24"/>
          <w:lang w:eastAsia="ja-JP"/>
        </w:rPr>
        <w:t xml:space="preserve">— </w:t>
      </w:r>
      <w:r w:rsidR="00072856" w:rsidRPr="00F003FA">
        <w:rPr>
          <w:rFonts w:ascii="Times New Roman" w:hAnsi="Times New Roman" w:cs="Times New Roman"/>
          <w:sz w:val="24"/>
          <w:szCs w:val="24"/>
          <w:lang w:eastAsia="ja-JP"/>
        </w:rPr>
        <w:t>7</w:t>
      </w:r>
      <w:r w:rsidR="00D32EB6" w:rsidRPr="00F003FA">
        <w:rPr>
          <w:rFonts w:ascii="Times New Roman" w:hAnsi="Times New Roman" w:cs="Times New Roman"/>
          <w:sz w:val="24"/>
          <w:szCs w:val="24"/>
          <w:lang w:eastAsia="ja-JP"/>
        </w:rPr>
        <w:t>3</w:t>
      </w:r>
      <w:r w:rsidR="00072856" w:rsidRPr="00F003FA">
        <w:rPr>
          <w:rFonts w:ascii="Times New Roman" w:hAnsi="Times New Roman" w:cs="Times New Roman"/>
          <w:sz w:val="24"/>
          <w:szCs w:val="24"/>
          <w:lang w:eastAsia="ja-JP"/>
        </w:rPr>
        <w:t xml:space="preserve">% </w:t>
      </w:r>
      <w:r w:rsidR="00072856" w:rsidRPr="00F003FA">
        <w:rPr>
          <w:rFonts w:ascii="Times New Roman" w:hAnsi="Times New Roman" w:cs="Times New Roman"/>
          <w:sz w:val="24"/>
          <w:szCs w:val="24"/>
          <w:highlight w:val="yellow"/>
          <w:lang w:eastAsia="ja-JP"/>
        </w:rPr>
        <w:t>(табл</w:t>
      </w:r>
      <w:r w:rsidR="00F67781" w:rsidRPr="00F003FA">
        <w:rPr>
          <w:rFonts w:ascii="Times New Roman" w:hAnsi="Times New Roman" w:cs="Times New Roman"/>
          <w:sz w:val="24"/>
          <w:szCs w:val="24"/>
          <w:highlight w:val="yellow"/>
          <w:lang w:eastAsia="ja-JP"/>
        </w:rPr>
        <w:t xml:space="preserve">. </w:t>
      </w:r>
      <w:r w:rsidR="00072856" w:rsidRPr="00F003FA">
        <w:rPr>
          <w:rFonts w:ascii="Times New Roman" w:hAnsi="Times New Roman" w:cs="Times New Roman"/>
          <w:sz w:val="24"/>
          <w:szCs w:val="24"/>
          <w:highlight w:val="yellow"/>
          <w:lang w:eastAsia="ja-JP"/>
        </w:rPr>
        <w:t>2 и 3).</w:t>
      </w:r>
    </w:p>
    <w:p w:rsidR="00F67781" w:rsidRPr="00F003FA" w:rsidRDefault="00F67781" w:rsidP="00FA6457">
      <w:pPr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072856" w:rsidRPr="00F003FA" w:rsidRDefault="00072856" w:rsidP="00FA645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003FA">
        <w:rPr>
          <w:rFonts w:ascii="Times New Roman" w:hAnsi="Times New Roman" w:cs="Times New Roman"/>
          <w:b/>
          <w:sz w:val="24"/>
          <w:szCs w:val="24"/>
          <w:highlight w:val="yellow"/>
        </w:rPr>
        <w:t>Таблица 2</w:t>
      </w:r>
    </w:p>
    <w:p w:rsidR="00072856" w:rsidRDefault="00EE1F9A" w:rsidP="00FA64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03FA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KMO</w:t>
      </w:r>
      <w:r w:rsidRPr="00F003F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003FA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and</w:t>
      </w:r>
      <w:r w:rsidRPr="00F003F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003FA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Bartlett</w:t>
      </w:r>
      <w:r w:rsidRPr="00F003F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'</w:t>
      </w:r>
      <w:r w:rsidRPr="00F003FA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s</w:t>
      </w:r>
      <w:r w:rsidRPr="00F003F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003FA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Test</w:t>
      </w:r>
    </w:p>
    <w:p w:rsidR="00F003FA" w:rsidRPr="00F003FA" w:rsidRDefault="00F003FA" w:rsidP="00FA64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1529"/>
      </w:tblGrid>
      <w:tr w:rsidR="00F003FA" w:rsidRPr="00F003FA" w:rsidTr="00F003FA">
        <w:trPr>
          <w:cantSplit/>
          <w:jc w:val="center"/>
        </w:trPr>
        <w:tc>
          <w:tcPr>
            <w:tcW w:w="3720" w:type="dxa"/>
            <w:shd w:val="clear" w:color="auto" w:fill="auto"/>
          </w:tcPr>
          <w:p w:rsidR="00EE1F9A" w:rsidRPr="00F003FA" w:rsidRDefault="00F003FA" w:rsidP="00F003F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Тест</w:t>
            </w:r>
          </w:p>
        </w:tc>
        <w:tc>
          <w:tcPr>
            <w:tcW w:w="1529" w:type="dxa"/>
            <w:shd w:val="clear" w:color="auto" w:fill="FFFFFF"/>
          </w:tcPr>
          <w:p w:rsidR="00EE1F9A" w:rsidRPr="00F003FA" w:rsidRDefault="00F003FA" w:rsidP="00EE1F9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003FA" w:rsidRPr="00F003FA" w:rsidTr="00F003FA">
        <w:trPr>
          <w:cantSplit/>
          <w:jc w:val="center"/>
        </w:trPr>
        <w:tc>
          <w:tcPr>
            <w:tcW w:w="3720" w:type="dxa"/>
            <w:shd w:val="clear" w:color="auto" w:fill="auto"/>
          </w:tcPr>
          <w:p w:rsidR="00EE1F9A" w:rsidRPr="00F003FA" w:rsidRDefault="00EE1F9A" w:rsidP="00EE1F9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Kaiser-Meyer-</w:t>
            </w:r>
            <w:proofErr w:type="spellStart"/>
            <w:r w:rsidRPr="00F00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Olkin</w:t>
            </w:r>
            <w:proofErr w:type="spellEnd"/>
            <w:r w:rsidRPr="00F00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Measure of Sampling Adequacy.</w:t>
            </w:r>
          </w:p>
        </w:tc>
        <w:tc>
          <w:tcPr>
            <w:tcW w:w="1529" w:type="dxa"/>
            <w:shd w:val="clear" w:color="auto" w:fill="FFFFFF"/>
          </w:tcPr>
          <w:p w:rsidR="00EE1F9A" w:rsidRPr="00F003FA" w:rsidRDefault="00EE1F9A" w:rsidP="00EE1F9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0,758</w:t>
            </w:r>
          </w:p>
        </w:tc>
      </w:tr>
      <w:tr w:rsidR="00F003FA" w:rsidRPr="00F003FA" w:rsidTr="00F003FA">
        <w:trPr>
          <w:cantSplit/>
          <w:trHeight w:val="982"/>
          <w:jc w:val="center"/>
        </w:trPr>
        <w:tc>
          <w:tcPr>
            <w:tcW w:w="3720" w:type="dxa"/>
            <w:shd w:val="clear" w:color="auto" w:fill="auto"/>
          </w:tcPr>
          <w:p w:rsidR="00EE1F9A" w:rsidRPr="00F003FA" w:rsidRDefault="00EE1F9A" w:rsidP="00EE1F9A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Bartlett's Test of </w:t>
            </w:r>
            <w:proofErr w:type="spellStart"/>
            <w:r w:rsidRPr="00F00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Sphericity</w:t>
            </w:r>
            <w:proofErr w:type="spellEnd"/>
            <w:r w:rsidRPr="00F00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E1F9A" w:rsidRPr="00F003FA" w:rsidRDefault="00EE1F9A" w:rsidP="00EE1F9A">
            <w:pPr>
              <w:autoSpaceDE w:val="0"/>
              <w:autoSpaceDN w:val="0"/>
              <w:adjustRightInd w:val="0"/>
              <w:spacing w:after="0" w:line="240" w:lineRule="auto"/>
              <w:ind w:left="708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Approx. Chi-Square</w:t>
            </w:r>
          </w:p>
          <w:p w:rsidR="00EE1F9A" w:rsidRPr="00F003FA" w:rsidRDefault="00EE1F9A" w:rsidP="00EE1F9A">
            <w:pPr>
              <w:autoSpaceDE w:val="0"/>
              <w:autoSpaceDN w:val="0"/>
              <w:adjustRightInd w:val="0"/>
              <w:spacing w:after="0" w:line="240" w:lineRule="auto"/>
              <w:ind w:left="708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  <w:p w:rsidR="00EE1F9A" w:rsidRPr="00F003FA" w:rsidRDefault="00EE1F9A" w:rsidP="00EE1F9A">
            <w:pPr>
              <w:autoSpaceDE w:val="0"/>
              <w:autoSpaceDN w:val="0"/>
              <w:adjustRightInd w:val="0"/>
              <w:spacing w:after="0" w:line="240" w:lineRule="auto"/>
              <w:ind w:left="708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  <w:proofErr w:type="spellEnd"/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shd w:val="clear" w:color="auto" w:fill="FFFFFF"/>
          </w:tcPr>
          <w:p w:rsidR="00F003FA" w:rsidRDefault="00F003FA" w:rsidP="00EE1F9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9A" w:rsidRPr="00F003FA" w:rsidRDefault="00EE1F9A" w:rsidP="00EE1F9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2202,662</w:t>
            </w:r>
          </w:p>
          <w:p w:rsidR="00EE1F9A" w:rsidRPr="00F003FA" w:rsidRDefault="00EE1F9A" w:rsidP="00EE1F9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1F9A" w:rsidRPr="00F003FA" w:rsidRDefault="00EE1F9A" w:rsidP="00EE1F9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072856" w:rsidRPr="00F003FA" w:rsidRDefault="00072856" w:rsidP="00FA645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003FA">
        <w:rPr>
          <w:rFonts w:ascii="Times New Roman" w:hAnsi="Times New Roman" w:cs="Times New Roman"/>
          <w:b/>
          <w:sz w:val="24"/>
          <w:szCs w:val="24"/>
          <w:highlight w:val="yellow"/>
        </w:rPr>
        <w:t>Таблица 3</w:t>
      </w:r>
      <w:r w:rsidR="00F67781" w:rsidRPr="00F003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072856" w:rsidRDefault="00F003FA" w:rsidP="00FA64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003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Общности </w:t>
      </w:r>
    </w:p>
    <w:p w:rsidR="00F003FA" w:rsidRPr="00F003FA" w:rsidRDefault="00F003FA" w:rsidP="00FA64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1337"/>
        <w:gridCol w:w="1684"/>
      </w:tblGrid>
      <w:tr w:rsidR="00C87165" w:rsidRPr="00F003FA" w:rsidTr="00EE1F9A">
        <w:trPr>
          <w:cantSplit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856" w:rsidRPr="00F003FA" w:rsidRDefault="00F003FA" w:rsidP="00F6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856" w:rsidRPr="00F003FA" w:rsidRDefault="00F003FA" w:rsidP="00FA6457">
            <w:pPr>
              <w:autoSpaceDE w:val="0"/>
              <w:autoSpaceDN w:val="0"/>
              <w:adjustRightInd w:val="0"/>
              <w:spacing w:after="0" w:line="240" w:lineRule="auto"/>
              <w:ind w:right="6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Первоначальное значение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856" w:rsidRPr="00F003FA" w:rsidRDefault="00F003FA" w:rsidP="00FA6457">
            <w:pPr>
              <w:autoSpaceDE w:val="0"/>
              <w:autoSpaceDN w:val="0"/>
              <w:adjustRightInd w:val="0"/>
              <w:spacing w:after="0" w:line="240" w:lineRule="auto"/>
              <w:ind w:right="6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Доля изъятия</w:t>
            </w:r>
          </w:p>
        </w:tc>
      </w:tr>
      <w:tr w:rsidR="00C87165" w:rsidRPr="00F003FA" w:rsidTr="00F67781">
        <w:trPr>
          <w:cantSplit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6" w:rsidRPr="00F003FA" w:rsidRDefault="00072856" w:rsidP="00F6778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2013, EBIT, RUB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56" w:rsidRPr="00F003FA" w:rsidRDefault="00072856" w:rsidP="00FA6457">
            <w:pPr>
              <w:autoSpaceDE w:val="0"/>
              <w:autoSpaceDN w:val="0"/>
              <w:adjustRightInd w:val="0"/>
              <w:spacing w:after="0" w:line="240" w:lineRule="auto"/>
              <w:ind w:right="60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56" w:rsidRPr="00F003FA" w:rsidRDefault="00F67781" w:rsidP="00FA6457">
            <w:pPr>
              <w:autoSpaceDE w:val="0"/>
              <w:autoSpaceDN w:val="0"/>
              <w:adjustRightInd w:val="0"/>
              <w:spacing w:after="0" w:line="240" w:lineRule="auto"/>
              <w:ind w:right="60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856" w:rsidRPr="00F003FA">
              <w:rPr>
                <w:rFonts w:ascii="Times New Roman" w:hAnsi="Times New Roman" w:cs="Times New Roman"/>
                <w:sz w:val="24"/>
                <w:szCs w:val="24"/>
              </w:rPr>
              <w:t>,491</w:t>
            </w:r>
          </w:p>
        </w:tc>
      </w:tr>
      <w:tr w:rsidR="00C87165" w:rsidRPr="00F003FA" w:rsidTr="00F67781">
        <w:trPr>
          <w:cantSplit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6" w:rsidRPr="00F003FA" w:rsidRDefault="00072856" w:rsidP="00F6778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Longterm_liab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56" w:rsidRPr="00F003FA" w:rsidRDefault="00072856" w:rsidP="00FA6457">
            <w:pPr>
              <w:autoSpaceDE w:val="0"/>
              <w:autoSpaceDN w:val="0"/>
              <w:adjustRightInd w:val="0"/>
              <w:spacing w:after="0" w:line="240" w:lineRule="auto"/>
              <w:ind w:right="60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56" w:rsidRPr="00F003FA" w:rsidRDefault="00F67781" w:rsidP="00FA6457">
            <w:pPr>
              <w:autoSpaceDE w:val="0"/>
              <w:autoSpaceDN w:val="0"/>
              <w:adjustRightInd w:val="0"/>
              <w:spacing w:after="0" w:line="240" w:lineRule="auto"/>
              <w:ind w:right="60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856" w:rsidRPr="00F003FA">
              <w:rPr>
                <w:rFonts w:ascii="Times New Roman" w:hAnsi="Times New Roman" w:cs="Times New Roman"/>
                <w:sz w:val="24"/>
                <w:szCs w:val="24"/>
              </w:rPr>
              <w:t>,787</w:t>
            </w:r>
          </w:p>
        </w:tc>
      </w:tr>
      <w:tr w:rsidR="00C87165" w:rsidRPr="00F003FA" w:rsidTr="00F67781">
        <w:trPr>
          <w:cantSplit/>
          <w:trHeight w:val="141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6" w:rsidRPr="00F003FA" w:rsidRDefault="00072856" w:rsidP="00F6778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SHTliabiliyies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56" w:rsidRPr="00F003FA" w:rsidRDefault="00072856" w:rsidP="00FA6457">
            <w:pPr>
              <w:autoSpaceDE w:val="0"/>
              <w:autoSpaceDN w:val="0"/>
              <w:adjustRightInd w:val="0"/>
              <w:spacing w:after="0" w:line="240" w:lineRule="auto"/>
              <w:ind w:right="60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56" w:rsidRPr="00F003FA" w:rsidRDefault="00F67781" w:rsidP="00FA6457">
            <w:pPr>
              <w:autoSpaceDE w:val="0"/>
              <w:autoSpaceDN w:val="0"/>
              <w:adjustRightInd w:val="0"/>
              <w:spacing w:after="0" w:line="240" w:lineRule="auto"/>
              <w:ind w:right="60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856" w:rsidRPr="00F003FA">
              <w:rPr>
                <w:rFonts w:ascii="Times New Roman" w:hAnsi="Times New Roman" w:cs="Times New Roman"/>
                <w:sz w:val="24"/>
                <w:szCs w:val="24"/>
              </w:rPr>
              <w:t>,800</w:t>
            </w:r>
          </w:p>
        </w:tc>
      </w:tr>
      <w:tr w:rsidR="00C87165" w:rsidRPr="00F003FA" w:rsidTr="00F67781">
        <w:trPr>
          <w:cantSplit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6" w:rsidRPr="00F003FA" w:rsidRDefault="00072856" w:rsidP="00F6778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56" w:rsidRPr="00F003FA" w:rsidRDefault="00072856" w:rsidP="00FA6457">
            <w:pPr>
              <w:autoSpaceDE w:val="0"/>
              <w:autoSpaceDN w:val="0"/>
              <w:adjustRightInd w:val="0"/>
              <w:spacing w:after="0" w:line="240" w:lineRule="auto"/>
              <w:ind w:right="60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56" w:rsidRPr="00F003FA" w:rsidRDefault="00F67781" w:rsidP="00FA6457">
            <w:pPr>
              <w:autoSpaceDE w:val="0"/>
              <w:autoSpaceDN w:val="0"/>
              <w:adjustRightInd w:val="0"/>
              <w:spacing w:after="0" w:line="240" w:lineRule="auto"/>
              <w:ind w:right="60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856" w:rsidRPr="00F003FA">
              <w:rPr>
                <w:rFonts w:ascii="Times New Roman" w:hAnsi="Times New Roman" w:cs="Times New Roman"/>
                <w:sz w:val="24"/>
                <w:szCs w:val="24"/>
              </w:rPr>
              <w:t>,831</w:t>
            </w:r>
          </w:p>
        </w:tc>
      </w:tr>
      <w:tr w:rsidR="00F003FA" w:rsidRPr="00F003FA" w:rsidTr="00EE1F9A">
        <w:trPr>
          <w:cantSplit/>
          <w:jc w:val="center"/>
        </w:trPr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56" w:rsidRPr="00F003FA" w:rsidRDefault="00F003FA" w:rsidP="00F003FA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Метод изъятия</w:t>
            </w:r>
            <w:r w:rsidR="00072856" w:rsidRPr="00F003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: </w:t>
            </w:r>
            <w:r w:rsidRPr="00F003FA">
              <w:rPr>
                <w:rFonts w:ascii="Times New Roman" w:hAnsi="Times New Roman" w:cs="Times New Roman"/>
                <w:sz w:val="24"/>
                <w:szCs w:val="24"/>
              </w:rPr>
              <w:t>Метод главных компонент</w:t>
            </w:r>
          </w:p>
        </w:tc>
      </w:tr>
    </w:tbl>
    <w:p w:rsidR="00072856" w:rsidRPr="00EE1F9A" w:rsidRDefault="00072856" w:rsidP="00FA6457">
      <w:pPr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003FA" w:rsidRDefault="00F003FA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</w:p>
    <w:p w:rsidR="0013792A" w:rsidRPr="006F4192" w:rsidRDefault="0013792A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r w:rsidRPr="006F4192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Переменная </w:t>
      </w:r>
      <w:proofErr w:type="spellStart"/>
      <w:r w:rsidRPr="006F4192">
        <w:rPr>
          <w:rFonts w:ascii="Times New Roman" w:hAnsi="Times New Roman" w:cs="Times New Roman"/>
          <w:i/>
          <w:sz w:val="24"/>
          <w:szCs w:val="24"/>
          <w:lang w:val="en-US" w:eastAsia="ja-JP"/>
        </w:rPr>
        <w:t>Adm</w:t>
      </w:r>
      <w:proofErr w:type="spellEnd"/>
      <w:r w:rsidRPr="006F4192">
        <w:rPr>
          <w:rFonts w:ascii="Times New Roman" w:hAnsi="Times New Roman" w:cs="Times New Roman"/>
          <w:i/>
          <w:sz w:val="24"/>
          <w:szCs w:val="24"/>
          <w:lang w:eastAsia="ja-JP"/>
        </w:rPr>
        <w:t>/</w:t>
      </w:r>
      <w:r w:rsidRPr="006F4192">
        <w:rPr>
          <w:rFonts w:ascii="Times New Roman" w:hAnsi="Times New Roman" w:cs="Times New Roman"/>
          <w:i/>
          <w:sz w:val="24"/>
          <w:szCs w:val="24"/>
          <w:lang w:val="en-US" w:eastAsia="ja-JP"/>
        </w:rPr>
        <w:t>sales</w:t>
      </w:r>
      <w:r w:rsidRPr="006F4192">
        <w:rPr>
          <w:rFonts w:ascii="Times New Roman" w:hAnsi="Times New Roman" w:cs="Times New Roman"/>
          <w:i/>
          <w:sz w:val="24"/>
          <w:szCs w:val="24"/>
          <w:lang w:eastAsia="ja-JP"/>
        </w:rPr>
        <w:t>*</w:t>
      </w:r>
      <w:proofErr w:type="spellStart"/>
      <w:r w:rsidRPr="006F4192">
        <w:rPr>
          <w:rFonts w:ascii="Times New Roman" w:hAnsi="Times New Roman" w:cs="Times New Roman"/>
          <w:i/>
          <w:sz w:val="24"/>
          <w:szCs w:val="24"/>
          <w:lang w:val="en-US" w:eastAsia="ja-JP"/>
        </w:rPr>
        <w:t>varEVA</w:t>
      </w:r>
      <w:proofErr w:type="spellEnd"/>
      <w:r w:rsidR="00687908" w:rsidRPr="006F4192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используется только на этапе проверки переменных на нормальность распределения, в самой модели </w:t>
      </w:r>
      <w:r w:rsidR="007F5726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переменная не учитывается. Основным способом оценки состоятельности формулы является переменная </w:t>
      </w:r>
      <w:proofErr w:type="spellStart"/>
      <w:r w:rsidR="007F5726" w:rsidRPr="006F4192">
        <w:rPr>
          <w:rFonts w:ascii="Times New Roman" w:hAnsi="Times New Roman" w:cs="Times New Roman"/>
          <w:i/>
          <w:sz w:val="24"/>
          <w:szCs w:val="24"/>
          <w:lang w:val="en-US" w:eastAsia="ja-JP"/>
        </w:rPr>
        <w:t>varEVA</w:t>
      </w:r>
      <w:proofErr w:type="spellEnd"/>
      <w:r w:rsidR="007F5726" w:rsidRPr="006F4192">
        <w:rPr>
          <w:rFonts w:ascii="Times New Roman" w:hAnsi="Times New Roman" w:cs="Times New Roman"/>
          <w:sz w:val="24"/>
          <w:szCs w:val="24"/>
          <w:lang w:eastAsia="ja-JP"/>
        </w:rPr>
        <w:t>, значимость которой и будет проверяться.</w:t>
      </w:r>
      <w:r w:rsidR="005665D0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В </w:t>
      </w:r>
      <w:r w:rsidR="006F08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5665D0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эмпирическо</w:t>
      </w:r>
      <w:r w:rsidR="006F08C9">
        <w:rPr>
          <w:rFonts w:ascii="Times New Roman" w:hAnsi="Times New Roman" w:cs="Times New Roman"/>
          <w:sz w:val="24"/>
          <w:szCs w:val="24"/>
          <w:lang w:eastAsia="ja-JP"/>
        </w:rPr>
        <w:t>м</w:t>
      </w:r>
      <w:r w:rsidR="005665D0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исследовани</w:t>
      </w:r>
      <w:r w:rsidR="006F08C9">
        <w:rPr>
          <w:rFonts w:ascii="Times New Roman" w:hAnsi="Times New Roman" w:cs="Times New Roman"/>
          <w:sz w:val="24"/>
          <w:szCs w:val="24"/>
          <w:lang w:eastAsia="ja-JP"/>
        </w:rPr>
        <w:t>и</w:t>
      </w:r>
      <w:r w:rsidR="005665D0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выдвигается </w:t>
      </w:r>
      <w:r w:rsidR="006F08C9">
        <w:rPr>
          <w:rFonts w:ascii="Times New Roman" w:hAnsi="Times New Roman" w:cs="Times New Roman"/>
          <w:sz w:val="24"/>
          <w:szCs w:val="24"/>
          <w:lang w:eastAsia="ja-JP"/>
        </w:rPr>
        <w:t>гипотеза</w:t>
      </w:r>
      <w:r w:rsidR="005665D0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о том, что переменная </w:t>
      </w:r>
      <w:proofErr w:type="spellStart"/>
      <w:r w:rsidR="005665D0" w:rsidRPr="006F4192">
        <w:rPr>
          <w:rFonts w:ascii="Times New Roman" w:hAnsi="Times New Roman" w:cs="Times New Roman"/>
          <w:i/>
          <w:sz w:val="24"/>
          <w:szCs w:val="24"/>
          <w:lang w:val="en-US" w:eastAsia="ja-JP"/>
        </w:rPr>
        <w:t>varEVA</w:t>
      </w:r>
      <w:proofErr w:type="spellEnd"/>
      <w:r w:rsidR="005665D0"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значимо влияет на объем управленческих расходов.</w:t>
      </w:r>
    </w:p>
    <w:p w:rsidR="00B74C39" w:rsidRPr="006F4192" w:rsidRDefault="00B74C39" w:rsidP="00FA645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</w:p>
    <w:p w:rsidR="003A3E93" w:rsidRPr="006F4192" w:rsidRDefault="003A3E93" w:rsidP="00FA645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ja-JP"/>
        </w:rPr>
      </w:pPr>
      <w:bookmarkStart w:id="3" w:name="_Toc8923039"/>
      <w:r w:rsidRPr="006F4192">
        <w:rPr>
          <w:rFonts w:ascii="Times New Roman" w:hAnsi="Times New Roman" w:cs="Times New Roman"/>
          <w:b/>
          <w:sz w:val="24"/>
          <w:szCs w:val="24"/>
          <w:lang w:eastAsia="ja-JP"/>
        </w:rPr>
        <w:t>Основные результаты</w:t>
      </w:r>
      <w:bookmarkEnd w:id="3"/>
      <w:r w:rsidR="00896377" w:rsidRPr="006F4192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эмпирического исследования</w:t>
      </w:r>
    </w:p>
    <w:p w:rsidR="002E40C7" w:rsidRPr="006F08C9" w:rsidRDefault="00F10CCF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Предварительная оценка модели на значимость с помощью дисперсионного анализа показала значимость модели</w:t>
      </w:r>
      <w:r w:rsidR="004A7738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7738" w:rsidRPr="006F08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</w:t>
      </w:r>
      <w:r w:rsidR="006F08C9" w:rsidRPr="006F08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</w:t>
      </w:r>
      <w:r w:rsidR="00E03DFB" w:rsidRPr="006F08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абл</w:t>
      </w:r>
      <w:r w:rsidR="006F08C9" w:rsidRPr="006F08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. </w:t>
      </w:r>
      <w:r w:rsidR="00D32EB6" w:rsidRPr="006F08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4</w:t>
      </w:r>
      <w:r w:rsidR="004A7738" w:rsidRPr="006F08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6F08C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6F08C9" w:rsidRPr="006F08C9" w:rsidRDefault="0059479F" w:rsidP="00FA64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08C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Таблица </w:t>
      </w:r>
      <w:r w:rsidR="00D32EB6" w:rsidRPr="006F08C9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4</w:t>
      </w:r>
      <w:r w:rsidR="006F08C9" w:rsidRPr="006F08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F08C9" w:rsidRPr="00F003FA" w:rsidRDefault="00F003FA" w:rsidP="00F003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10205"/>
          <w:sz w:val="24"/>
          <w:szCs w:val="24"/>
          <w:vertAlign w:val="superscript"/>
          <w:lang w:eastAsia="en-US"/>
        </w:rPr>
      </w:pPr>
      <w:r w:rsidRPr="00F003FA">
        <w:rPr>
          <w:rFonts w:ascii="Times New Roman" w:eastAsia="Calibri" w:hAnsi="Times New Roman" w:cs="Times New Roman"/>
          <w:b/>
          <w:bCs/>
          <w:color w:val="010205"/>
          <w:sz w:val="24"/>
          <w:szCs w:val="24"/>
          <w:highlight w:val="green"/>
          <w:lang w:eastAsia="en-US"/>
        </w:rPr>
        <w:t>Анализ дисперсии</w:t>
      </w:r>
    </w:p>
    <w:p w:rsidR="00F003FA" w:rsidRPr="00F003FA" w:rsidRDefault="00F003FA" w:rsidP="00FA645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color w:val="010205"/>
          <w:sz w:val="24"/>
          <w:szCs w:val="24"/>
          <w:lang w:eastAsia="en-US"/>
        </w:rPr>
      </w:pPr>
    </w:p>
    <w:p w:rsidR="006F08C9" w:rsidRPr="00F003FA" w:rsidRDefault="006F08C9" w:rsidP="00FA64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647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1969"/>
        <w:gridCol w:w="992"/>
        <w:gridCol w:w="2014"/>
        <w:gridCol w:w="821"/>
        <w:gridCol w:w="1559"/>
      </w:tblGrid>
      <w:tr w:rsidR="006F08C9" w:rsidRPr="00F003FA" w:rsidTr="00F003FA">
        <w:trPr>
          <w:cantSplit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C9" w:rsidRPr="00F003FA" w:rsidRDefault="00F003FA" w:rsidP="00F003F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highlight w:val="green"/>
                <w:lang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highlight w:val="green"/>
                <w:lang w:eastAsia="en-US"/>
              </w:rPr>
              <w:t>Модель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8C9" w:rsidRPr="00F003FA" w:rsidRDefault="00F003FA" w:rsidP="00F003F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highlight w:val="green"/>
                <w:lang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highlight w:val="green"/>
                <w:lang w:eastAsia="en-US"/>
              </w:rPr>
              <w:t>Сумма квадратов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8C9" w:rsidRPr="00F003FA" w:rsidRDefault="00F003FA" w:rsidP="00F003F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highlight w:val="green"/>
                <w:lang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highlight w:val="green"/>
                <w:lang w:eastAsia="en-US"/>
              </w:rPr>
              <w:t>Степени свободы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8C9" w:rsidRPr="00F003FA" w:rsidRDefault="00F003FA" w:rsidP="00F003F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highlight w:val="green"/>
                <w:lang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highlight w:val="green"/>
                <w:lang w:eastAsia="en-US"/>
              </w:rPr>
              <w:t>Средний квадрат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8C9" w:rsidRPr="00F003FA" w:rsidRDefault="006F08C9" w:rsidP="00F003F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highlight w:val="green"/>
                <w:lang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highlight w:val="green"/>
                <w:lang w:val="en-US" w:eastAsia="en-US"/>
              </w:rPr>
              <w:t>F</w:t>
            </w:r>
            <w:r w:rsidR="00F003FA" w:rsidRPr="00F003FA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highlight w:val="green"/>
                <w:lang w:eastAsia="en-US"/>
              </w:rPr>
              <w:t>-статистика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8C9" w:rsidRPr="00F003FA" w:rsidRDefault="00F003FA" w:rsidP="00F003F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highlight w:val="green"/>
                <w:lang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highlight w:val="green"/>
                <w:lang w:eastAsia="en-US"/>
              </w:rPr>
              <w:t>Значимость</w:t>
            </w:r>
          </w:p>
        </w:tc>
      </w:tr>
      <w:tr w:rsidR="006F08C9" w:rsidRPr="00F003FA" w:rsidTr="00F003FA">
        <w:trPr>
          <w:cantSplit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left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US" w:eastAsia="en-US"/>
              </w:rPr>
              <w:t>Regression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  <w:t>1857080480976935300000,000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  <w:t>142852344690533480000,000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  <w:t>446,498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eastAsia="en-US"/>
              </w:rPr>
              <w:t>0</w:t>
            </w:r>
            <w:r w:rsidRPr="00F003FA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  <w:t>,000</w:t>
            </w:r>
            <w:r w:rsidRPr="00F003FA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highlight w:val="yellow"/>
                <w:vertAlign w:val="superscript"/>
                <w:lang w:eastAsia="en-US"/>
              </w:rPr>
              <w:t>**</w:t>
            </w:r>
          </w:p>
        </w:tc>
      </w:tr>
      <w:tr w:rsidR="006F08C9" w:rsidRPr="00F003FA" w:rsidTr="00F003FA">
        <w:trPr>
          <w:cantSplit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left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US" w:eastAsia="en-US"/>
              </w:rPr>
              <w:t>Residual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  <w:t>156450463556976200000,000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  <w:t>489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  <w:t>319939598276024960,000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F08C9" w:rsidRPr="00F003FA" w:rsidTr="00F003FA">
        <w:trPr>
          <w:cantSplit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left"/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264A6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  <w:t>2013530944533911600000,000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val="en-US" w:eastAsia="en-US"/>
              </w:rPr>
              <w:t>502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8C9" w:rsidRPr="00F003FA" w:rsidRDefault="006F08C9" w:rsidP="006F08C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59479F" w:rsidRPr="006F4192" w:rsidRDefault="0059479F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B00F27" w:rsidRPr="006F08C9" w:rsidRDefault="00B00F27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F4192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6F08C9">
        <w:rPr>
          <w:rFonts w:ascii="Times New Roman" w:eastAsia="Times New Roman" w:hAnsi="Times New Roman" w:cs="Times New Roman"/>
          <w:sz w:val="24"/>
          <w:szCs w:val="24"/>
          <w:highlight w:val="green"/>
        </w:rPr>
        <w:t>выбросов</w:t>
      </w:r>
      <w:r w:rsidRPr="006F4192">
        <w:rPr>
          <w:rFonts w:ascii="Times New Roman" w:eastAsia="Times New Roman" w:hAnsi="Times New Roman" w:cs="Times New Roman"/>
          <w:sz w:val="24"/>
          <w:szCs w:val="24"/>
        </w:rPr>
        <w:t xml:space="preserve"> модели показал, что выборка обладает дополнительными устойчивыми характеристиками, не подлежащими описанию выбранными зависимыми переменными. Выбросы четко коррелируют с организационно-правовой формой бизнеса, что лишний раз указывает на  проблему </w:t>
      </w:r>
      <w:r w:rsidR="006F08C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F4192">
        <w:rPr>
          <w:rFonts w:ascii="Times New Roman" w:eastAsia="Times New Roman" w:hAnsi="Times New Roman" w:cs="Times New Roman"/>
          <w:sz w:val="24"/>
          <w:szCs w:val="24"/>
        </w:rPr>
        <w:t>принципал</w:t>
      </w:r>
      <w:r w:rsidR="006F08C9">
        <w:rPr>
          <w:rFonts w:ascii="Times New Roman" w:eastAsia="Times New Roman" w:hAnsi="Times New Roman" w:cs="Times New Roman"/>
          <w:sz w:val="24"/>
          <w:szCs w:val="24"/>
        </w:rPr>
        <w:t xml:space="preserve"> — агент»</w:t>
      </w:r>
      <w:r w:rsidRPr="006F41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35FC" w:rsidRPr="006F4192">
        <w:rPr>
          <w:rFonts w:ascii="Times New Roman" w:eastAsia="Times New Roman" w:hAnsi="Times New Roman" w:cs="Times New Roman"/>
          <w:sz w:val="24"/>
          <w:szCs w:val="24"/>
        </w:rPr>
        <w:t>Чтобы не потерять индивидуальные признаки,</w:t>
      </w:r>
      <w:r w:rsidRPr="006F4192">
        <w:rPr>
          <w:rFonts w:ascii="Times New Roman" w:eastAsia="Times New Roman" w:hAnsi="Times New Roman" w:cs="Times New Roman"/>
          <w:sz w:val="24"/>
          <w:szCs w:val="24"/>
        </w:rPr>
        <w:t xml:space="preserve"> была создана дополнительная переменная (</w:t>
      </w:r>
      <w:r w:rsidRPr="006F4192">
        <w:rPr>
          <w:rFonts w:ascii="Times New Roman" w:eastAsia="Times New Roman" w:hAnsi="Times New Roman" w:cs="Times New Roman"/>
          <w:sz w:val="24"/>
          <w:szCs w:val="24"/>
          <w:lang w:val="en-US"/>
        </w:rPr>
        <w:t>additional</w:t>
      </w:r>
      <w:r w:rsidRPr="006F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192">
        <w:rPr>
          <w:rFonts w:ascii="Times New Roman" w:eastAsia="Times New Roman" w:hAnsi="Times New Roman" w:cs="Times New Roman"/>
          <w:sz w:val="24"/>
          <w:szCs w:val="24"/>
          <w:lang w:val="en-US"/>
        </w:rPr>
        <w:t>sign</w:t>
      </w:r>
      <w:r w:rsidRPr="006F4192">
        <w:rPr>
          <w:rFonts w:ascii="Times New Roman" w:eastAsia="Times New Roman" w:hAnsi="Times New Roman" w:cs="Times New Roman"/>
          <w:sz w:val="24"/>
          <w:szCs w:val="24"/>
        </w:rPr>
        <w:t xml:space="preserve">), которая </w:t>
      </w:r>
      <w:r w:rsidR="00687908" w:rsidRPr="006F4192">
        <w:rPr>
          <w:rFonts w:ascii="Times New Roman" w:eastAsia="Times New Roman" w:hAnsi="Times New Roman" w:cs="Times New Roman"/>
          <w:sz w:val="24"/>
          <w:szCs w:val="24"/>
        </w:rPr>
        <w:t xml:space="preserve">принимает значения от 1 до 3. Переменная принимает </w:t>
      </w:r>
      <w:proofErr w:type="gramStart"/>
      <w:r w:rsidR="00687908" w:rsidRPr="006F4192">
        <w:rPr>
          <w:rFonts w:ascii="Times New Roman" w:eastAsia="Times New Roman" w:hAnsi="Times New Roman" w:cs="Times New Roman"/>
          <w:sz w:val="24"/>
          <w:szCs w:val="24"/>
        </w:rPr>
        <w:t xml:space="preserve">значение  </w:t>
      </w:r>
      <w:r w:rsidR="00506D1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687908" w:rsidRPr="006F4192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6D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87908" w:rsidRPr="006F4192">
        <w:rPr>
          <w:rFonts w:ascii="Times New Roman" w:eastAsia="Times New Roman" w:hAnsi="Times New Roman" w:cs="Times New Roman"/>
          <w:sz w:val="24"/>
          <w:szCs w:val="24"/>
        </w:rPr>
        <w:t xml:space="preserve"> ка</w:t>
      </w:r>
      <w:r w:rsidR="00F003FA">
        <w:rPr>
          <w:rFonts w:ascii="Times New Roman" w:eastAsia="Times New Roman" w:hAnsi="Times New Roman" w:cs="Times New Roman"/>
          <w:sz w:val="24"/>
          <w:szCs w:val="24"/>
        </w:rPr>
        <w:t>к базовое</w:t>
      </w:r>
      <w:r w:rsidR="00687908" w:rsidRPr="006F41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1FDA" w:rsidRPr="006F4192">
        <w:rPr>
          <w:rFonts w:ascii="Times New Roman" w:eastAsia="Times New Roman" w:hAnsi="Times New Roman" w:cs="Times New Roman"/>
          <w:sz w:val="24"/>
          <w:szCs w:val="24"/>
        </w:rPr>
        <w:t xml:space="preserve"> Выбросы отображаются как значения </w:t>
      </w:r>
      <w:r w:rsidR="00506D1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D1FDA" w:rsidRPr="006F41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6D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1FDA" w:rsidRPr="006F41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06D1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D1FDA" w:rsidRPr="006F41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06D1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F4192">
        <w:rPr>
          <w:rFonts w:ascii="Times New Roman" w:eastAsia="Times New Roman" w:hAnsi="Times New Roman" w:cs="Times New Roman"/>
          <w:sz w:val="24"/>
          <w:szCs w:val="24"/>
        </w:rPr>
        <w:t>, в зависимости от размера</w:t>
      </w:r>
      <w:r w:rsidR="002D1FDA" w:rsidRPr="006F41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35FC" w:rsidRPr="006F41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F4192">
        <w:rPr>
          <w:rFonts w:ascii="Times New Roman" w:eastAsia="Times New Roman" w:hAnsi="Times New Roman" w:cs="Times New Roman"/>
          <w:sz w:val="24"/>
          <w:szCs w:val="24"/>
        </w:rPr>
        <w:t>Разделение на группы существенно в пределах статистической значимост</w:t>
      </w:r>
      <w:r w:rsidR="00A17D4A" w:rsidRPr="006F419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17D4A" w:rsidRPr="00DB0437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Pr="00DB0437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табл</w:t>
      </w:r>
      <w:r w:rsidR="00DB0437" w:rsidRPr="00DB0437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DB043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5).</w:t>
      </w:r>
    </w:p>
    <w:p w:rsidR="00DB0437" w:rsidRDefault="00DB0437" w:rsidP="00FA645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color w:val="010205"/>
          <w:sz w:val="20"/>
          <w:szCs w:val="20"/>
          <w:highlight w:val="cyan"/>
          <w:lang w:eastAsia="en-US"/>
        </w:rPr>
      </w:pPr>
    </w:p>
    <w:p w:rsidR="00F003FA" w:rsidRDefault="00F003FA" w:rsidP="00FA64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32EB6" w:rsidRPr="006F08C9" w:rsidRDefault="00D32EB6" w:rsidP="00FA64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6F08C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Таблица 5</w:t>
      </w:r>
    </w:p>
    <w:p w:rsidR="00D32EB6" w:rsidRPr="006F08C9" w:rsidRDefault="00D32EB6" w:rsidP="00FA64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8C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Проверка значимости различия групп</w:t>
      </w:r>
    </w:p>
    <w:tbl>
      <w:tblPr>
        <w:tblW w:w="49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851"/>
        <w:gridCol w:w="2266"/>
        <w:gridCol w:w="1699"/>
        <w:gridCol w:w="851"/>
        <w:gridCol w:w="1447"/>
        <w:gridCol w:w="1440"/>
      </w:tblGrid>
      <w:tr w:rsidR="00D32EB6" w:rsidRPr="006F4192" w:rsidTr="00F003F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EB6" w:rsidRPr="006F08C9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color w:val="010205"/>
                <w:sz w:val="24"/>
                <w:szCs w:val="24"/>
                <w:lang w:eastAsia="en-US"/>
              </w:rPr>
            </w:pPr>
          </w:p>
        </w:tc>
      </w:tr>
      <w:tr w:rsidR="00D32EB6" w:rsidRPr="006F4192" w:rsidTr="00F003F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6" w:rsidRPr="00F003FA" w:rsidRDefault="00F003FA" w:rsidP="00FA645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highlight w:val="gree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highlight w:val="green"/>
                <w:shd w:val="clear" w:color="auto" w:fill="FFFFFF"/>
                <w:lang w:eastAsia="en-US"/>
              </w:rPr>
              <w:t>Зависимая переменная</w:t>
            </w:r>
            <w:r w:rsidR="00D32EB6" w:rsidRPr="00F003FA">
              <w:rPr>
                <w:rFonts w:ascii="Times New Roman" w:eastAsia="Calibri" w:hAnsi="Times New Roman" w:cs="Times New Roman"/>
                <w:highlight w:val="green"/>
                <w:shd w:val="clear" w:color="auto" w:fill="FFFFFF"/>
                <w:lang w:val="en-US" w:eastAsia="en-US"/>
              </w:rPr>
              <w:t xml:space="preserve">:   </w:t>
            </w:r>
            <w:proofErr w:type="spellStart"/>
            <w:r w:rsidR="00D32EB6" w:rsidRPr="00F003FA">
              <w:rPr>
                <w:rFonts w:ascii="Times New Roman" w:eastAsia="Calibri" w:hAnsi="Times New Roman" w:cs="Times New Roman"/>
                <w:highlight w:val="green"/>
                <w:shd w:val="clear" w:color="auto" w:fill="FFFFFF"/>
                <w:lang w:val="en-US" w:eastAsia="en-US"/>
              </w:rPr>
              <w:t>Adm_exp</w:t>
            </w:r>
            <w:proofErr w:type="spellEnd"/>
            <w:r w:rsidR="00D32EB6" w:rsidRPr="00F003FA">
              <w:rPr>
                <w:rFonts w:ascii="Times New Roman" w:eastAsia="Calibri" w:hAnsi="Times New Roman" w:cs="Times New Roman"/>
                <w:highlight w:val="green"/>
                <w:shd w:val="clear" w:color="auto" w:fill="FFFFFF"/>
                <w:lang w:val="en-US" w:eastAsia="en-US"/>
              </w:rPr>
              <w:t xml:space="preserve">  </w:t>
            </w:r>
          </w:p>
        </w:tc>
      </w:tr>
      <w:tr w:rsidR="00D32EB6" w:rsidRPr="006F4192" w:rsidTr="00F003F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6" w:rsidRPr="00F003FA" w:rsidRDefault="00F003FA" w:rsidP="00FA645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highlight w:val="green"/>
                <w:lang w:eastAsia="en-US"/>
              </w:rPr>
            </w:pPr>
            <w:proofErr w:type="spellStart"/>
            <w:r w:rsidRPr="00F003FA">
              <w:rPr>
                <w:rFonts w:ascii="Times New Roman" w:eastAsia="Calibri" w:hAnsi="Times New Roman" w:cs="Times New Roman"/>
                <w:shd w:val="clear" w:color="auto" w:fill="FFFFFF"/>
                <w:lang w:val="en-US" w:eastAsia="en-US"/>
              </w:rPr>
              <w:t>Критерий</w:t>
            </w:r>
            <w:proofErr w:type="spellEnd"/>
            <w:r w:rsidRPr="00F003FA">
              <w:rPr>
                <w:rFonts w:ascii="Times New Roman" w:eastAsia="Calibri" w:hAnsi="Times New Roman" w:cs="Times New Roman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003FA">
              <w:rPr>
                <w:rFonts w:ascii="Times New Roman" w:eastAsia="Calibri" w:hAnsi="Times New Roman" w:cs="Times New Roman"/>
                <w:shd w:val="clear" w:color="auto" w:fill="FFFFFF"/>
                <w:lang w:val="en-US" w:eastAsia="en-US"/>
              </w:rPr>
              <w:t>Тьюки</w:t>
            </w:r>
            <w:proofErr w:type="spellEnd"/>
          </w:p>
        </w:tc>
      </w:tr>
      <w:tr w:rsidR="00D32EB6" w:rsidRPr="006F4192" w:rsidTr="00F003FA">
        <w:trPr>
          <w:cantSplit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 xml:space="preserve">(I) </w:t>
            </w:r>
            <w:proofErr w:type="spellStart"/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Additional_sign</w:t>
            </w:r>
            <w:proofErr w:type="spellEnd"/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 xml:space="preserve">(J) </w:t>
            </w:r>
            <w:proofErr w:type="spellStart"/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Additional_sign</w:t>
            </w:r>
            <w:proofErr w:type="spellEnd"/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6" w:rsidRPr="00F003FA" w:rsidRDefault="00F003FA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Средняя разница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 xml:space="preserve"> (I-J)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6" w:rsidRPr="00F003FA" w:rsidRDefault="00F003FA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Стандартная ошибка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6" w:rsidRPr="00F003FA" w:rsidRDefault="00F003FA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Значимость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6" w:rsidRPr="00F003FA" w:rsidRDefault="00D32EB6" w:rsidP="00F003F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 xml:space="preserve">95% </w:t>
            </w:r>
            <w:r w:rsidR="00F003FA" w:rsidRPr="00F003FA">
              <w:rPr>
                <w:rFonts w:ascii="Times New Roman" w:eastAsia="Calibri" w:hAnsi="Times New Roman" w:cs="Times New Roman"/>
                <w:lang w:eastAsia="en-US"/>
              </w:rPr>
              <w:t>доверительный уровень</w:t>
            </w:r>
          </w:p>
        </w:tc>
      </w:tr>
      <w:tr w:rsidR="00D32EB6" w:rsidRPr="006F4192" w:rsidTr="00F003FA">
        <w:trPr>
          <w:cantSplit/>
          <w:trHeight w:val="303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6" w:rsidRPr="00F003FA" w:rsidRDefault="00F003FA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Нижняя граница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EB6" w:rsidRPr="00F003FA" w:rsidRDefault="00F003FA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Верхняя граница</w:t>
            </w:r>
          </w:p>
        </w:tc>
      </w:tr>
      <w:tr w:rsidR="00D32EB6" w:rsidRPr="006F4192" w:rsidTr="00F003FA">
        <w:trPr>
          <w:cantSplit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2EB6" w:rsidRPr="00F003FA" w:rsidRDefault="00B00F2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2EB6" w:rsidRPr="00F003FA" w:rsidRDefault="00B00F2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,00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B043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–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2864865787,507</w:t>
            </w:r>
            <w:r w:rsidR="00D32EB6" w:rsidRPr="00F003FA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*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227571911,898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B043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,000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B043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–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3399147572,83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B043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–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2330584002,19</w:t>
            </w:r>
          </w:p>
        </w:tc>
      </w:tr>
      <w:tr w:rsidR="00D32EB6" w:rsidRPr="006F4192" w:rsidTr="00F003FA">
        <w:trPr>
          <w:cantSplit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2EB6" w:rsidRPr="00F003FA" w:rsidRDefault="00B00F2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,00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B043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–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5078209312,760</w:t>
            </w:r>
            <w:r w:rsidR="00D32EB6" w:rsidRPr="00F003FA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*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206843380,806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B043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,000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B043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–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5563825704,77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B043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–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4592592920,75</w:t>
            </w:r>
          </w:p>
        </w:tc>
      </w:tr>
      <w:tr w:rsidR="00D32EB6" w:rsidRPr="006F4192" w:rsidTr="00F003FA">
        <w:trPr>
          <w:cantSplit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2EB6" w:rsidRPr="00F003FA" w:rsidRDefault="00B00F2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2EB6" w:rsidRPr="00F003FA" w:rsidRDefault="00B00F2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,00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2864865787,507</w:t>
            </w:r>
            <w:r w:rsidRPr="00F003FA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*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227571911,898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B043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,000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2330584002,19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3399147572,83</w:t>
            </w:r>
          </w:p>
        </w:tc>
      </w:tr>
      <w:tr w:rsidR="00D32EB6" w:rsidRPr="006F4192" w:rsidTr="00F003FA">
        <w:trPr>
          <w:cantSplit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2EB6" w:rsidRPr="00F003FA" w:rsidRDefault="00B00F2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,00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B043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–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2213343525,253</w:t>
            </w:r>
            <w:r w:rsidR="00D32EB6" w:rsidRPr="00F003FA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*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300079837,740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B043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,000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B043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–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2917855739,04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B043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–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1508831311,47</w:t>
            </w:r>
          </w:p>
        </w:tc>
      </w:tr>
      <w:tr w:rsidR="00D32EB6" w:rsidRPr="006F4192" w:rsidTr="00F003FA">
        <w:trPr>
          <w:cantSplit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2EB6" w:rsidRPr="00F003FA" w:rsidRDefault="00B00F2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2EB6" w:rsidRPr="00F003FA" w:rsidRDefault="00B00F2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,00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5078209312,760</w:t>
            </w:r>
            <w:r w:rsidRPr="00F003FA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*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206843380,806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B043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,000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4592592920,75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5563825704,77</w:t>
            </w:r>
          </w:p>
        </w:tc>
      </w:tr>
      <w:tr w:rsidR="00D32EB6" w:rsidRPr="006F4192" w:rsidTr="00F003FA">
        <w:trPr>
          <w:cantSplit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32EB6" w:rsidRPr="00F003FA" w:rsidRDefault="00B00F2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lef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,00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2213343525,253</w:t>
            </w:r>
            <w:r w:rsidRPr="00F003FA">
              <w:rPr>
                <w:rFonts w:ascii="Times New Roman" w:eastAsia="Calibri" w:hAnsi="Times New Roman" w:cs="Times New Roman"/>
                <w:vertAlign w:val="superscript"/>
                <w:lang w:val="en-US" w:eastAsia="en-US"/>
              </w:rPr>
              <w:t>*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300079837,740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B0437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D32EB6" w:rsidRPr="00F003FA">
              <w:rPr>
                <w:rFonts w:ascii="Times New Roman" w:eastAsia="Calibri" w:hAnsi="Times New Roman" w:cs="Times New Roman"/>
                <w:lang w:val="en-US" w:eastAsia="en-US"/>
              </w:rPr>
              <w:t>,000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1508831311,47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B6" w:rsidRPr="00F003FA" w:rsidRDefault="00D32EB6" w:rsidP="00FA6457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003FA">
              <w:rPr>
                <w:rFonts w:ascii="Times New Roman" w:eastAsia="Calibri" w:hAnsi="Times New Roman" w:cs="Times New Roman"/>
                <w:lang w:val="en-US" w:eastAsia="en-US"/>
              </w:rPr>
              <w:t>2917855739,04</w:t>
            </w:r>
          </w:p>
        </w:tc>
      </w:tr>
    </w:tbl>
    <w:p w:rsidR="00B035FC" w:rsidRPr="006F4192" w:rsidRDefault="00B035FC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B035FC" w:rsidRPr="006F4192" w:rsidRDefault="00B035FC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A17D4A" w:rsidRPr="004F660E" w:rsidRDefault="00A17D4A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Итоговым результатом регрессионного анализа стало следующее уравнение: </w:t>
      </w:r>
    </w:p>
    <w:p w:rsidR="00EC64BA" w:rsidRPr="006F4192" w:rsidRDefault="004467C3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Adm_exp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0,23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val="en-US"/>
            </w:rPr>
            <m:t>=-0,</m:t>
          </m:r>
          <m:r>
            <w:rPr>
              <w:rFonts w:ascii="Cambria Math" w:eastAsia="Times New Roman" w:hAnsi="Cambria Math" w:cs="Times New Roman"/>
              <w:sz w:val="24"/>
              <w:szCs w:val="24"/>
              <w:highlight w:val="green"/>
              <w:lang w:val="en-US"/>
            </w:rPr>
            <m:t>8015+0,173*</m:t>
          </m:r>
          <m:r>
            <w:rPr>
              <w:rFonts w:ascii="Cambria Math" w:eastAsia="Times New Roman" w:hAnsi="Cambria Math" w:cs="Times New Roman"/>
              <w:sz w:val="24"/>
              <w:szCs w:val="24"/>
              <w:highlight w:val="green"/>
              <w:lang w:val="en-US"/>
            </w:rPr>
            <m:t>Var</m:t>
          </m:r>
          <m:r>
            <w:rPr>
              <w:rFonts w:ascii="Cambria Math" w:eastAsia="Times New Roman" w:hAnsi="Cambria Math" w:cs="Times New Roman"/>
              <w:sz w:val="24"/>
              <w:szCs w:val="24"/>
              <w:highlight w:val="green"/>
              <w:lang w:val="en-US"/>
            </w:rPr>
            <m:t>EVA+68,11*A-Rfacto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highlight w:val="green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store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highlight w:val="green"/>
              <w:lang w:val="en-US"/>
            </w:rPr>
            <m:t>-51,6*typ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highlight w:val="green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highlight w:val="green"/>
              <w:lang w:val="en-US"/>
            </w:rPr>
            <m:t>-36,11*typ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highlight w:val="green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highlight w:val="green"/>
              <w:lang w:val="en-US"/>
            </w:rPr>
            <m:t>-0,49*typ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highlight w:val="green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highlight w:val="green"/>
              <w:lang w:val="en-US"/>
            </w:rPr>
            <m:t>+5,14*typ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highlight w:val="green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highlight w:val="green"/>
              <w:lang w:val="en-US"/>
            </w:rPr>
            <m:t>+23,86*Even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highlight w:val="green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bin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highlight w:val="green"/>
              <w:lang w:val="en-US"/>
            </w:rPr>
            <m:t>-12,57*Di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highlight w:val="green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bin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highlight w:val="green"/>
              <w:lang w:val="en-US"/>
            </w:rPr>
            <m:t>-10,56*Chec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highlight w:val="green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bin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highlight w:val="green"/>
              <w:lang w:val="en-US"/>
            </w:rPr>
            <m:t>+25,19*Clai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highlight w:val="green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bin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highlight w:val="green"/>
              <w:lang w:val="en-US"/>
            </w:rPr>
            <m:t>+16,58*De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highlight w:val="green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bin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highlight w:val="green"/>
              <w:lang w:val="en-US"/>
            </w:rPr>
            <m:t>+60,3*Additiona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highlight w:val="green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sign2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highlight w:val="green"/>
              <w:lang w:val="en-US"/>
            </w:rPr>
            <m:t>+48,4*Additiona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highlight w:val="green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sign3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highlight w:val="green"/>
              <w:lang w:val="en-US"/>
            </w:rPr>
            <m:t>+1,178*VarianceEva*A-Rfacto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highlight w:val="green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green"/>
                  <w:lang w:val="en-US"/>
                </w:rPr>
                <m:t>store</m:t>
              </m:r>
            </m:sub>
          </m:sSub>
        </m:oMath>
      </m:oMathPara>
    </w:p>
    <w:p w:rsidR="00EC64BA" w:rsidRPr="00DB0437" w:rsidRDefault="00DB0437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43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(</w:t>
      </w:r>
      <w:r w:rsidR="00F003FA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расшифровка значений представлена в табл.1)</w:t>
      </w:r>
      <w:r w:rsidRPr="00DB043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</w:t>
      </w:r>
    </w:p>
    <w:p w:rsidR="00A17D4A" w:rsidRPr="006F4192" w:rsidRDefault="00A17D4A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419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B0437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табл</w:t>
      </w:r>
      <w:r w:rsidR="00DB0437" w:rsidRPr="00DB0437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DB043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C64BA" w:rsidRPr="00DB0437">
        <w:rPr>
          <w:rFonts w:ascii="Times New Roman" w:eastAsia="Times New Roman" w:hAnsi="Times New Roman" w:cs="Times New Roman"/>
          <w:sz w:val="24"/>
          <w:szCs w:val="24"/>
          <w:highlight w:val="yellow"/>
        </w:rPr>
        <w:t>6</w:t>
      </w:r>
      <w:r w:rsidR="00EC64BA" w:rsidRPr="006F419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основные характеристики объясняющих переменных уравнения.</w:t>
      </w:r>
    </w:p>
    <w:p w:rsidR="00A65543" w:rsidRPr="00DB0437" w:rsidRDefault="00A65543" w:rsidP="00FA64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</w:pPr>
      <w:r w:rsidRPr="00DB043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Таблица</w:t>
      </w:r>
      <w:r w:rsidRPr="00DB043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 xml:space="preserve"> 6</w:t>
      </w:r>
    </w:p>
    <w:p w:rsidR="00794FF5" w:rsidRPr="00DB0437" w:rsidRDefault="00794FF5" w:rsidP="00FA64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DB043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en-US"/>
        </w:rPr>
        <w:t>Coefficients for Transformed Response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1093"/>
        <w:gridCol w:w="1056"/>
        <w:gridCol w:w="1805"/>
        <w:gridCol w:w="1050"/>
        <w:gridCol w:w="1037"/>
        <w:gridCol w:w="1146"/>
      </w:tblGrid>
      <w:tr w:rsidR="006F4192" w:rsidRPr="006F4192" w:rsidTr="00574FDD">
        <w:tc>
          <w:tcPr>
            <w:tcW w:w="1154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Term</w:t>
            </w:r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Coef</w:t>
            </w:r>
            <w:proofErr w:type="spellEnd"/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SE </w:t>
            </w:r>
            <w:proofErr w:type="spellStart"/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Coef</w:t>
            </w:r>
            <w:proofErr w:type="spellEnd"/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95% CI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T-Value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P-Value</w:t>
            </w:r>
          </w:p>
        </w:tc>
        <w:tc>
          <w:tcPr>
            <w:tcW w:w="613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VIF</w:t>
            </w:r>
          </w:p>
        </w:tc>
      </w:tr>
      <w:tr w:rsidR="006F4192" w:rsidRPr="006F4192" w:rsidTr="001E784C">
        <w:trPr>
          <w:trHeight w:val="168"/>
        </w:trPr>
        <w:tc>
          <w:tcPr>
            <w:tcW w:w="1154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Constant</w:t>
            </w:r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DB0437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="00794FF5"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8015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3879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15638; </w:t>
            </w:r>
            <w:r w:rsid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392)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DB0437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="00794FF5"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2,07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0,039</w:t>
            </w:r>
          </w:p>
        </w:tc>
        <w:tc>
          <w:tcPr>
            <w:tcW w:w="613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</w:tc>
      </w:tr>
      <w:tr w:rsidR="006F4192" w:rsidRPr="006F4192" w:rsidTr="00F003FA">
        <w:tc>
          <w:tcPr>
            <w:tcW w:w="1151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VarianceEVA</w:t>
            </w:r>
            <w:proofErr w:type="spellEnd"/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0,173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0,332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0,479; 0,825)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0,52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0,602</w:t>
            </w:r>
          </w:p>
        </w:tc>
        <w:tc>
          <w:tcPr>
            <w:tcW w:w="61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13,79</w:t>
            </w:r>
          </w:p>
        </w:tc>
      </w:tr>
      <w:tr w:rsidR="006F4192" w:rsidRPr="006F4192" w:rsidTr="00F003FA">
        <w:tc>
          <w:tcPr>
            <w:tcW w:w="1151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FAC1_1</w:t>
            </w:r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68,11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4,58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(59,11; 77,11)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14,87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0,000</w:t>
            </w:r>
          </w:p>
        </w:tc>
        <w:tc>
          <w:tcPr>
            <w:tcW w:w="61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8,10</w:t>
            </w:r>
          </w:p>
        </w:tc>
      </w:tr>
      <w:tr w:rsidR="006F4192" w:rsidRPr="006F4192" w:rsidTr="00F003FA">
        <w:tc>
          <w:tcPr>
            <w:tcW w:w="1151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4,06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1,93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(0,28; 7,85)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2,11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0,035</w:t>
            </w:r>
          </w:p>
        </w:tc>
        <w:tc>
          <w:tcPr>
            <w:tcW w:w="61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1,53</w:t>
            </w:r>
          </w:p>
        </w:tc>
      </w:tr>
      <w:tr w:rsidR="00F003FA" w:rsidRPr="006F4192" w:rsidTr="000C1427">
        <w:tc>
          <w:tcPr>
            <w:tcW w:w="1151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03FA" w:rsidRPr="00F003FA" w:rsidRDefault="00F003FA" w:rsidP="00F003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Type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" w:type="pct"/>
            <w:gridSpan w:val="6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03FA" w:rsidRPr="006F4192" w:rsidRDefault="00F003FA" w:rsidP="00F003FA">
            <w:pPr>
              <w:spacing w:after="0" w:line="240" w:lineRule="auto"/>
              <w:ind w:hanging="7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6F4192" w:rsidRPr="006F4192" w:rsidTr="00F003FA">
        <w:tc>
          <w:tcPr>
            <w:tcW w:w="115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 2</w:t>
            </w:r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DB0437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="00794FF5"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51,6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10,5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72,2; </w:t>
            </w:r>
            <w:r w:rsid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31,1)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DB0437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="00794FF5"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4,93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0,000</w:t>
            </w:r>
          </w:p>
        </w:tc>
        <w:tc>
          <w:tcPr>
            <w:tcW w:w="61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1,14</w:t>
            </w:r>
          </w:p>
        </w:tc>
      </w:tr>
      <w:tr w:rsidR="006F4192" w:rsidRPr="006F4192" w:rsidTr="00F003FA">
        <w:tc>
          <w:tcPr>
            <w:tcW w:w="115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 3</w:t>
            </w:r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DB0437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="00794FF5"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36,11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4,38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44,73; </w:t>
            </w:r>
            <w:r w:rsid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27,49)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DB0437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="00794FF5"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8,24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0,000</w:t>
            </w:r>
          </w:p>
        </w:tc>
        <w:tc>
          <w:tcPr>
            <w:tcW w:w="61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1,56</w:t>
            </w:r>
          </w:p>
        </w:tc>
      </w:tr>
      <w:tr w:rsidR="006F4192" w:rsidRPr="006F4192" w:rsidTr="00F003FA">
        <w:tc>
          <w:tcPr>
            <w:tcW w:w="115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 4</w:t>
            </w:r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DB0437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="00794FF5"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0,49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7,85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15,92; 14,94)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DB0437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="00794FF5"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0,06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0,950</w:t>
            </w:r>
          </w:p>
        </w:tc>
        <w:tc>
          <w:tcPr>
            <w:tcW w:w="61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1,17</w:t>
            </w:r>
          </w:p>
        </w:tc>
      </w:tr>
      <w:tr w:rsidR="006F4192" w:rsidRPr="006F4192" w:rsidTr="00F003FA">
        <w:tc>
          <w:tcPr>
            <w:tcW w:w="115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 5</w:t>
            </w:r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5,14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6,61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–</w:t>
            </w: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7,85; 18,13)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0,78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0,437</w:t>
            </w:r>
          </w:p>
        </w:tc>
        <w:tc>
          <w:tcPr>
            <w:tcW w:w="61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1,30</w:t>
            </w:r>
          </w:p>
        </w:tc>
      </w:tr>
      <w:tr w:rsidR="00F003FA" w:rsidRPr="006F4192" w:rsidTr="0001698F">
        <w:tc>
          <w:tcPr>
            <w:tcW w:w="115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03FA" w:rsidRPr="006F4192" w:rsidRDefault="00F003FA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Ind</w:t>
            </w:r>
            <w:proofErr w:type="spellEnd"/>
          </w:p>
        </w:tc>
        <w:tc>
          <w:tcPr>
            <w:tcW w:w="1" w:type="pct"/>
            <w:gridSpan w:val="6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03FA" w:rsidRPr="006F4192" w:rsidRDefault="00F003FA" w:rsidP="00F003FA">
            <w:pPr>
              <w:spacing w:after="0" w:line="240" w:lineRule="auto"/>
              <w:ind w:hanging="7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</w:tc>
      </w:tr>
      <w:tr w:rsidR="006F4192" w:rsidRPr="006F4192" w:rsidTr="00F003FA">
        <w:tc>
          <w:tcPr>
            <w:tcW w:w="115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 4</w:t>
            </w:r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-9,50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4,86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(-19,05; 0,06)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-1,95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0,051</w:t>
            </w:r>
          </w:p>
        </w:tc>
        <w:tc>
          <w:tcPr>
            <w:tcW w:w="61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ind w:hanging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1,16</w:t>
            </w:r>
          </w:p>
        </w:tc>
      </w:tr>
      <w:tr w:rsidR="00C87165" w:rsidRPr="006F4192" w:rsidTr="0068436B">
        <w:tc>
          <w:tcPr>
            <w:tcW w:w="115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87165" w:rsidRPr="006F4192" w:rsidRDefault="00C8716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Event_bin</w:t>
            </w:r>
            <w:proofErr w:type="spellEnd"/>
          </w:p>
        </w:tc>
        <w:tc>
          <w:tcPr>
            <w:tcW w:w="1" w:type="pct"/>
            <w:gridSpan w:val="6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87165" w:rsidRPr="006F4192" w:rsidRDefault="00C8716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6F4192" w:rsidRPr="006F4192" w:rsidTr="00C87165">
        <w:tc>
          <w:tcPr>
            <w:tcW w:w="1153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 1</w:t>
            </w:r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23,86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7,56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(9,00; 38,72)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3,16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0,002</w:t>
            </w:r>
          </w:p>
        </w:tc>
        <w:tc>
          <w:tcPr>
            <w:tcW w:w="61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1,05</w:t>
            </w:r>
          </w:p>
        </w:tc>
      </w:tr>
      <w:tr w:rsidR="003C02E2" w:rsidRPr="006F4192" w:rsidTr="00D0593A">
        <w:tc>
          <w:tcPr>
            <w:tcW w:w="1153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C02E2" w:rsidRPr="006F4192" w:rsidRDefault="003C02E2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Dir_bin</w:t>
            </w:r>
            <w:proofErr w:type="spellEnd"/>
          </w:p>
        </w:tc>
        <w:tc>
          <w:tcPr>
            <w:tcW w:w="1" w:type="pct"/>
            <w:gridSpan w:val="6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C02E2" w:rsidRPr="006F4192" w:rsidRDefault="003C02E2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</w:tc>
      </w:tr>
      <w:tr w:rsidR="006F4192" w:rsidRPr="006F4192" w:rsidTr="003C02E2">
        <w:tc>
          <w:tcPr>
            <w:tcW w:w="1154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 1</w:t>
            </w:r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-12,57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5,21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(-22,81; -2,33)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-2,41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0,016</w:t>
            </w:r>
          </w:p>
        </w:tc>
        <w:tc>
          <w:tcPr>
            <w:tcW w:w="614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1,37</w:t>
            </w:r>
          </w:p>
        </w:tc>
      </w:tr>
      <w:tr w:rsidR="00574FDD" w:rsidRPr="006F4192" w:rsidTr="00C350A2">
        <w:tc>
          <w:tcPr>
            <w:tcW w:w="1154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74FDD" w:rsidRPr="006F4192" w:rsidRDefault="00574FDD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Chek_bin</w:t>
            </w:r>
            <w:proofErr w:type="spellEnd"/>
          </w:p>
        </w:tc>
        <w:tc>
          <w:tcPr>
            <w:tcW w:w="1" w:type="pct"/>
            <w:gridSpan w:val="6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74FDD" w:rsidRPr="006F4192" w:rsidRDefault="00574FDD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  <w:p w:rsidR="00574FDD" w:rsidRPr="006F4192" w:rsidRDefault="00574FDD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  <w:p w:rsidR="00574FDD" w:rsidRPr="006F4192" w:rsidRDefault="00574FDD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  <w:p w:rsidR="00574FDD" w:rsidRPr="006F4192" w:rsidRDefault="00574FDD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  </w:t>
            </w:r>
          </w:p>
        </w:tc>
      </w:tr>
      <w:tr w:rsidR="006F4192" w:rsidRPr="006F4192" w:rsidTr="00574FDD">
        <w:tc>
          <w:tcPr>
            <w:tcW w:w="1154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  1</w:t>
            </w:r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-10,56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4,94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(-20,28; -0,85)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-2,14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0,033</w:t>
            </w:r>
          </w:p>
        </w:tc>
        <w:tc>
          <w:tcPr>
            <w:tcW w:w="613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2,04</w:t>
            </w:r>
          </w:p>
        </w:tc>
      </w:tr>
      <w:tr w:rsidR="001E784C" w:rsidRPr="006F4192" w:rsidTr="000560C8">
        <w:tc>
          <w:tcPr>
            <w:tcW w:w="1154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784C" w:rsidRPr="006F4192" w:rsidRDefault="001E784C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Claim_bin</w:t>
            </w:r>
            <w:proofErr w:type="spellEnd"/>
          </w:p>
        </w:tc>
        <w:tc>
          <w:tcPr>
            <w:tcW w:w="1" w:type="pct"/>
            <w:gridSpan w:val="6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784C" w:rsidRPr="006F4192" w:rsidRDefault="001E784C" w:rsidP="001E784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  </w:t>
            </w:r>
          </w:p>
        </w:tc>
      </w:tr>
      <w:tr w:rsidR="006F4192" w:rsidRPr="006F4192" w:rsidTr="00574FDD">
        <w:tc>
          <w:tcPr>
            <w:tcW w:w="1154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 1</w:t>
            </w:r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25,19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4,82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(15,71; 34,67)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5,22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0,000</w:t>
            </w:r>
          </w:p>
        </w:tc>
        <w:tc>
          <w:tcPr>
            <w:tcW w:w="613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1,34</w:t>
            </w:r>
          </w:p>
        </w:tc>
      </w:tr>
      <w:tr w:rsidR="006F4192" w:rsidRPr="006F4192" w:rsidTr="00574FDD">
        <w:tc>
          <w:tcPr>
            <w:tcW w:w="1154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Def_bin</w:t>
            </w:r>
            <w:proofErr w:type="spellEnd"/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</w:tc>
        <w:tc>
          <w:tcPr>
            <w:tcW w:w="613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</w:tc>
      </w:tr>
      <w:tr w:rsidR="006F4192" w:rsidRPr="006F4192" w:rsidTr="00574FDD">
        <w:tc>
          <w:tcPr>
            <w:tcW w:w="1154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 1</w:t>
            </w:r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16,58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4,28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(8,17; 25,00)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3,87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0,000</w:t>
            </w:r>
          </w:p>
        </w:tc>
        <w:tc>
          <w:tcPr>
            <w:tcW w:w="613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1,42</w:t>
            </w:r>
          </w:p>
        </w:tc>
      </w:tr>
      <w:tr w:rsidR="006F4192" w:rsidRPr="006F4192" w:rsidTr="00574FDD">
        <w:tc>
          <w:tcPr>
            <w:tcW w:w="1154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Additional_sign</w:t>
            </w:r>
            <w:proofErr w:type="spellEnd"/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</w:tc>
        <w:tc>
          <w:tcPr>
            <w:tcW w:w="613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  </w:t>
            </w:r>
          </w:p>
        </w:tc>
      </w:tr>
      <w:tr w:rsidR="006F4192" w:rsidRPr="006F4192" w:rsidTr="00574FDD">
        <w:tc>
          <w:tcPr>
            <w:tcW w:w="1154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 3,00</w:t>
            </w:r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60,3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10,2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(40,3; 80,3)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5,93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0,000</w:t>
            </w:r>
          </w:p>
        </w:tc>
        <w:tc>
          <w:tcPr>
            <w:tcW w:w="613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1,46</w:t>
            </w:r>
          </w:p>
        </w:tc>
      </w:tr>
      <w:tr w:rsidR="006F4192" w:rsidRPr="006F4192" w:rsidTr="00574FDD">
        <w:tc>
          <w:tcPr>
            <w:tcW w:w="1154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 4,00</w:t>
            </w:r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48,4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10,4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(28,0; 68,9)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4,65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0,000</w:t>
            </w:r>
          </w:p>
        </w:tc>
        <w:tc>
          <w:tcPr>
            <w:tcW w:w="613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1,93</w:t>
            </w:r>
          </w:p>
        </w:tc>
      </w:tr>
      <w:tr w:rsidR="006F4192" w:rsidRPr="006F4192" w:rsidTr="00574FDD">
        <w:tc>
          <w:tcPr>
            <w:tcW w:w="1154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1E784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VarEVA</w:t>
            </w:r>
            <w:proofErr w:type="spellEnd"/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*FAC1</w:t>
            </w:r>
            <w:r w:rsidR="001E78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1,178</w:t>
            </w:r>
          </w:p>
        </w:tc>
        <w:tc>
          <w:tcPr>
            <w:tcW w:w="56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0,565</w:t>
            </w:r>
          </w:p>
        </w:tc>
        <w:tc>
          <w:tcPr>
            <w:tcW w:w="96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(0,068; 2,289)</w:t>
            </w:r>
          </w:p>
        </w:tc>
        <w:tc>
          <w:tcPr>
            <w:tcW w:w="56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2,08</w:t>
            </w:r>
          </w:p>
        </w:tc>
        <w:tc>
          <w:tcPr>
            <w:tcW w:w="555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0,038</w:t>
            </w:r>
          </w:p>
        </w:tc>
        <w:tc>
          <w:tcPr>
            <w:tcW w:w="613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6F4192" w:rsidRDefault="00794FF5" w:rsidP="00FA6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F41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1,26</w:t>
            </w:r>
          </w:p>
        </w:tc>
      </w:tr>
    </w:tbl>
    <w:p w:rsidR="00794FF5" w:rsidRPr="006F4192" w:rsidRDefault="00794FF5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4FF5" w:rsidRDefault="00794FF5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F4192">
        <w:rPr>
          <w:rFonts w:ascii="Times New Roman" w:eastAsia="Times New Roman" w:hAnsi="Times New Roman" w:cs="Times New Roman"/>
          <w:sz w:val="24"/>
          <w:szCs w:val="24"/>
        </w:rPr>
        <w:t xml:space="preserve">Объясняющая способность модели высокая. Из-за схожести значений показателей </w:t>
      </w:r>
      <w:r w:rsidRPr="00DB0437">
        <w:rPr>
          <w:rFonts w:ascii="Times New Roman" w:eastAsia="Times New Roman" w:hAnsi="Times New Roman" w:cs="Times New Roman"/>
          <w:sz w:val="24"/>
          <w:szCs w:val="24"/>
          <w:highlight w:val="green"/>
          <w:lang w:val="en-US"/>
        </w:rPr>
        <w:t>R</w:t>
      </w:r>
      <w:r w:rsidRPr="00DB0437">
        <w:rPr>
          <w:rFonts w:ascii="Times New Roman" w:eastAsia="Times New Roman" w:hAnsi="Times New Roman" w:cs="Times New Roman"/>
          <w:sz w:val="24"/>
          <w:szCs w:val="24"/>
          <w:highlight w:val="green"/>
        </w:rPr>
        <w:t>-</w:t>
      </w:r>
      <w:proofErr w:type="spellStart"/>
      <w:r w:rsidRPr="00DB0437">
        <w:rPr>
          <w:rFonts w:ascii="Times New Roman" w:eastAsia="Times New Roman" w:hAnsi="Times New Roman" w:cs="Times New Roman"/>
          <w:sz w:val="24"/>
          <w:szCs w:val="24"/>
          <w:highlight w:val="green"/>
          <w:lang w:val="en-US"/>
        </w:rPr>
        <w:t>sq</w:t>
      </w:r>
      <w:proofErr w:type="spellEnd"/>
      <w:r w:rsidRPr="00DB0437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; </w:t>
      </w:r>
      <w:r w:rsidRPr="00DB0437">
        <w:rPr>
          <w:rFonts w:ascii="Times New Roman" w:eastAsia="Times New Roman" w:hAnsi="Times New Roman" w:cs="Times New Roman"/>
          <w:sz w:val="24"/>
          <w:szCs w:val="24"/>
          <w:highlight w:val="green"/>
          <w:lang w:val="en-US"/>
        </w:rPr>
        <w:t>R</w:t>
      </w:r>
      <w:r w:rsidRPr="00DB0437">
        <w:rPr>
          <w:rFonts w:ascii="Times New Roman" w:eastAsia="Times New Roman" w:hAnsi="Times New Roman" w:cs="Times New Roman"/>
          <w:sz w:val="24"/>
          <w:szCs w:val="24"/>
          <w:highlight w:val="green"/>
        </w:rPr>
        <w:t>-</w:t>
      </w:r>
      <w:proofErr w:type="spellStart"/>
      <w:r w:rsidRPr="00DB0437">
        <w:rPr>
          <w:rFonts w:ascii="Times New Roman" w:eastAsia="Times New Roman" w:hAnsi="Times New Roman" w:cs="Times New Roman"/>
          <w:sz w:val="24"/>
          <w:szCs w:val="24"/>
          <w:highlight w:val="green"/>
          <w:lang w:val="en-US"/>
        </w:rPr>
        <w:t>sq</w:t>
      </w:r>
      <w:proofErr w:type="spellEnd"/>
      <w:r w:rsidRPr="00DB0437">
        <w:rPr>
          <w:rFonts w:ascii="Times New Roman" w:eastAsia="Times New Roman" w:hAnsi="Times New Roman" w:cs="Times New Roman"/>
          <w:sz w:val="24"/>
          <w:szCs w:val="24"/>
          <w:highlight w:val="green"/>
        </w:rPr>
        <w:t>(</w:t>
      </w:r>
      <w:proofErr w:type="spellStart"/>
      <w:r w:rsidRPr="00DB0437">
        <w:rPr>
          <w:rFonts w:ascii="Times New Roman" w:eastAsia="Times New Roman" w:hAnsi="Times New Roman" w:cs="Times New Roman"/>
          <w:sz w:val="24"/>
          <w:szCs w:val="24"/>
          <w:highlight w:val="green"/>
          <w:lang w:val="en-US"/>
        </w:rPr>
        <w:t>adj</w:t>
      </w:r>
      <w:proofErr w:type="spellEnd"/>
      <w:r w:rsidRPr="00DB0437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) и </w:t>
      </w:r>
      <w:r w:rsidRPr="00DB0437">
        <w:rPr>
          <w:rFonts w:ascii="Times New Roman" w:eastAsia="Times New Roman" w:hAnsi="Times New Roman" w:cs="Times New Roman"/>
          <w:sz w:val="24"/>
          <w:szCs w:val="24"/>
          <w:highlight w:val="green"/>
          <w:lang w:val="en-US"/>
        </w:rPr>
        <w:t>R</w:t>
      </w:r>
      <w:r w:rsidRPr="00DB0437">
        <w:rPr>
          <w:rFonts w:ascii="Times New Roman" w:eastAsia="Times New Roman" w:hAnsi="Times New Roman" w:cs="Times New Roman"/>
          <w:sz w:val="24"/>
          <w:szCs w:val="24"/>
          <w:highlight w:val="green"/>
        </w:rPr>
        <w:t>-</w:t>
      </w:r>
      <w:proofErr w:type="spellStart"/>
      <w:r w:rsidRPr="00DB0437">
        <w:rPr>
          <w:rFonts w:ascii="Times New Roman" w:eastAsia="Times New Roman" w:hAnsi="Times New Roman" w:cs="Times New Roman"/>
          <w:sz w:val="24"/>
          <w:szCs w:val="24"/>
          <w:highlight w:val="green"/>
          <w:lang w:val="en-US"/>
        </w:rPr>
        <w:t>sq</w:t>
      </w:r>
      <w:proofErr w:type="spellEnd"/>
      <w:r w:rsidRPr="00DB0437">
        <w:rPr>
          <w:rFonts w:ascii="Times New Roman" w:eastAsia="Times New Roman" w:hAnsi="Times New Roman" w:cs="Times New Roman"/>
          <w:sz w:val="24"/>
          <w:szCs w:val="24"/>
          <w:highlight w:val="green"/>
        </w:rPr>
        <w:t>(</w:t>
      </w:r>
      <w:proofErr w:type="spellStart"/>
      <w:r w:rsidRPr="00DB0437">
        <w:rPr>
          <w:rFonts w:ascii="Times New Roman" w:eastAsia="Times New Roman" w:hAnsi="Times New Roman" w:cs="Times New Roman"/>
          <w:sz w:val="24"/>
          <w:szCs w:val="24"/>
          <w:highlight w:val="green"/>
          <w:lang w:val="en-US"/>
        </w:rPr>
        <w:t>pred</w:t>
      </w:r>
      <w:proofErr w:type="spellEnd"/>
      <w:r w:rsidRPr="00DB0437">
        <w:rPr>
          <w:rFonts w:ascii="Times New Roman" w:eastAsia="Times New Roman" w:hAnsi="Times New Roman" w:cs="Times New Roman"/>
          <w:sz w:val="24"/>
          <w:szCs w:val="24"/>
          <w:highlight w:val="green"/>
        </w:rPr>
        <w:t>)</w:t>
      </w:r>
      <w:r w:rsidRPr="006F4192">
        <w:rPr>
          <w:rFonts w:ascii="Times New Roman" w:eastAsia="Times New Roman" w:hAnsi="Times New Roman" w:cs="Times New Roman"/>
          <w:sz w:val="24"/>
          <w:szCs w:val="24"/>
        </w:rPr>
        <w:t xml:space="preserve"> можно считать пригодной для прогнозирования </w:t>
      </w:r>
      <w:r w:rsidRPr="00DB0437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DB0437" w:rsidRPr="00DB0437">
        <w:rPr>
          <w:rFonts w:ascii="Times New Roman" w:eastAsia="Times New Roman" w:hAnsi="Times New Roman" w:cs="Times New Roman"/>
          <w:sz w:val="24"/>
          <w:szCs w:val="24"/>
          <w:highlight w:val="yellow"/>
        </w:rPr>
        <w:t>т</w:t>
      </w:r>
      <w:r w:rsidRPr="00DB0437">
        <w:rPr>
          <w:rFonts w:ascii="Times New Roman" w:eastAsia="Times New Roman" w:hAnsi="Times New Roman" w:cs="Times New Roman"/>
          <w:sz w:val="24"/>
          <w:szCs w:val="24"/>
          <w:highlight w:val="yellow"/>
        </w:rPr>
        <w:t>абл</w:t>
      </w:r>
      <w:r w:rsidR="00DB0437" w:rsidRPr="00DB043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Pr="00DB043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7). </w:t>
      </w:r>
    </w:p>
    <w:p w:rsidR="005507CA" w:rsidRPr="00F57B46" w:rsidRDefault="00794FF5" w:rsidP="00FA645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</w:pPr>
      <w:r w:rsidRPr="00DB043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Таблица</w:t>
      </w:r>
      <w:r w:rsidRPr="00F57B4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 xml:space="preserve"> 7</w:t>
      </w:r>
    </w:p>
    <w:p w:rsidR="00794FF5" w:rsidRPr="00F003FA" w:rsidRDefault="00F003FA" w:rsidP="00FA6457">
      <w:pPr>
        <w:shd w:val="clear" w:color="auto" w:fill="FFFFFF"/>
        <w:spacing w:after="0" w:line="240" w:lineRule="auto"/>
        <w:ind w:right="90" w:firstLine="567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n-US"/>
        </w:rPr>
        <w:t>Объясняющая способность модели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559"/>
        <w:gridCol w:w="1984"/>
        <w:gridCol w:w="1701"/>
        <w:gridCol w:w="1701"/>
      </w:tblGrid>
      <w:tr w:rsidR="00794FF5" w:rsidRPr="00DB0437" w:rsidTr="00DB0437">
        <w:tc>
          <w:tcPr>
            <w:tcW w:w="1665" w:type="dxa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94FF5" w:rsidRPr="00DB0437" w:rsidRDefault="00794FF5" w:rsidP="00FA645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94FF5" w:rsidRPr="00DB0437" w:rsidRDefault="00794FF5" w:rsidP="00FA645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R-sq</w:t>
            </w:r>
            <w:r w:rsidR="00DB0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94FF5" w:rsidRPr="00DB0437" w:rsidRDefault="00794FF5" w:rsidP="00FA645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R-</w:t>
            </w:r>
            <w:proofErr w:type="spellStart"/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sq</w:t>
            </w:r>
            <w:proofErr w:type="spellEnd"/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adj</w:t>
            </w:r>
            <w:proofErr w:type="spellEnd"/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94FF5" w:rsidRPr="00DB0437" w:rsidRDefault="00794FF5" w:rsidP="00FA645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PRESS</w:t>
            </w: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794FF5" w:rsidRPr="00DB0437" w:rsidRDefault="00794FF5" w:rsidP="00DB0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R-</w:t>
            </w:r>
            <w:proofErr w:type="spellStart"/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sq</w:t>
            </w:r>
            <w:proofErr w:type="spellEnd"/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pred</w:t>
            </w:r>
            <w:proofErr w:type="spellEnd"/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  <w:r w:rsidR="00DB0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</w:tr>
      <w:tr w:rsidR="00794FF5" w:rsidRPr="006F4192" w:rsidTr="00DB0437">
        <w:tc>
          <w:tcPr>
            <w:tcW w:w="1665" w:type="dxa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DB0437" w:rsidRDefault="00794FF5" w:rsidP="00FA645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19,1207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DB0437" w:rsidRDefault="00794FF5" w:rsidP="00DB043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74,78</w:t>
            </w:r>
            <w:r w:rsidR="00DB0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DB0437" w:rsidRDefault="00794FF5" w:rsidP="00FA645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73,83%</w:t>
            </w: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DB0437" w:rsidRDefault="00794FF5" w:rsidP="00FA645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198408</w:t>
            </w:r>
          </w:p>
        </w:tc>
        <w:tc>
          <w:tcPr>
            <w:tcW w:w="1701" w:type="dxa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794FF5" w:rsidRPr="00DB0437" w:rsidRDefault="00794FF5" w:rsidP="00DB043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0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71,31</w:t>
            </w:r>
            <w:r w:rsidR="00DB04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94FF5" w:rsidRPr="006F4192" w:rsidRDefault="00794FF5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43608" w:rsidRPr="00DB0437" w:rsidRDefault="00794FF5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04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полученных результатов</w:t>
      </w:r>
    </w:p>
    <w:p w:rsidR="00F003FA" w:rsidRDefault="00F003FA" w:rsidP="00F003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Мультиколлинеарность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переменных для </w:t>
      </w: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>свертки  можно</w:t>
      </w:r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объяснить основными утверждениями агентской теории, которая гласит, что 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>наличие</w:t>
      </w:r>
      <w:r w:rsidRPr="00F67781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 долгосрочных долгов </w:t>
      </w:r>
      <w:r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дисциплинирует менеджеров фирмы по отношению в принятию излишних рисков, </w:t>
      </w:r>
      <w:r w:rsidRPr="00F67781">
        <w:rPr>
          <w:rFonts w:ascii="Times New Roman" w:hAnsi="Times New Roman" w:cs="Times New Roman"/>
          <w:sz w:val="24"/>
          <w:szCs w:val="24"/>
          <w:highlight w:val="green"/>
          <w:lang w:eastAsia="ja-JP"/>
        </w:rPr>
        <w:t xml:space="preserve"> в то время как компании с низким качеством риск-менеджмента стремятся избегать долгосрочных займов</w:t>
      </w:r>
      <w:r>
        <w:rPr>
          <w:rFonts w:ascii="Times New Roman" w:hAnsi="Times New Roman" w:cs="Times New Roman"/>
          <w:sz w:val="24"/>
          <w:szCs w:val="24"/>
          <w:lang w:eastAsia="ja-JP"/>
        </w:rPr>
        <w:t>. В то же время</w:t>
      </w:r>
      <w:r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6F4192">
        <w:rPr>
          <w:rFonts w:ascii="Times New Roman" w:hAnsi="Times New Roman" w:cs="Times New Roman"/>
          <w:sz w:val="24"/>
          <w:szCs w:val="24"/>
          <w:lang w:eastAsia="ja-JP"/>
        </w:rPr>
        <w:t xml:space="preserve"> агент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ы равнозначно могут быть мотивированы и ростом прибыли, и ростом управленческих расходов. Предпочтение в выборе того или </w:t>
      </w: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>иного  показателя</w:t>
      </w:r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для оптимизации зависят  от принятой в организации практики. </w:t>
      </w:r>
    </w:p>
    <w:p w:rsidR="00794FF5" w:rsidRPr="006F4192" w:rsidRDefault="00304AB4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Итоговая регрессия с учетом взаимозависимостей показала, что </w:t>
      </w:r>
      <w:r w:rsidR="00F0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кросс-эффект 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показателя вариации 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EVA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финансовых показателе</w:t>
      </w:r>
      <w:r w:rsidR="00DB043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статистически </w:t>
      </w:r>
      <w:r w:rsidR="00F003F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 по отношению к управленческим расходам</w:t>
      </w:r>
      <w:proofErr w:type="gramStart"/>
      <w:r w:rsidR="00F0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Pr="00794A9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На данном этапе гипотеза о том, что показатель вариации </w:t>
      </w:r>
      <w:r w:rsidRPr="00794A9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/>
        </w:rPr>
        <w:t>EVA</w:t>
      </w:r>
      <w:r w:rsidR="003A1603" w:rsidRPr="00794A9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является теоретически и статистически значимым при расчете </w:t>
      </w:r>
      <w:proofErr w:type="gramStart"/>
      <w:r w:rsidR="003A1603" w:rsidRPr="00794A9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оптимальн</w:t>
      </w:r>
      <w:r w:rsidR="00F003F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ых</w:t>
      </w:r>
      <w:r w:rsidR="003A1603" w:rsidRPr="00794A9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 инвестиций</w:t>
      </w:r>
      <w:proofErr w:type="gramEnd"/>
      <w:r w:rsidR="003A1603" w:rsidRPr="00794A9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в р</w:t>
      </w:r>
      <w:r w:rsidR="00F003F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иск-менеджмент</w:t>
      </w:r>
      <w:r w:rsidR="00794A92" w:rsidRPr="00794A9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,</w:t>
      </w:r>
      <w:r w:rsidR="00794FF5" w:rsidRPr="00794A9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подтверждается</w:t>
      </w:r>
      <w:r w:rsidR="003A1603" w:rsidRPr="00794A9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.</w:t>
      </w:r>
      <w:r w:rsidR="00794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1F95" w:rsidRPr="00794A9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В целом, </w:t>
      </w:r>
      <w:r w:rsidR="00F003F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оптимальный </w:t>
      </w:r>
      <w:r w:rsidR="00BE1F95" w:rsidRPr="00794A9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размер затрат, связанный с управлением рисками, составляет 17,8%.</w:t>
      </w:r>
      <w:r w:rsidR="00BE1F95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3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57B46" w:rsidRDefault="00F57B46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3608" w:rsidRPr="006F4192" w:rsidRDefault="00991508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41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Анализ выбросов </w:t>
      </w:r>
      <w:r w:rsidR="00643608" w:rsidRPr="006F41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</w:t>
      </w:r>
      <w:r w:rsidR="00F57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стандартизированной регрессии</w:t>
      </w:r>
    </w:p>
    <w:p w:rsidR="00991508" w:rsidRPr="006F4192" w:rsidRDefault="00F57B46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</w:t>
      </w:r>
      <w:r w:rsidR="00991508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регрессионного анализа были сформированы две группы выбросов: аномальные скачки объясняющих переменных и аномальное поведение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висимой переменной. В </w:t>
      </w:r>
      <w:r w:rsidRPr="00F5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табл.</w:t>
      </w:r>
      <w:r w:rsidR="00991508" w:rsidRPr="00F5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A65543" w:rsidRPr="00F57B4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8</w:t>
      </w:r>
      <w:r w:rsidR="00991508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 список компаний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нехарактерным</w:t>
      </w:r>
      <w:r w:rsidR="00991508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91508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5543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зависимой переменной.</w:t>
      </w:r>
      <w:r w:rsidRPr="00F5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них 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обнаружен аномальный скачок роста управленческих расходов в обозначенные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  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подобных аномалий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искали в Интернете.  </w:t>
      </w:r>
    </w:p>
    <w:p w:rsidR="00643608" w:rsidRPr="004467C3" w:rsidRDefault="00643608" w:rsidP="00FA6457">
      <w:pPr>
        <w:pStyle w:val="af"/>
        <w:keepNext/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DB0437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 xml:space="preserve">Таблица </w:t>
      </w:r>
      <w:r w:rsidR="00A65543" w:rsidRPr="00DB0437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8</w:t>
      </w:r>
    </w:p>
    <w:p w:rsidR="00643608" w:rsidRPr="00DB0437" w:rsidRDefault="00CD0431" w:rsidP="00CD0431">
      <w:pPr>
        <w:pStyle w:val="af"/>
        <w:keepNext/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Компании с </w:t>
      </w:r>
      <w:r w:rsidR="008A341C">
        <w:rPr>
          <w:rFonts w:ascii="Times New Roman" w:hAnsi="Times New Roman" w:cs="Times New Roman"/>
          <w:color w:val="000000" w:themeColor="text1"/>
          <w:sz w:val="20"/>
          <w:szCs w:val="20"/>
        </w:rPr>
        <w:t>нехарактерным ростом управленческих расходов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76"/>
        <w:gridCol w:w="3060"/>
        <w:gridCol w:w="1616"/>
      </w:tblGrid>
      <w:tr w:rsidR="009846BB" w:rsidRPr="00DB0437" w:rsidTr="00EE14FC">
        <w:trPr>
          <w:jc w:val="center"/>
        </w:trPr>
        <w:tc>
          <w:tcPr>
            <w:tcW w:w="0" w:type="auto"/>
            <w:vAlign w:val="center"/>
          </w:tcPr>
          <w:p w:rsidR="009846BB" w:rsidRPr="00DB0437" w:rsidRDefault="00766327" w:rsidP="00DB04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наблюдения</w:t>
            </w:r>
          </w:p>
        </w:tc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Компания</w:t>
            </w:r>
          </w:p>
        </w:tc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</w:tr>
      <w:tr w:rsidR="009846BB" w:rsidRPr="00DB0437" w:rsidTr="00EE14FC">
        <w:trPr>
          <w:jc w:val="center"/>
        </w:trPr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9846BB" w:rsidRPr="00DB0437" w:rsidRDefault="00DB0437" w:rsidP="00DB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="009846BB"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лкон</w:t>
            </w:r>
            <w:proofErr w:type="spellEnd"/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846BB" w:rsidRPr="00DB0437" w:rsidTr="00EE14FC">
        <w:trPr>
          <w:jc w:val="center"/>
        </w:trPr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185, 186</w:t>
            </w:r>
          </w:p>
        </w:tc>
        <w:tc>
          <w:tcPr>
            <w:tcW w:w="0" w:type="auto"/>
            <w:vAlign w:val="center"/>
          </w:tcPr>
          <w:p w:rsidR="009846BB" w:rsidRPr="00DB0437" w:rsidRDefault="00DB0437" w:rsidP="00DB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</w:t>
            </w:r>
            <w:r w:rsidR="009846BB"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ГМК Н</w:t>
            </w: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орильский никель» </w:t>
            </w:r>
          </w:p>
        </w:tc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2014, 2015</w:t>
            </w:r>
          </w:p>
        </w:tc>
      </w:tr>
      <w:tr w:rsidR="009846BB" w:rsidRPr="00DB0437" w:rsidTr="00EE14FC">
        <w:trPr>
          <w:jc w:val="center"/>
        </w:trPr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vAlign w:val="center"/>
          </w:tcPr>
          <w:p w:rsidR="009846BB" w:rsidRPr="00DB0437" w:rsidRDefault="00DB0437" w:rsidP="00DB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r w:rsidR="009846BB"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ЕВРАЗ НТМК</w:t>
            </w: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846BB" w:rsidRPr="00DB0437" w:rsidTr="00EE14FC">
        <w:trPr>
          <w:jc w:val="center"/>
        </w:trPr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</w:tcPr>
          <w:p w:rsidR="009846BB" w:rsidRPr="00DB0437" w:rsidRDefault="00DB0437" w:rsidP="00DB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</w:t>
            </w:r>
            <w:proofErr w:type="spellStart"/>
            <w:r w:rsidR="009846BB"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жсталь</w:t>
            </w:r>
            <w:proofErr w:type="spellEnd"/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9846BB"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846BB" w:rsidRPr="00DB0437" w:rsidTr="00EE14FC">
        <w:trPr>
          <w:jc w:val="center"/>
        </w:trPr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vAlign w:val="center"/>
          </w:tcPr>
          <w:p w:rsidR="009846BB" w:rsidRPr="00DB0437" w:rsidRDefault="00DB0437" w:rsidP="00DB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r w:rsidR="009846BB"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ИТЗ</w:t>
            </w: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9846BB"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846BB" w:rsidRPr="00DB0437" w:rsidTr="00EE14FC">
        <w:trPr>
          <w:jc w:val="center"/>
        </w:trPr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vAlign w:val="center"/>
          </w:tcPr>
          <w:p w:rsidR="009846BB" w:rsidRPr="00DB0437" w:rsidRDefault="00DB0437" w:rsidP="00DB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="009846BB"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</w:t>
            </w: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9846BB"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846BB" w:rsidRPr="00DB0437" w:rsidTr="00EE14FC">
        <w:trPr>
          <w:jc w:val="center"/>
        </w:trPr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0" w:type="auto"/>
            <w:vAlign w:val="center"/>
          </w:tcPr>
          <w:p w:rsidR="009846BB" w:rsidRPr="00DB0437" w:rsidRDefault="00DB0437" w:rsidP="00DB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</w:t>
            </w:r>
            <w:r w:rsidR="009846BB"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НЛМК</w:t>
            </w: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9846BB"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846BB" w:rsidRPr="00DB0437" w:rsidTr="00EE14FC">
        <w:trPr>
          <w:jc w:val="center"/>
        </w:trPr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0" w:type="auto"/>
            <w:vAlign w:val="center"/>
          </w:tcPr>
          <w:p w:rsidR="009846BB" w:rsidRPr="00DB0437" w:rsidRDefault="00DB0437" w:rsidP="00DB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r w:rsidR="009846BB"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ОЭМК</w:t>
            </w: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9846BB"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9846BB" w:rsidRPr="00DB0437" w:rsidTr="00EE14FC">
        <w:trPr>
          <w:jc w:val="center"/>
        </w:trPr>
        <w:tc>
          <w:tcPr>
            <w:tcW w:w="0" w:type="auto"/>
            <w:vAlign w:val="center"/>
          </w:tcPr>
          <w:p w:rsidR="009846BB" w:rsidRPr="00DB0437" w:rsidRDefault="009846BB" w:rsidP="00DB04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</w:t>
            </w:r>
            <w:r w:rsidR="00EC0676"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780, 781</w:t>
            </w:r>
          </w:p>
        </w:tc>
        <w:tc>
          <w:tcPr>
            <w:tcW w:w="0" w:type="auto"/>
            <w:vAlign w:val="center"/>
          </w:tcPr>
          <w:p w:rsidR="009846BB" w:rsidRPr="00DB0437" w:rsidRDefault="00DB0437" w:rsidP="00DB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«Боксит </w:t>
            </w:r>
            <w:proofErr w:type="spellStart"/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Тимана</w:t>
            </w:r>
            <w:proofErr w:type="spellEnd"/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9846BB"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2015, 2016, 2017</w:t>
            </w:r>
          </w:p>
        </w:tc>
      </w:tr>
      <w:tr w:rsidR="009846BB" w:rsidRPr="00DB0437" w:rsidTr="00EE14FC">
        <w:trPr>
          <w:jc w:val="center"/>
        </w:trPr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0" w:type="auto"/>
            <w:vAlign w:val="center"/>
          </w:tcPr>
          <w:p w:rsidR="009846BB" w:rsidRPr="00DB0437" w:rsidRDefault="00DB0437" w:rsidP="00DB0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«Полюс Красноярск»  </w:t>
            </w:r>
          </w:p>
        </w:tc>
        <w:tc>
          <w:tcPr>
            <w:tcW w:w="0" w:type="auto"/>
            <w:vAlign w:val="center"/>
          </w:tcPr>
          <w:p w:rsidR="009846BB" w:rsidRPr="00DB0437" w:rsidRDefault="009846BB" w:rsidP="00DB0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9846BB" w:rsidRPr="006F4192" w:rsidRDefault="009846BB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6BB" w:rsidRPr="006F4192" w:rsidRDefault="00F57B46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0C1B" w:rsidRDefault="00F57B46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2016 году 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ОЛКОН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сменился 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неральный директор. В 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</w:t>
      </w:r>
      <w:r w:rsidR="00E259DB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4FCB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2C4FCB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рекордного уровня качества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железорудного концентрата:</w:t>
      </w:r>
      <w:r w:rsidR="002C4FCB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железа в продукции компании в среднем составило 67%. Повышение качества продукции по сравнению </w:t>
      </w:r>
      <w:r w:rsidR="002C4FCB" w:rsidRPr="008A341C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прошлыми годами может быть результатом увел</w:t>
      </w:r>
      <w:r w:rsidRPr="008A3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ичения управленческих расходов </w:t>
      </w:r>
      <w:r w:rsidR="00A65543" w:rsidRPr="008A341C">
        <w:rPr>
          <w:rFonts w:ascii="Times New Roman" w:eastAsia="Times New Roman" w:hAnsi="Times New Roman" w:cs="Times New Roman"/>
          <w:color w:val="000000"/>
          <w:sz w:val="24"/>
          <w:szCs w:val="24"/>
        </w:rPr>
        <w:t>[https://olcon.ru</w:t>
      </w:r>
      <w:r w:rsidR="008879AE" w:rsidRPr="008A34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360C1B" w:rsidRPr="008A34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5ABB" w:rsidRPr="006F4192" w:rsidRDefault="00F57B46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proofErr w:type="gramEnd"/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акции </w:t>
      </w:r>
      <w:r w:rsidR="00935ABB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ПАО </w:t>
      </w:r>
      <w:r w:rsidR="00506D1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35ABB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ГМК Н</w:t>
      </w:r>
      <w:r w:rsidR="00794A92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орильский никель</w:t>
      </w:r>
      <w:r w:rsidR="00506D1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35ABB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упали более чем на   </w:t>
      </w:r>
      <w:r w:rsidR="00935ABB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15% за 10 дней. Падение рыночной </w:t>
      </w:r>
      <w:proofErr w:type="gramStart"/>
      <w:r w:rsidR="00935ABB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ABB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proofErr w:type="gramEnd"/>
      <w:r w:rsidR="00935ABB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результатов неэффективного менеджмента, в том числе и риск-менеджмента.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еакцией на падение рыночной стоимости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 быть а</w:t>
      </w:r>
      <w:r w:rsidR="00935ABB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номальный рост управленческих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79A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A65543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https://www.nornickel.ru</w:t>
      </w:r>
      <w:r w:rsidR="008879A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935ABB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3608" w:rsidRPr="006F4192" w:rsidRDefault="00F57B46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году </w:t>
      </w:r>
      <w:r w:rsidR="00C12D00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</w:t>
      </w:r>
      <w:r w:rsidR="00506D1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12D00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ЕВРАЗ НТМК</w:t>
      </w:r>
      <w:r w:rsidR="00506D1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12D00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снизил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2D00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выбросы в атмосферу. Рост управленческих расходов мог быть реакцией на государственные санкции в связи с экологической безопасностью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79A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A65543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http://rus.evraz.com</w:t>
      </w:r>
      <w:r w:rsidR="008879A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C12D00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D00" w:rsidRPr="006F4192" w:rsidRDefault="00F57B46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же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r w:rsidR="00C12D00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ПАО </w:t>
      </w:r>
      <w:r w:rsidR="00506D1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C12D00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4A92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жсталь</w:t>
      </w:r>
      <w:proofErr w:type="spellEnd"/>
      <w:r w:rsidR="00506D1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12D00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увеличило</w:t>
      </w:r>
      <w:r w:rsidR="00C12D00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объемы производства на 14% в сравнении с 2016 годом.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Возможно, это повлекло за собой р</w:t>
      </w:r>
      <w:r w:rsidR="005D7468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управленческих расходов</w:t>
      </w:r>
      <w:r w:rsidR="008879A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A65543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http://www.mechel.ru</w:t>
      </w:r>
      <w:r w:rsidR="008879A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5D7468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32CA" w:rsidRPr="006F4192" w:rsidRDefault="005A32CA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ПАО </w:t>
      </w:r>
      <w:r w:rsidR="00506D1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НЛМК</w:t>
      </w:r>
      <w:r w:rsidR="00506D1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2017 год добилась роста чистой прибыли на 55%. Рост управленческих расходов мог быть стимулом для подобного роста прибыли</w:t>
      </w:r>
      <w:r w:rsidR="008879A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A65543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https://www.finanz.ru</w:t>
      </w:r>
      <w:r w:rsidR="008879A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152A" w:rsidRPr="006F4192" w:rsidRDefault="00D55084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E152A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по 2017 год</w:t>
      </w:r>
      <w:r w:rsidR="0050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152A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АО </w:t>
      </w:r>
      <w:r w:rsidR="00506D1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94A92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Боксит </w:t>
      </w:r>
      <w:proofErr w:type="spellStart"/>
      <w:r w:rsidR="00794A92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Тимана</w:t>
      </w:r>
      <w:proofErr w:type="spellEnd"/>
      <w:r w:rsidR="00506D1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E152A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ось стабильного </w:t>
      </w:r>
      <w:r w:rsidR="00DB47C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увеличения объема добычи бокситовой руды на 11,5%.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Скорее всего, это обеспечено  за счет  увеличения </w:t>
      </w:r>
      <w:r w:rsidR="00DB47C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управленческих расходов</w:t>
      </w:r>
      <w:r w:rsidR="008879A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896377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https://www.bnkomi.ru</w:t>
      </w:r>
      <w:r w:rsidR="008879A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DB47C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4F2" w:rsidRPr="006F4192" w:rsidRDefault="00D55084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2017 году </w:t>
      </w:r>
      <w:r w:rsidR="00DB47C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</w:t>
      </w:r>
      <w:r w:rsidR="00506D1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94A92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Полюс Красноярск</w:t>
      </w:r>
      <w:r w:rsidR="00506D1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B47C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47C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производство драгоценного металла на 12% по сравнению с 2016 годом. Выручка от продаж выросла на 14%.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тимулом подобного развития могло послужить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B47C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величение объема управленческих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годом ранее</w:t>
      </w:r>
      <w:r w:rsidR="00DB47C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79A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896377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http://newslab.ru</w:t>
      </w:r>
      <w:r w:rsidR="008879A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DB47CE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6D17" w:rsidRDefault="00506D17" w:rsidP="00506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Toc8923041"/>
    </w:p>
    <w:p w:rsidR="00F003FA" w:rsidRPr="006F4192" w:rsidRDefault="001C716D" w:rsidP="00F003F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1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="00506D17" w:rsidRPr="006F41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аключение</w:t>
      </w:r>
      <w:bookmarkEnd w:id="4"/>
      <w:r w:rsidR="00F003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3B6134" w:rsidRPr="006F4192" w:rsidRDefault="003B6134" w:rsidP="00506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3FA" w:rsidRPr="00360C1B" w:rsidRDefault="00896377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</w:t>
      </w:r>
      <w:r w:rsidR="00223827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проблема оптимизации инвестиций в корпоративный риск-</w:t>
      </w:r>
      <w:proofErr w:type="gramStart"/>
      <w:r w:rsidR="00223827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менеджмент </w:t>
      </w: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</w:t>
      </w:r>
      <w:proofErr w:type="gramEnd"/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решена  с применением предложенного уравнения.</w:t>
      </w:r>
      <w:r w:rsidR="008B1449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5084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="008B1449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отражает </w:t>
      </w:r>
      <w:r w:rsidR="008B1449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финансовых показателей компании, описывающих отдачу от вовлеченного капитала с учетом показателя экономической добавленной стоимости (</w:t>
      </w:r>
      <w:r w:rsidR="008B1449" w:rsidRPr="00360C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EVA</w:t>
      </w:r>
      <w:r w:rsidR="008B1449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A65543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34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Предложенная модель</w:t>
      </w:r>
      <w:r w:rsidR="00D55084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449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оптимальных инвести</w:t>
      </w:r>
      <w:r w:rsidR="00D55084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="008A3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A3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подтверждена </w:t>
      </w:r>
      <w:bookmarkStart w:id="5" w:name="_GoBack"/>
      <w:bookmarkEnd w:id="5"/>
      <w:r w:rsidR="00D55084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теоретически</w:t>
      </w:r>
      <w:proofErr w:type="gramEnd"/>
      <w:r w:rsidR="00D55084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статистически. П</w:t>
      </w:r>
      <w:r w:rsidR="001E784C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оказатель дисперси</w:t>
      </w:r>
      <w:r w:rsidR="008001C0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B1449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449" w:rsidRPr="00360C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EVA</w:t>
      </w:r>
      <w:r w:rsidR="006B2C20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5084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связан с основными показателями финансовой деятельности и </w:t>
      </w:r>
      <w:r w:rsidR="008B1449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значимо влияет на объем управленческих расходов компании с учетом взаимозависимости показателя с основными показателями финансовой деятельности. </w:t>
      </w:r>
      <w:r w:rsidR="00D55084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0692" w:rsidRPr="006F4192" w:rsidRDefault="00F003FA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отношения управленческих расходов к экономической добавленной стоимости достаточно часто используется при оценке косвенной эффективности проектов IT [</w:t>
      </w:r>
      <w:proofErr w:type="spellStart"/>
      <w:r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>Strassmann</w:t>
      </w:r>
      <w:proofErr w:type="spellEnd"/>
      <w:r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1996; </w:t>
      </w:r>
      <w:proofErr w:type="spellStart"/>
      <w:r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>Pisello</w:t>
      </w:r>
      <w:proofErr w:type="spellEnd"/>
      <w:r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>Strassmann</w:t>
      </w:r>
      <w:proofErr w:type="spellEnd"/>
      <w:r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>, 2003</w:t>
      </w:r>
      <w:proofErr w:type="gramStart"/>
      <w:r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>],  для</w:t>
      </w:r>
      <w:proofErr w:type="gramEnd"/>
      <w:r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которых, как и для  проектов внедрения риск-менеджмента, не найдено прямого свидетельства эффективности [Макарова, 2015]. В контексте данного исследования дополнительным критерием оценки реакции управленческих расходов на факторы риска может служить временной анализ (включение лагов в регрессии) и анализ трендов, однако на временном промежутке в 5 лет это не представляется возможным и потому не было проведено. </w:t>
      </w:r>
      <w:r w:rsidR="00D55084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э</w:t>
      </w:r>
      <w:r w:rsidR="007E0692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мпирическая модель может быть </w:t>
      </w:r>
      <w:r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проверена </w:t>
      </w:r>
      <w:r w:rsidR="00D55084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>на большем временно</w:t>
      </w:r>
      <w:r w:rsidR="00382B9E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55084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промежутке</w:t>
      </w:r>
      <w:r w:rsidR="007E0692" w:rsidRPr="00360C1B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позволит проверить данные на наличие</w:t>
      </w:r>
      <w:r w:rsidR="007E0692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тренда и скорректировать эмпирическую модель. </w:t>
      </w:r>
      <w:r w:rsidR="002D1FDA"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временного промежутка наблюдения также позволит лучше проследить динамику реакции управленческих расходов на негативные события. </w:t>
      </w:r>
    </w:p>
    <w:p w:rsidR="009452FF" w:rsidRPr="006F4192" w:rsidRDefault="009452FF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19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9260D" w:rsidRPr="006F4192" w:rsidRDefault="00506D17" w:rsidP="00FA645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oc892304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FC32B1" w:rsidRPr="006F4192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6F4192">
        <w:rPr>
          <w:rFonts w:ascii="Times New Roman" w:eastAsia="Times New Roman" w:hAnsi="Times New Roman" w:cs="Times New Roman"/>
          <w:b/>
          <w:sz w:val="24"/>
          <w:szCs w:val="24"/>
        </w:rPr>
        <w:t>итератур</w:t>
      </w:r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896377" w:rsidRPr="00896377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Berkowitz M. K., </w:t>
      </w:r>
      <w:proofErr w:type="spellStart"/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Kotowitz</w:t>
      </w:r>
      <w:proofErr w:type="spellEnd"/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Y. Managerial quality and the structure of management expenses in the US mutual fund industry. // </w:t>
      </w:r>
      <w:r w:rsidRPr="0089637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International Review of Economics &amp; Finance</w:t>
      </w: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 </w:t>
      </w:r>
      <w:r w:rsidRPr="0089637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11</w:t>
      </w: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3. 2002. C. 315-330.</w:t>
      </w:r>
    </w:p>
    <w:p w:rsidR="00896377" w:rsidRPr="00F003FA" w:rsidRDefault="00896377" w:rsidP="00F003FA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003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Chen C. X., Lu H., </w:t>
      </w:r>
      <w:proofErr w:type="spellStart"/>
      <w:r w:rsidRPr="00F003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Sougiannis</w:t>
      </w:r>
      <w:proofErr w:type="spellEnd"/>
      <w:r w:rsidRPr="00F003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T. </w:t>
      </w:r>
      <w:r w:rsidR="008557BB" w:rsidRPr="00F003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(2012). </w:t>
      </w:r>
      <w:r w:rsidRPr="00F003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agency problem, corporate governance, and the asymmetrical behavior of selling, general, and administrative costs. // </w:t>
      </w:r>
      <w:r w:rsidRPr="00F003FA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Contemporary Accounting Research</w:t>
      </w:r>
      <w:r w:rsidRPr="00F003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 </w:t>
      </w:r>
      <w:r w:rsidRPr="00F003FA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29</w:t>
      </w:r>
      <w:r w:rsidRPr="00F003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1. 2012. С. 252-282.</w:t>
      </w:r>
      <w:r w:rsidR="008557BB" w:rsidRPr="00F003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96377" w:rsidRPr="00896377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Coase</w:t>
      </w:r>
      <w:proofErr w:type="spellEnd"/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R. The Nature of the Firm // </w:t>
      </w:r>
      <w:proofErr w:type="spellStart"/>
      <w:r w:rsidRPr="0089637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Economica</w:t>
      </w:r>
      <w:proofErr w:type="spellEnd"/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Vol 4. 16. 1937. </w:t>
      </w: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 386–405.</w:t>
      </w:r>
    </w:p>
    <w:p w:rsidR="00896377" w:rsidRPr="004F660E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COSO ERM</w:t>
      </w:r>
      <w:r w:rsidR="002458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— </w:t>
      </w: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Integrated Framework. </w:t>
      </w:r>
      <w:r w:rsidR="004F660E" w:rsidRPr="004F660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URL</w:t>
      </w:r>
      <w:r w:rsidRPr="004F660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: </w:t>
      </w:r>
      <w:r w:rsidR="001E51F9" w:rsidRPr="006F41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http</w:t>
      </w:r>
      <w:r w:rsidR="001E51F9" w:rsidRPr="004F660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://</w:t>
      </w:r>
      <w:r w:rsidR="001E51F9" w:rsidRPr="006F41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www</w:t>
      </w:r>
      <w:r w:rsidR="001E51F9" w:rsidRPr="004F660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.</w:t>
      </w:r>
      <w:r w:rsidR="001E51F9" w:rsidRPr="006F41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coso</w:t>
      </w:r>
      <w:r w:rsidR="001E51F9" w:rsidRPr="004F660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.</w:t>
      </w:r>
      <w:r w:rsidR="001E51F9" w:rsidRPr="006F419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org</w:t>
      </w:r>
      <w:r w:rsidRPr="004F660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Demsetz</w:t>
      </w:r>
      <w:proofErr w:type="spellEnd"/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H. The economics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of the firm: Seven critical commentaries. Cambridge. Cambridge University Press. 1995. 192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FERMA Risk Management Standard. </w:t>
      </w:r>
      <w:r w:rsidR="004F660E"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URL: </w:t>
      </w:r>
      <w:r w:rsidR="001E51F9" w:rsidRPr="00360C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http://www.ferma.eu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Finanz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4F660E"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URL: https://www.finanz.ru.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Grinstein Y. The disciplinary role of debt and equity contracts: Theory and tests // Journal of Financial Intermediation. 15. 2006. C. 419–443.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ISO 31000</w:t>
      </w:r>
      <w:r w:rsidR="00245803"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Risk Management. </w:t>
      </w:r>
      <w:r w:rsidR="004F660E"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URL: </w:t>
      </w:r>
      <w:r w:rsidR="001E51F9" w:rsidRPr="00360C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http://www.iso.org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Jensen C. M.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Theory of the Firm: Managerial behavior, agency costs and ownership structure. // Journal of Financial Economics. 3. 4. 1976.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 305-360.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Leland H. E. </w:t>
      </w:r>
      <w:r w:rsidR="00B8501C"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(1998).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Agency costs, risk management, and capital structure. // 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The Journal of Finance</w:t>
      </w:r>
      <w:r w:rsidR="00B8501C"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53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.4. </w:t>
      </w:r>
      <w:r w:rsidR="00B8501C"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1213-1243.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Merna</w:t>
      </w:r>
      <w:proofErr w:type="spellEnd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T., Al-</w:t>
      </w:r>
      <w:proofErr w:type="spellStart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Thani</w:t>
      </w:r>
      <w:proofErr w:type="spellEnd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F. F. 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Corporate risk management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John Wiley &amp; Sons. 2011. 440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OCEG Red Book 2.1. </w:t>
      </w:r>
      <w:r w:rsidR="004F660E"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URL: </w:t>
      </w:r>
      <w:hyperlink r:id="rId8" w:history="1"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http://www.oceg.org</w:t>
        </w:r>
      </w:hyperlink>
      <w:r w:rsidR="004F660E" w:rsidRPr="00360C1B">
        <w:rPr>
          <w:lang w:val="en-US"/>
        </w:rPr>
        <w:t>.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F660E"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1E51F9" w:rsidRPr="00360C1B" w:rsidRDefault="001E51F9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Oliver E W. The Theory of the Firm as Governance Structure: From Choice to Contract. // Journal of Economic Perspectives. </w:t>
      </w:r>
      <w:r w:rsidRPr="00360C1B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en-US"/>
        </w:rPr>
        <w:t>16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. 3. 2002. 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С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. 171–195.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Pisello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Strassmann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  IT Value Chain Management </w:t>
      </w:r>
      <w:r w:rsidR="00F003FA" w:rsidRPr="00360C1B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Maximizing the ROI from IT Investments.</w:t>
      </w:r>
      <w:r w:rsidR="00F57B46"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03FA" w:rsidRPr="00360C1B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F003FA"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03FA" w:rsidRPr="00360C1B">
        <w:rPr>
          <w:rFonts w:ascii="Times New Roman" w:eastAsia="Times New Roman" w:hAnsi="Times New Roman" w:cs="Times New Roman"/>
          <w:sz w:val="24"/>
          <w:szCs w:val="24"/>
        </w:rPr>
        <w:t>Canaan</w:t>
      </w:r>
      <w:proofErr w:type="spellEnd"/>
      <w:r w:rsidR="00F003FA" w:rsidRPr="00360C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03FA" w:rsidRPr="00360C1B">
        <w:rPr>
          <w:rFonts w:ascii="Times New Roman" w:eastAsia="Times New Roman" w:hAnsi="Times New Roman" w:cs="Times New Roman"/>
          <w:sz w:val="24"/>
          <w:szCs w:val="24"/>
        </w:rPr>
        <w:t>Connecticut</w:t>
      </w:r>
      <w:proofErr w:type="spellEnd"/>
      <w:r w:rsidR="00F003FA" w:rsidRPr="00360C1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</w:rPr>
        <w:t>, 2003</w:t>
      </w:r>
      <w:r w:rsidR="00F57B46" w:rsidRPr="00360C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03FA" w:rsidRPr="00360C1B">
        <w:rPr>
          <w:rFonts w:ascii="Times New Roman" w:eastAsia="Times New Roman" w:hAnsi="Times New Roman" w:cs="Times New Roman"/>
          <w:sz w:val="24"/>
          <w:szCs w:val="24"/>
        </w:rPr>
        <w:t>С. 93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Prokop J. Contemporary economic theories of the firm. Warsaw school of economics. 2010. 61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SOLVENCY II. </w:t>
      </w:r>
      <w:r w:rsidR="004F660E"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URL: </w:t>
      </w:r>
      <w:hyperlink r:id="rId9" w:history="1"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http://www.eur-lex.europa.eu</w:t>
        </w:r>
      </w:hyperlink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001C0" w:rsidRPr="00360C1B" w:rsidRDefault="00F003FA" w:rsidP="008001C0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Strassmann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 The Squandered Computer: Estimating the Business Alignment of Information Technology. New</w:t>
      </w:r>
      <w:r w:rsidR="008001C0"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Canaan, </w:t>
      </w:r>
      <w:proofErr w:type="gramStart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Connecticut :</w:t>
      </w:r>
      <w:proofErr w:type="gramEnd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Information Economics Press, 1997. 402 p.</w:t>
      </w:r>
    </w:p>
    <w:p w:rsidR="00896377" w:rsidRPr="00360C1B" w:rsidRDefault="00896377" w:rsidP="008001C0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Stulz</w:t>
      </w:r>
      <w:proofErr w:type="spellEnd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R. M. Rethinking risk management. // 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Journal of applied corporate finance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 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9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3. 1996. C.8-25.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Sung J. Optimal contracts under adverse selection and moral hazard: a continuous-time approach. // 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The Review of Financial Studies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 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18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3. 2005. C. 1021-1073.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Wagner C., </w:t>
      </w:r>
      <w:proofErr w:type="spellStart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Mylovanov</w:t>
      </w:r>
      <w:proofErr w:type="spellEnd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T., </w:t>
      </w:r>
      <w:proofErr w:type="spellStart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Tröger</w:t>
      </w:r>
      <w:proofErr w:type="spellEnd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T. Informed-principal problem with moral hazard, risk neutrality, and no limited liability. // 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Journal of Economic Theory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 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159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2015. C. 280-289.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Williamson O. E. Corporate</w:t>
      </w:r>
      <w:r w:rsidR="00F003FA"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control and business behavior.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Prentice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Hall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. 1970. 196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Yazdipour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R. Advances in Entrepreneurial </w:t>
      </w:r>
      <w:proofErr w:type="gramStart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Finance.</w:t>
      </w:r>
      <w:r w:rsidR="00F003FA"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gramEnd"/>
      <w:r w:rsidR="00F003FA"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Springer Science + Business Media, LLC. 2011. 254 </w:t>
      </w:r>
      <w:r w:rsidRPr="00360C1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="00506D17" w:rsidRPr="00360C1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0C1B">
        <w:rPr>
          <w:rFonts w:ascii="Times New Roman" w:eastAsia="Times New Roman" w:hAnsi="Times New Roman" w:cs="Times New Roman"/>
          <w:sz w:val="24"/>
          <w:szCs w:val="24"/>
        </w:rPr>
        <w:t>ОЛКОН</w:t>
      </w:r>
      <w:r w:rsidR="00506D17" w:rsidRPr="00360C1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660E"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olcon</w:t>
        </w:r>
        <w:proofErr w:type="spellEnd"/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60C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Белозерский А.Ю., Никитина В.В. Управление рисками металлургического предприятия как составляющая региональной экономики. // </w:t>
      </w: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</w:rPr>
        <w:t>Регионология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</w:rPr>
        <w:t>. 4. 2010. С. 89-95.</w:t>
      </w:r>
    </w:p>
    <w:p w:rsidR="00F003FA" w:rsidRPr="00360C1B" w:rsidRDefault="00F003FA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C1B">
        <w:rPr>
          <w:rFonts w:ascii="Times New Roman" w:eastAsia="Times New Roman" w:hAnsi="Times New Roman" w:cs="Times New Roman"/>
          <w:sz w:val="24"/>
          <w:szCs w:val="24"/>
        </w:rPr>
        <w:t>Евграфова И. В., Попов П. В. Концепции финансового риск-менеджмента в металлургии: условия, стратегии, методические схемы // ГИАБ. 2010. №9. URL: https://cyberleninka.ru/article/n/kontseptsii-finansovogo-risk-menedzhmenta-v-metallurgii-usloviya-strategii-metodicheskie-shemy (дата обращения: 14.10.2019).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C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Интернет-газета </w:t>
      </w: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newslab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4A92"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360C1B">
        <w:rPr>
          <w:rFonts w:ascii="Times New Roman" w:eastAsia="Times New Roman" w:hAnsi="Times New Roman" w:cs="Times New Roman"/>
          <w:sz w:val="24"/>
          <w:szCs w:val="24"/>
        </w:rPr>
        <w:t>: http://newslab.ru.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агентство БНК. </w:t>
      </w:r>
      <w:r w:rsidR="00794A92"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360C1B">
        <w:rPr>
          <w:rFonts w:ascii="Times New Roman" w:eastAsia="Times New Roman" w:hAnsi="Times New Roman" w:cs="Times New Roman"/>
          <w:sz w:val="24"/>
          <w:szCs w:val="24"/>
        </w:rPr>
        <w:t>: https://www.bnkomi.ru.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Клейнер</w:t>
      </w:r>
      <w:proofErr w:type="spellEnd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Г.Б. Риски промышленных предприятий (как их уменьшить и компенсировать). // Российский экономический журнал. 5. 6. 1994. С. 85-92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Мазур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И.И., Шапиро В.Д., Коротков Э.М.</w:t>
      </w:r>
      <w:r w:rsidR="008557BB" w:rsidRPr="00360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др. (2005). </w:t>
      </w:r>
      <w:r w:rsidRPr="00360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Корпоративный менеджмент. Омега-Л. 2005. 376 с. 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C1B">
        <w:rPr>
          <w:rFonts w:ascii="Times New Roman" w:eastAsia="Times New Roman" w:hAnsi="Times New Roman" w:cs="Times New Roman"/>
          <w:sz w:val="24"/>
          <w:szCs w:val="24"/>
        </w:rPr>
        <w:t>Макарова В. А. Анализ и оценка экономической эффективности риск-менеджмента // Эффективное антикризисное управление. 2015. № 3. С. 72-83.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Малашихина</w:t>
      </w:r>
      <w:proofErr w:type="spellEnd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Н.Н., Белокрылова О.С. Риск-менеджмент</w:t>
      </w:r>
      <w:r w:rsidR="004F660E"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учебное пособие. </w:t>
      </w:r>
      <w:r w:rsidR="00794A92"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Феникс</w:t>
      </w:r>
      <w:r w:rsidR="00794A92"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2004. 320 с. 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Мечел. </w:t>
      </w:r>
      <w:r w:rsidR="004F660E"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360C1B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360C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mechel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</w:rPr>
        <w:t>Норникель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660E"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360C1B">
        <w:rPr>
          <w:rFonts w:ascii="Times New Roman" w:eastAsia="Times New Roman" w:hAnsi="Times New Roman" w:cs="Times New Roman"/>
          <w:sz w:val="24"/>
          <w:szCs w:val="24"/>
        </w:rPr>
        <w:t>: https://www.nornickel.ru.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Приходько Р.В., </w:t>
      </w: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</w:rPr>
        <w:t>Кочегарова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 Т.С. Методы управления рисками в металлургической промышленности. // Научный журнал НИУ ИТМО. 3. 2014. С. 463-476. 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</w:rPr>
        <w:t>Спарк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 - проверка к</w:t>
      </w:r>
      <w:r w:rsidR="00794A92" w:rsidRPr="00360C1B">
        <w:rPr>
          <w:rFonts w:ascii="Times New Roman" w:eastAsia="Times New Roman" w:hAnsi="Times New Roman" w:cs="Times New Roman"/>
          <w:sz w:val="24"/>
          <w:szCs w:val="24"/>
        </w:rPr>
        <w:t>онтрагента</w:t>
      </w:r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spark</w:t>
        </w:r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interfax</w:t>
        </w:r>
        <w:proofErr w:type="spellEnd"/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60C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377" w:rsidRPr="00360C1B" w:rsidRDefault="00896377" w:rsidP="00F003FA">
      <w:pPr>
        <w:numPr>
          <w:ilvl w:val="0"/>
          <w:numId w:val="1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служба государственной статистики. </w:t>
      </w:r>
      <w:r w:rsidR="00F67781"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gks</w:t>
        </w:r>
        <w:proofErr w:type="spellEnd"/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E51F9"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60C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517" w:rsidRPr="00360C1B" w:rsidRDefault="00654517" w:rsidP="00FA64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331" w:rsidRPr="00360C1B" w:rsidRDefault="00F003FA" w:rsidP="00F00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ja-JP"/>
        </w:rPr>
      </w:pPr>
      <w:r w:rsidRPr="00360C1B">
        <w:rPr>
          <w:rFonts w:ascii="Times New Roman" w:hAnsi="Times New Roman" w:cs="Times New Roman"/>
          <w:b/>
          <w:sz w:val="24"/>
          <w:szCs w:val="24"/>
          <w:lang w:val="en-US" w:eastAsia="ja-JP"/>
        </w:rPr>
        <w:t>References</w:t>
      </w:r>
    </w:p>
    <w:p w:rsidR="00F003FA" w:rsidRPr="00360C1B" w:rsidRDefault="00F003FA" w:rsidP="00F00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ja-JP"/>
        </w:rPr>
      </w:pPr>
    </w:p>
    <w:p w:rsidR="00F003FA" w:rsidRPr="00360C1B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Berkowitz M. K., </w:t>
      </w:r>
      <w:proofErr w:type="spellStart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Kotowitz</w:t>
      </w:r>
      <w:proofErr w:type="spellEnd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Y. Managerial quality and the structure of management expenses in the US mutual fund industry. // 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International Review of Economics &amp; Finance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 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11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3. 2002. C. 315-330.</w:t>
      </w:r>
    </w:p>
    <w:p w:rsidR="00F003FA" w:rsidRPr="00360C1B" w:rsidRDefault="00F003FA" w:rsidP="00F003FA">
      <w:pPr>
        <w:numPr>
          <w:ilvl w:val="0"/>
          <w:numId w:val="19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Chen C. X., Lu H., </w:t>
      </w:r>
      <w:proofErr w:type="spellStart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Sougiannis</w:t>
      </w:r>
      <w:proofErr w:type="spellEnd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T. (2012). The agency problem, corporate governance, and the asymmetrical behavior of selling, general, and administrative costs. // 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Contemporary Accounting Research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 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29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1. 2012. С. 252-282. </w:t>
      </w:r>
    </w:p>
    <w:p w:rsidR="00F003FA" w:rsidRPr="00360C1B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Coase</w:t>
      </w:r>
      <w:proofErr w:type="spellEnd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R. The Nature of the Firm // </w:t>
      </w:r>
      <w:proofErr w:type="spellStart"/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Economica</w:t>
      </w:r>
      <w:proofErr w:type="spellEnd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Vol 4. 16. 1937.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 386–405.</w:t>
      </w:r>
    </w:p>
    <w:p w:rsidR="00F003FA" w:rsidRPr="00360C1B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COSO ERM — Integrated Framework.   URL: </w:t>
      </w:r>
      <w:r w:rsidRPr="00360C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http://www.coso.org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003FA" w:rsidRPr="00360C1B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Demsetz</w:t>
      </w:r>
      <w:proofErr w:type="spellEnd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H. The economics of the firm: Seven critical commentaries. Cambridge. Cambridge University Press. 1995. 192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F003FA" w:rsidRPr="00360C1B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FERMA Risk Management Standard.   URL: </w:t>
      </w:r>
      <w:r w:rsidRPr="00360C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http://www.ferma.eu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003FA" w:rsidRPr="00360C1B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Finanz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.   URL: https://www.finanz.ru.</w:t>
      </w:r>
    </w:p>
    <w:p w:rsidR="00F003FA" w:rsidRPr="00360C1B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Grinstein Y. The disciplinary role of debt and equity contracts: Theory and tests // Journal of Financial Intermediation. 15. 2006. C. 419–443.</w:t>
      </w:r>
    </w:p>
    <w:p w:rsidR="00F003FA" w:rsidRPr="00360C1B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ISO 31000 — Risk Management.   URL: </w:t>
      </w:r>
      <w:r w:rsidRPr="00360C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http://www.iso.org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003FA" w:rsidRPr="00360C1B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Jensen C. M.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Theory of the Firm: Managerial behavior, agency costs and ownership structure. // Journal of Financial Economics. 3. 4. 1976.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 305-360.</w:t>
      </w:r>
    </w:p>
    <w:p w:rsidR="00F003FA" w:rsidRPr="00360C1B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Leland H. E. (1998). Agency costs, risk management, and capital structure. // 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The Journal of Finance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 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53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.4.  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1213-1243.</w:t>
      </w:r>
    </w:p>
    <w:p w:rsidR="00F003FA" w:rsidRPr="00360C1B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Merna</w:t>
      </w:r>
      <w:proofErr w:type="spellEnd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T., Al-</w:t>
      </w:r>
      <w:proofErr w:type="spellStart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Thani</w:t>
      </w:r>
      <w:proofErr w:type="spellEnd"/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F. F. 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Corporate risk management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John Wiley &amp; Sons. 2011. 440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F003FA" w:rsidRPr="00360C1B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OCEG Red Book 2.1.   URL: </w:t>
      </w:r>
      <w:hyperlink r:id="rId13" w:history="1">
        <w:r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http://www.oceg.org</w:t>
        </w:r>
      </w:hyperlink>
      <w:r w:rsidRPr="00360C1B">
        <w:rPr>
          <w:lang w:val="en-US"/>
        </w:rPr>
        <w:t>.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</w:p>
    <w:p w:rsidR="00F003FA" w:rsidRPr="00360C1B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Oliver E W. The Theory of the Firm as Governance Structure: From Choice to Contract. // Journal of Economic Perspectives. </w:t>
      </w:r>
      <w:r w:rsidRPr="00360C1B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  <w:lang w:val="en-US"/>
        </w:rPr>
        <w:t>16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. 3. 2002. 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С</w:t>
      </w:r>
      <w:r w:rsidRPr="00360C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. 171–195.</w:t>
      </w:r>
    </w:p>
    <w:p w:rsidR="00F003FA" w:rsidRPr="00360C1B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Pisello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Strassmann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  IT Value Chain Management 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Maximizing the ROI from IT Investments. </w:t>
      </w: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</w:rPr>
        <w:t>Canaan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</w:rPr>
        <w:t>Connecticut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</w:rPr>
        <w:t>, 2003. С. 93</w:t>
      </w:r>
    </w:p>
    <w:p w:rsidR="00F003FA" w:rsidRPr="00360C1B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Prokop J. Contemporary economic theories of the firm. Warsaw school of economics. 2010. 61 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F003FA" w:rsidRPr="00360C1B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360C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SOLVENCY II.  URL: </w:t>
      </w:r>
      <w:hyperlink r:id="rId14" w:history="1">
        <w:r w:rsidRPr="00360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http://www.eur-lex.europa.eu</w:t>
        </w:r>
      </w:hyperlink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001C0" w:rsidRDefault="00F003FA" w:rsidP="008001C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Strassmann</w:t>
      </w:r>
      <w:proofErr w:type="spellEnd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 The Squandered Computer: Estimating the Business Alignment of Information Technology. New</w:t>
      </w:r>
      <w:r w:rsidR="008001C0" w:rsidRPr="0036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Canaan, </w:t>
      </w:r>
      <w:proofErr w:type="gramStart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>Connecticut :</w:t>
      </w:r>
      <w:proofErr w:type="gramEnd"/>
      <w:r w:rsidRPr="00360C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Information Economics Press, 1997. 402</w:t>
      </w:r>
      <w:r w:rsidRPr="008001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</w:t>
      </w:r>
    </w:p>
    <w:p w:rsidR="00F003FA" w:rsidRPr="008001C0" w:rsidRDefault="00F003FA" w:rsidP="008001C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00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Stulz</w:t>
      </w:r>
      <w:proofErr w:type="spellEnd"/>
      <w:r w:rsidRPr="00800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R. M. Rethinking risk management. // </w:t>
      </w:r>
      <w:r w:rsidRPr="008001C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Journal of applied corporate finance</w:t>
      </w:r>
      <w:r w:rsidRPr="00800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 </w:t>
      </w:r>
      <w:r w:rsidRPr="008001C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9</w:t>
      </w:r>
      <w:r w:rsidRPr="00800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3. 1996. C.8-25.</w:t>
      </w:r>
    </w:p>
    <w:p w:rsidR="00F003FA" w:rsidRPr="00896377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lastRenderedPageBreak/>
        <w:t xml:space="preserve">Sung J. Optimal contracts under adverse selection and moral hazard: a continuous-time approach. // </w:t>
      </w:r>
      <w:r w:rsidRPr="0089637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The Review of Financial Studies</w:t>
      </w: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 </w:t>
      </w:r>
      <w:r w:rsidRPr="0089637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18</w:t>
      </w: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3. 2005. C. 1021-1073.</w:t>
      </w:r>
    </w:p>
    <w:p w:rsidR="00F003FA" w:rsidRPr="00896377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Wagner C., </w:t>
      </w:r>
      <w:proofErr w:type="spellStart"/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Mylovanov</w:t>
      </w:r>
      <w:proofErr w:type="spellEnd"/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T., </w:t>
      </w:r>
      <w:proofErr w:type="spellStart"/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Tröger</w:t>
      </w:r>
      <w:proofErr w:type="spellEnd"/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T. Informed-principal problem with moral hazard, risk neutrality, and no limited liability. // </w:t>
      </w:r>
      <w:r w:rsidRPr="0089637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Journal of Economic Theory</w:t>
      </w: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 </w:t>
      </w:r>
      <w:r w:rsidRPr="0089637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159</w:t>
      </w: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2015. C. 280-289.</w:t>
      </w:r>
    </w:p>
    <w:p w:rsidR="00F003FA" w:rsidRPr="00F003FA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Williamson O. E. Corporate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control and business behavior. </w:t>
      </w: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Prentice</w:t>
      </w:r>
      <w:r w:rsidRPr="00F003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Hall</w:t>
      </w:r>
      <w:r w:rsidRPr="00F003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. 1970. 196 </w:t>
      </w:r>
      <w:r w:rsidRPr="008963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F003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</w:t>
      </w:r>
    </w:p>
    <w:p w:rsidR="00F003FA" w:rsidRPr="00896377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96377">
        <w:rPr>
          <w:rFonts w:ascii="Times New Roman" w:eastAsia="Times New Roman" w:hAnsi="Times New Roman" w:cs="Times New Roman"/>
          <w:sz w:val="24"/>
          <w:szCs w:val="24"/>
          <w:lang w:val="en-US"/>
        </w:rPr>
        <w:t>Yazdipour</w:t>
      </w:r>
      <w:proofErr w:type="spellEnd"/>
      <w:r w:rsidRPr="008963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R. Advances in Entrepreneurial </w:t>
      </w:r>
      <w:proofErr w:type="gramStart"/>
      <w:r w:rsidRPr="00896377">
        <w:rPr>
          <w:rFonts w:ascii="Times New Roman" w:eastAsia="Times New Roman" w:hAnsi="Times New Roman" w:cs="Times New Roman"/>
          <w:sz w:val="24"/>
          <w:szCs w:val="24"/>
          <w:lang w:val="en-US"/>
        </w:rPr>
        <w:t>Finance.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8963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Springer Science + Business Media, LLC. 2011. 254 </w:t>
      </w:r>
      <w:r w:rsidRPr="0089637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57B4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003FA" w:rsidRPr="00F003FA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>Belozerskiy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A.YU., Nikitina V.V.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>Upravleniye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>riskami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>metallurgicheskogo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>predpriyatiya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>kak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>sostavlyayushchaya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>regional'noy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>ekonomiki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//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>Regionologiya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US"/>
        </w:rPr>
        <w:t>. 4. 2010. S. 89-95.</w:t>
      </w:r>
    </w:p>
    <w:p w:rsidR="00F003FA" w:rsidRPr="00F003FA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Yevgrafova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I. V., Popov P. V.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Kontseptsii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finansovogo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riska-menedzhmenta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metallurgii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usloviya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strategiya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metodicheskiye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skhemy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// GIAB. 2010. №9. URL: https://cyberleninka.ru/article/n/kontseptsii-finansovogo-risk-menedzhmenta-v-metallurgii-usloviya-strategii-metodicheskie-shemy (data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obrashcheniya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: 14.10.2019).</w:t>
      </w:r>
    </w:p>
    <w:p w:rsidR="00F003FA" w:rsidRPr="00F003FA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Internet-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gazeta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newslab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. URL: http://newslab.ru.</w:t>
      </w:r>
    </w:p>
    <w:p w:rsidR="00F003FA" w:rsidRPr="00F003FA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Informatsionnoye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agentstvo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BNK. URL: https://www.bnkomi.ru.</w:t>
      </w:r>
    </w:p>
    <w:p w:rsidR="00F003FA" w:rsidRPr="00F003FA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Kleyner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G.B.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Riski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promyshlennykh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predpriyatiy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kak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ikh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umen'shit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'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kompensirovat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'). //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Rossiyskiy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ekonomicheskiy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zhurnal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. 5. 6. 1994. S. 85-92</w:t>
      </w:r>
    </w:p>
    <w:p w:rsidR="00F003FA" w:rsidRPr="00F003FA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Mazur I.I., Shapiro V.D.,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Korotkov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E.M.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dr. (2005).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Korporativnyy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menedzhment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. Omega-L. 2005. 376 s.</w:t>
      </w:r>
    </w:p>
    <w:p w:rsidR="00F003FA" w:rsidRPr="00F003FA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Makarova V. A.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Analiz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otsenka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ekonomicheskoy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effektivnosti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risk-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menedzhmenta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//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Effektivnoye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antikrizisnoye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upravleniye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. 2015. № 3. S. 72-83.</w:t>
      </w:r>
    </w:p>
    <w:p w:rsidR="00F003FA" w:rsidRPr="00F003FA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Malashikhina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N.N.,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Belokrylova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O.S. Risk-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menedzhment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uchebnoye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posobiye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Feniks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, 2004. 320 s.</w:t>
      </w:r>
    </w:p>
    <w:p w:rsidR="00F003FA" w:rsidRPr="00F003FA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Mechel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. URL: http://www.mechel.ru.</w:t>
      </w:r>
    </w:p>
    <w:p w:rsidR="00F003FA" w:rsidRPr="00F003FA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Nornikel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'. URL: https://www.nornickel.ru.</w:t>
      </w:r>
    </w:p>
    <w:p w:rsidR="00F003FA" w:rsidRPr="00F003FA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Prikhod'ko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R.V.,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Kochegarova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T.S.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Metody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upravleniya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riskami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metallurgicheskoy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promyshlennosti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//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Nauchnyy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zhurnal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NIU ITMO. 3. 2014. S. 463-476.</w:t>
      </w:r>
    </w:p>
    <w:p w:rsidR="00F003FA" w:rsidRPr="00F003FA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Spark -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proverka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kontragenta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. URL: http://www.spark-interfax.ru.</w:t>
      </w:r>
    </w:p>
    <w:p w:rsidR="00F003FA" w:rsidRPr="00F003FA" w:rsidRDefault="00F003FA" w:rsidP="00F003F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Federal'naya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sluzhba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gosudarstvennoy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statistiki</w:t>
      </w:r>
      <w:proofErr w:type="spellEnd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URL: </w:t>
      </w:r>
      <w:proofErr w:type="gramStart"/>
      <w:r w:rsidRPr="00F003FA">
        <w:rPr>
          <w:rFonts w:ascii="Times New Roman" w:eastAsia="Times New Roman" w:hAnsi="Times New Roman" w:cs="Times New Roman"/>
          <w:sz w:val="24"/>
          <w:szCs w:val="24"/>
          <w:lang w:val="en-GB"/>
        </w:rPr>
        <w:t>http://www.gks.ru..</w:t>
      </w:r>
      <w:proofErr w:type="gramEnd"/>
    </w:p>
    <w:p w:rsidR="00382B9E" w:rsidRPr="00F003FA" w:rsidRDefault="00382B9E" w:rsidP="00FA6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GB" w:eastAsia="ja-JP"/>
        </w:rPr>
      </w:pPr>
    </w:p>
    <w:p w:rsidR="00382B9E" w:rsidRPr="00382B9E" w:rsidRDefault="00382B9E" w:rsidP="00FA6457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lang w:eastAsia="ja-JP"/>
        </w:rPr>
      </w:pPr>
    </w:p>
    <w:sectPr w:rsidR="00382B9E" w:rsidRPr="00382B9E" w:rsidSect="00AD24A3">
      <w:footerReference w:type="default" r:id="rId1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7A" w:rsidRDefault="00261B7A" w:rsidP="00E543AB">
      <w:pPr>
        <w:spacing w:after="0" w:line="240" w:lineRule="auto"/>
      </w:pPr>
      <w:r>
        <w:separator/>
      </w:r>
    </w:p>
  </w:endnote>
  <w:endnote w:type="continuationSeparator" w:id="0">
    <w:p w:rsidR="00261B7A" w:rsidRDefault="00261B7A" w:rsidP="00E5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328637372"/>
      <w:docPartObj>
        <w:docPartGallery w:val="Page Numbers (Bottom of Page)"/>
        <w:docPartUnique/>
      </w:docPartObj>
    </w:sdtPr>
    <w:sdtContent>
      <w:p w:rsidR="0066228B" w:rsidRPr="004F660E" w:rsidRDefault="0066228B" w:rsidP="004F660E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38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38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38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341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2238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7A" w:rsidRDefault="00261B7A" w:rsidP="00E543AB">
      <w:pPr>
        <w:spacing w:after="0" w:line="240" w:lineRule="auto"/>
      </w:pPr>
      <w:r>
        <w:separator/>
      </w:r>
    </w:p>
  </w:footnote>
  <w:footnote w:type="continuationSeparator" w:id="0">
    <w:p w:rsidR="00261B7A" w:rsidRDefault="00261B7A" w:rsidP="00E54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1B7"/>
    <w:multiLevelType w:val="hybridMultilevel"/>
    <w:tmpl w:val="84286772"/>
    <w:lvl w:ilvl="0" w:tplc="9EAA5CF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244B57"/>
    <w:multiLevelType w:val="hybridMultilevel"/>
    <w:tmpl w:val="4034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2669"/>
    <w:multiLevelType w:val="hybridMultilevel"/>
    <w:tmpl w:val="6F18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34F6"/>
    <w:multiLevelType w:val="hybridMultilevel"/>
    <w:tmpl w:val="0D30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3526"/>
    <w:multiLevelType w:val="hybridMultilevel"/>
    <w:tmpl w:val="E7CE5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4432B"/>
    <w:multiLevelType w:val="hybridMultilevel"/>
    <w:tmpl w:val="1A8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411C2"/>
    <w:multiLevelType w:val="hybridMultilevel"/>
    <w:tmpl w:val="E98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607B0"/>
    <w:multiLevelType w:val="hybridMultilevel"/>
    <w:tmpl w:val="DFF41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11209"/>
    <w:multiLevelType w:val="hybridMultilevel"/>
    <w:tmpl w:val="C3E4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1050D"/>
    <w:multiLevelType w:val="multilevel"/>
    <w:tmpl w:val="FEB2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C10AE"/>
    <w:multiLevelType w:val="hybridMultilevel"/>
    <w:tmpl w:val="1CF8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657F1"/>
    <w:multiLevelType w:val="hybridMultilevel"/>
    <w:tmpl w:val="DD1401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28A1532"/>
    <w:multiLevelType w:val="hybridMultilevel"/>
    <w:tmpl w:val="B3E28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A5835"/>
    <w:multiLevelType w:val="hybridMultilevel"/>
    <w:tmpl w:val="851AB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7666E2"/>
    <w:multiLevelType w:val="hybridMultilevel"/>
    <w:tmpl w:val="265AA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63026"/>
    <w:multiLevelType w:val="multilevel"/>
    <w:tmpl w:val="CE8E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40CA9"/>
    <w:multiLevelType w:val="hybridMultilevel"/>
    <w:tmpl w:val="851AB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C91EB0"/>
    <w:multiLevelType w:val="hybridMultilevel"/>
    <w:tmpl w:val="D37E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D5825"/>
    <w:multiLevelType w:val="hybridMultilevel"/>
    <w:tmpl w:val="8136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17"/>
  </w:num>
  <w:num w:numId="15">
    <w:abstractNumId w:val="18"/>
  </w:num>
  <w:num w:numId="16">
    <w:abstractNumId w:val="0"/>
  </w:num>
  <w:num w:numId="17">
    <w:abstractNumId w:val="16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7C"/>
    <w:rsid w:val="000021C4"/>
    <w:rsid w:val="000045E5"/>
    <w:rsid w:val="0001187F"/>
    <w:rsid w:val="00012740"/>
    <w:rsid w:val="00012CAE"/>
    <w:rsid w:val="00016327"/>
    <w:rsid w:val="00017842"/>
    <w:rsid w:val="000231D4"/>
    <w:rsid w:val="000244E8"/>
    <w:rsid w:val="00026477"/>
    <w:rsid w:val="00037D9A"/>
    <w:rsid w:val="00042A12"/>
    <w:rsid w:val="00046559"/>
    <w:rsid w:val="000555D3"/>
    <w:rsid w:val="00055A66"/>
    <w:rsid w:val="00055EAE"/>
    <w:rsid w:val="00056FA7"/>
    <w:rsid w:val="00064A0E"/>
    <w:rsid w:val="00072856"/>
    <w:rsid w:val="00075164"/>
    <w:rsid w:val="00081D33"/>
    <w:rsid w:val="00086735"/>
    <w:rsid w:val="000869AE"/>
    <w:rsid w:val="000901A5"/>
    <w:rsid w:val="000913DE"/>
    <w:rsid w:val="000914FD"/>
    <w:rsid w:val="00094A9D"/>
    <w:rsid w:val="000A3BE7"/>
    <w:rsid w:val="000A3D92"/>
    <w:rsid w:val="000A5BC4"/>
    <w:rsid w:val="000B4C7B"/>
    <w:rsid w:val="000B5FC0"/>
    <w:rsid w:val="000C32D0"/>
    <w:rsid w:val="000C37A7"/>
    <w:rsid w:val="000C5D2F"/>
    <w:rsid w:val="000D677A"/>
    <w:rsid w:val="000E08BF"/>
    <w:rsid w:val="000F42E0"/>
    <w:rsid w:val="000F5432"/>
    <w:rsid w:val="00100E08"/>
    <w:rsid w:val="0010273A"/>
    <w:rsid w:val="00110808"/>
    <w:rsid w:val="00110DCA"/>
    <w:rsid w:val="00117743"/>
    <w:rsid w:val="00117D8F"/>
    <w:rsid w:val="00120DA5"/>
    <w:rsid w:val="00133AC6"/>
    <w:rsid w:val="001361BC"/>
    <w:rsid w:val="0013792A"/>
    <w:rsid w:val="00146DB7"/>
    <w:rsid w:val="00151C04"/>
    <w:rsid w:val="00160C6C"/>
    <w:rsid w:val="00162B0E"/>
    <w:rsid w:val="0016670B"/>
    <w:rsid w:val="00171ACF"/>
    <w:rsid w:val="00173BE5"/>
    <w:rsid w:val="00174258"/>
    <w:rsid w:val="00184486"/>
    <w:rsid w:val="00187985"/>
    <w:rsid w:val="00190F41"/>
    <w:rsid w:val="00192E4A"/>
    <w:rsid w:val="00193B28"/>
    <w:rsid w:val="001A0B25"/>
    <w:rsid w:val="001A6A3B"/>
    <w:rsid w:val="001B4237"/>
    <w:rsid w:val="001C1CB3"/>
    <w:rsid w:val="001C716D"/>
    <w:rsid w:val="001D0F0C"/>
    <w:rsid w:val="001D5501"/>
    <w:rsid w:val="001E1D4E"/>
    <w:rsid w:val="001E2D2A"/>
    <w:rsid w:val="001E51F9"/>
    <w:rsid w:val="001E69B2"/>
    <w:rsid w:val="001E784C"/>
    <w:rsid w:val="001F23BE"/>
    <w:rsid w:val="001F382A"/>
    <w:rsid w:val="001F38B8"/>
    <w:rsid w:val="001F71B7"/>
    <w:rsid w:val="001F7586"/>
    <w:rsid w:val="00203502"/>
    <w:rsid w:val="00203D26"/>
    <w:rsid w:val="002147B8"/>
    <w:rsid w:val="00215C5F"/>
    <w:rsid w:val="002162FA"/>
    <w:rsid w:val="00223827"/>
    <w:rsid w:val="002253AE"/>
    <w:rsid w:val="0023331E"/>
    <w:rsid w:val="00236F21"/>
    <w:rsid w:val="00240210"/>
    <w:rsid w:val="00245803"/>
    <w:rsid w:val="0024596B"/>
    <w:rsid w:val="00246D85"/>
    <w:rsid w:val="00247D9B"/>
    <w:rsid w:val="002519F5"/>
    <w:rsid w:val="0025495E"/>
    <w:rsid w:val="00254C18"/>
    <w:rsid w:val="002560E6"/>
    <w:rsid w:val="002604EC"/>
    <w:rsid w:val="00261B7A"/>
    <w:rsid w:val="00263835"/>
    <w:rsid w:val="00263CDC"/>
    <w:rsid w:val="00265E6E"/>
    <w:rsid w:val="0027025E"/>
    <w:rsid w:val="00272924"/>
    <w:rsid w:val="00276096"/>
    <w:rsid w:val="00286AD9"/>
    <w:rsid w:val="00290465"/>
    <w:rsid w:val="002A56ED"/>
    <w:rsid w:val="002A7B75"/>
    <w:rsid w:val="002A7EB0"/>
    <w:rsid w:val="002B2C10"/>
    <w:rsid w:val="002B307E"/>
    <w:rsid w:val="002B4F09"/>
    <w:rsid w:val="002B5B2B"/>
    <w:rsid w:val="002C105E"/>
    <w:rsid w:val="002C4FCB"/>
    <w:rsid w:val="002C6A76"/>
    <w:rsid w:val="002D05BB"/>
    <w:rsid w:val="002D0D7F"/>
    <w:rsid w:val="002D1FDA"/>
    <w:rsid w:val="002D2152"/>
    <w:rsid w:val="002E01C1"/>
    <w:rsid w:val="002E2960"/>
    <w:rsid w:val="002E40C7"/>
    <w:rsid w:val="002E4EDD"/>
    <w:rsid w:val="002F1331"/>
    <w:rsid w:val="002F3C48"/>
    <w:rsid w:val="002F4C6F"/>
    <w:rsid w:val="00304AB4"/>
    <w:rsid w:val="00310E92"/>
    <w:rsid w:val="003173F0"/>
    <w:rsid w:val="003241F9"/>
    <w:rsid w:val="00330186"/>
    <w:rsid w:val="003407B2"/>
    <w:rsid w:val="00345530"/>
    <w:rsid w:val="00345823"/>
    <w:rsid w:val="00345E0C"/>
    <w:rsid w:val="00346F08"/>
    <w:rsid w:val="00360C1B"/>
    <w:rsid w:val="00367D4B"/>
    <w:rsid w:val="00374BDE"/>
    <w:rsid w:val="00382B9E"/>
    <w:rsid w:val="00390139"/>
    <w:rsid w:val="003902B5"/>
    <w:rsid w:val="0039175E"/>
    <w:rsid w:val="00392DB9"/>
    <w:rsid w:val="003937A9"/>
    <w:rsid w:val="003A1603"/>
    <w:rsid w:val="003A3815"/>
    <w:rsid w:val="003A3E93"/>
    <w:rsid w:val="003B10F4"/>
    <w:rsid w:val="003B6134"/>
    <w:rsid w:val="003C02E2"/>
    <w:rsid w:val="003C0F2A"/>
    <w:rsid w:val="003C3FCF"/>
    <w:rsid w:val="003C43C2"/>
    <w:rsid w:val="003C74ED"/>
    <w:rsid w:val="003E26E3"/>
    <w:rsid w:val="003E6C3A"/>
    <w:rsid w:val="003F72B1"/>
    <w:rsid w:val="00410B61"/>
    <w:rsid w:val="004130CE"/>
    <w:rsid w:val="00420D84"/>
    <w:rsid w:val="004220CE"/>
    <w:rsid w:val="004226C0"/>
    <w:rsid w:val="0042273C"/>
    <w:rsid w:val="00433E66"/>
    <w:rsid w:val="00442030"/>
    <w:rsid w:val="004467C3"/>
    <w:rsid w:val="00450FAB"/>
    <w:rsid w:val="00460E0E"/>
    <w:rsid w:val="004633F0"/>
    <w:rsid w:val="00470F09"/>
    <w:rsid w:val="00476129"/>
    <w:rsid w:val="0048064F"/>
    <w:rsid w:val="00480F10"/>
    <w:rsid w:val="00481A44"/>
    <w:rsid w:val="00482A27"/>
    <w:rsid w:val="00484F39"/>
    <w:rsid w:val="00485DF2"/>
    <w:rsid w:val="00493E4C"/>
    <w:rsid w:val="004A1C18"/>
    <w:rsid w:val="004A5363"/>
    <w:rsid w:val="004A5A38"/>
    <w:rsid w:val="004A7334"/>
    <w:rsid w:val="004A7667"/>
    <w:rsid w:val="004A7738"/>
    <w:rsid w:val="004B03B5"/>
    <w:rsid w:val="004B1693"/>
    <w:rsid w:val="004B3FF8"/>
    <w:rsid w:val="004B7140"/>
    <w:rsid w:val="004B7DAA"/>
    <w:rsid w:val="004C2376"/>
    <w:rsid w:val="004D71B6"/>
    <w:rsid w:val="004E17E6"/>
    <w:rsid w:val="004E42E1"/>
    <w:rsid w:val="004E5B60"/>
    <w:rsid w:val="004E719F"/>
    <w:rsid w:val="004F660E"/>
    <w:rsid w:val="004F7CDB"/>
    <w:rsid w:val="0050272F"/>
    <w:rsid w:val="00506524"/>
    <w:rsid w:val="00506D17"/>
    <w:rsid w:val="00511D85"/>
    <w:rsid w:val="00516435"/>
    <w:rsid w:val="00516FE9"/>
    <w:rsid w:val="00522DD3"/>
    <w:rsid w:val="00522F5C"/>
    <w:rsid w:val="00524362"/>
    <w:rsid w:val="00531254"/>
    <w:rsid w:val="005317B9"/>
    <w:rsid w:val="0054388D"/>
    <w:rsid w:val="005507CA"/>
    <w:rsid w:val="005556A8"/>
    <w:rsid w:val="00560D67"/>
    <w:rsid w:val="00560DE4"/>
    <w:rsid w:val="005665D0"/>
    <w:rsid w:val="00574FDD"/>
    <w:rsid w:val="0058170A"/>
    <w:rsid w:val="0058172E"/>
    <w:rsid w:val="00584DC4"/>
    <w:rsid w:val="005870D6"/>
    <w:rsid w:val="005944CB"/>
    <w:rsid w:val="0059479F"/>
    <w:rsid w:val="00596925"/>
    <w:rsid w:val="005A02F1"/>
    <w:rsid w:val="005A138F"/>
    <w:rsid w:val="005A32CA"/>
    <w:rsid w:val="005A381C"/>
    <w:rsid w:val="005A4E4C"/>
    <w:rsid w:val="005A6B0D"/>
    <w:rsid w:val="005C79C4"/>
    <w:rsid w:val="005D4083"/>
    <w:rsid w:val="005D4C47"/>
    <w:rsid w:val="005D6515"/>
    <w:rsid w:val="005D7468"/>
    <w:rsid w:val="005E0B81"/>
    <w:rsid w:val="005E2D82"/>
    <w:rsid w:val="005E68F2"/>
    <w:rsid w:val="005E6F24"/>
    <w:rsid w:val="005F2B0B"/>
    <w:rsid w:val="00600425"/>
    <w:rsid w:val="00607385"/>
    <w:rsid w:val="00612342"/>
    <w:rsid w:val="0061268F"/>
    <w:rsid w:val="00621CCA"/>
    <w:rsid w:val="0062402A"/>
    <w:rsid w:val="0062604D"/>
    <w:rsid w:val="006309B9"/>
    <w:rsid w:val="00631554"/>
    <w:rsid w:val="00631CB0"/>
    <w:rsid w:val="006346FF"/>
    <w:rsid w:val="00637451"/>
    <w:rsid w:val="00637B4E"/>
    <w:rsid w:val="00640147"/>
    <w:rsid w:val="00642CFD"/>
    <w:rsid w:val="00643608"/>
    <w:rsid w:val="0064770D"/>
    <w:rsid w:val="00654517"/>
    <w:rsid w:val="00657C0F"/>
    <w:rsid w:val="0066228B"/>
    <w:rsid w:val="00662F03"/>
    <w:rsid w:val="00664A61"/>
    <w:rsid w:val="00666681"/>
    <w:rsid w:val="00685030"/>
    <w:rsid w:val="0068517C"/>
    <w:rsid w:val="00686C81"/>
    <w:rsid w:val="00687908"/>
    <w:rsid w:val="006B2C20"/>
    <w:rsid w:val="006B3448"/>
    <w:rsid w:val="006B36CF"/>
    <w:rsid w:val="006B5C92"/>
    <w:rsid w:val="006C1D74"/>
    <w:rsid w:val="006C2199"/>
    <w:rsid w:val="006C7138"/>
    <w:rsid w:val="006D123D"/>
    <w:rsid w:val="006D2E84"/>
    <w:rsid w:val="006D5F6B"/>
    <w:rsid w:val="006E0507"/>
    <w:rsid w:val="006E4AEF"/>
    <w:rsid w:val="006E4C98"/>
    <w:rsid w:val="006E56B8"/>
    <w:rsid w:val="006F08C9"/>
    <w:rsid w:val="006F4192"/>
    <w:rsid w:val="00705F43"/>
    <w:rsid w:val="00712934"/>
    <w:rsid w:val="0071542B"/>
    <w:rsid w:val="007162B1"/>
    <w:rsid w:val="00716F63"/>
    <w:rsid w:val="00722D41"/>
    <w:rsid w:val="00724E9A"/>
    <w:rsid w:val="007269B3"/>
    <w:rsid w:val="00733891"/>
    <w:rsid w:val="007341E8"/>
    <w:rsid w:val="007462C0"/>
    <w:rsid w:val="007513B2"/>
    <w:rsid w:val="007525CF"/>
    <w:rsid w:val="00753F50"/>
    <w:rsid w:val="00755E64"/>
    <w:rsid w:val="00766327"/>
    <w:rsid w:val="00766E48"/>
    <w:rsid w:val="007729A9"/>
    <w:rsid w:val="0077407B"/>
    <w:rsid w:val="00780237"/>
    <w:rsid w:val="00782310"/>
    <w:rsid w:val="00791464"/>
    <w:rsid w:val="00794592"/>
    <w:rsid w:val="00794A92"/>
    <w:rsid w:val="00794FF5"/>
    <w:rsid w:val="007A0106"/>
    <w:rsid w:val="007A0F60"/>
    <w:rsid w:val="007A2E27"/>
    <w:rsid w:val="007A377C"/>
    <w:rsid w:val="007B0608"/>
    <w:rsid w:val="007B5728"/>
    <w:rsid w:val="007B70A0"/>
    <w:rsid w:val="007B735E"/>
    <w:rsid w:val="007C676F"/>
    <w:rsid w:val="007D1D19"/>
    <w:rsid w:val="007D5B2E"/>
    <w:rsid w:val="007E0692"/>
    <w:rsid w:val="007E3BB0"/>
    <w:rsid w:val="007E53D7"/>
    <w:rsid w:val="007E5D05"/>
    <w:rsid w:val="007F1136"/>
    <w:rsid w:val="007F45CC"/>
    <w:rsid w:val="007F5726"/>
    <w:rsid w:val="007F779A"/>
    <w:rsid w:val="008001C0"/>
    <w:rsid w:val="00800A1D"/>
    <w:rsid w:val="00802766"/>
    <w:rsid w:val="00807186"/>
    <w:rsid w:val="00807FF7"/>
    <w:rsid w:val="00810926"/>
    <w:rsid w:val="00811695"/>
    <w:rsid w:val="008156FB"/>
    <w:rsid w:val="00820859"/>
    <w:rsid w:val="00846DD9"/>
    <w:rsid w:val="00847B97"/>
    <w:rsid w:val="00854601"/>
    <w:rsid w:val="008557BB"/>
    <w:rsid w:val="00861C05"/>
    <w:rsid w:val="008625B5"/>
    <w:rsid w:val="00865645"/>
    <w:rsid w:val="008759DD"/>
    <w:rsid w:val="00883099"/>
    <w:rsid w:val="008879AE"/>
    <w:rsid w:val="00893E75"/>
    <w:rsid w:val="00893EB4"/>
    <w:rsid w:val="00894574"/>
    <w:rsid w:val="00896377"/>
    <w:rsid w:val="008A341C"/>
    <w:rsid w:val="008A3ECD"/>
    <w:rsid w:val="008B1449"/>
    <w:rsid w:val="008C5E25"/>
    <w:rsid w:val="008D270B"/>
    <w:rsid w:val="008D6343"/>
    <w:rsid w:val="008E47D4"/>
    <w:rsid w:val="008F0F76"/>
    <w:rsid w:val="008F40B0"/>
    <w:rsid w:val="008F5B1A"/>
    <w:rsid w:val="008F66A1"/>
    <w:rsid w:val="00901AF3"/>
    <w:rsid w:val="009030A0"/>
    <w:rsid w:val="009121E9"/>
    <w:rsid w:val="00920AB6"/>
    <w:rsid w:val="009271AF"/>
    <w:rsid w:val="0093012C"/>
    <w:rsid w:val="00935A65"/>
    <w:rsid w:val="00935ABB"/>
    <w:rsid w:val="00937125"/>
    <w:rsid w:val="009406DF"/>
    <w:rsid w:val="009452FF"/>
    <w:rsid w:val="0094702B"/>
    <w:rsid w:val="00952173"/>
    <w:rsid w:val="00954A5A"/>
    <w:rsid w:val="00956E27"/>
    <w:rsid w:val="00963552"/>
    <w:rsid w:val="00964BCD"/>
    <w:rsid w:val="00966B6B"/>
    <w:rsid w:val="00974EEC"/>
    <w:rsid w:val="009766C8"/>
    <w:rsid w:val="00980E3F"/>
    <w:rsid w:val="009827CA"/>
    <w:rsid w:val="00982E4F"/>
    <w:rsid w:val="009846BB"/>
    <w:rsid w:val="00986CCC"/>
    <w:rsid w:val="00991508"/>
    <w:rsid w:val="0099777D"/>
    <w:rsid w:val="009A1562"/>
    <w:rsid w:val="009A264D"/>
    <w:rsid w:val="009A6E5A"/>
    <w:rsid w:val="009B51E3"/>
    <w:rsid w:val="009C1552"/>
    <w:rsid w:val="009C441F"/>
    <w:rsid w:val="009D0116"/>
    <w:rsid w:val="009F57F5"/>
    <w:rsid w:val="009F5CF2"/>
    <w:rsid w:val="009F7DD4"/>
    <w:rsid w:val="00A06663"/>
    <w:rsid w:val="00A132BD"/>
    <w:rsid w:val="00A17D4A"/>
    <w:rsid w:val="00A23B1C"/>
    <w:rsid w:val="00A41004"/>
    <w:rsid w:val="00A450D0"/>
    <w:rsid w:val="00A4640F"/>
    <w:rsid w:val="00A47A2C"/>
    <w:rsid w:val="00A53448"/>
    <w:rsid w:val="00A53BE5"/>
    <w:rsid w:val="00A65543"/>
    <w:rsid w:val="00A6799C"/>
    <w:rsid w:val="00A70D72"/>
    <w:rsid w:val="00A71725"/>
    <w:rsid w:val="00A73657"/>
    <w:rsid w:val="00A73A4F"/>
    <w:rsid w:val="00A7771D"/>
    <w:rsid w:val="00A81185"/>
    <w:rsid w:val="00A8237A"/>
    <w:rsid w:val="00A87CBD"/>
    <w:rsid w:val="00A914FE"/>
    <w:rsid w:val="00A92E28"/>
    <w:rsid w:val="00A94646"/>
    <w:rsid w:val="00A972B4"/>
    <w:rsid w:val="00AA08B0"/>
    <w:rsid w:val="00AA08EE"/>
    <w:rsid w:val="00AA6F8B"/>
    <w:rsid w:val="00AB0214"/>
    <w:rsid w:val="00AB1640"/>
    <w:rsid w:val="00AC30D3"/>
    <w:rsid w:val="00AC7527"/>
    <w:rsid w:val="00AD24A3"/>
    <w:rsid w:val="00AD3042"/>
    <w:rsid w:val="00AE690C"/>
    <w:rsid w:val="00AE73FB"/>
    <w:rsid w:val="00B00F27"/>
    <w:rsid w:val="00B035FC"/>
    <w:rsid w:val="00B0378F"/>
    <w:rsid w:val="00B10ECF"/>
    <w:rsid w:val="00B13080"/>
    <w:rsid w:val="00B221A2"/>
    <w:rsid w:val="00B23240"/>
    <w:rsid w:val="00B24AC5"/>
    <w:rsid w:val="00B25CD1"/>
    <w:rsid w:val="00B36464"/>
    <w:rsid w:val="00B374F3"/>
    <w:rsid w:val="00B41500"/>
    <w:rsid w:val="00B45A79"/>
    <w:rsid w:val="00B50FF8"/>
    <w:rsid w:val="00B52612"/>
    <w:rsid w:val="00B548BC"/>
    <w:rsid w:val="00B60377"/>
    <w:rsid w:val="00B61142"/>
    <w:rsid w:val="00B6549D"/>
    <w:rsid w:val="00B705AD"/>
    <w:rsid w:val="00B7124D"/>
    <w:rsid w:val="00B7142B"/>
    <w:rsid w:val="00B74C39"/>
    <w:rsid w:val="00B75333"/>
    <w:rsid w:val="00B75662"/>
    <w:rsid w:val="00B7620E"/>
    <w:rsid w:val="00B834F2"/>
    <w:rsid w:val="00B8501C"/>
    <w:rsid w:val="00B9163B"/>
    <w:rsid w:val="00B9260D"/>
    <w:rsid w:val="00B94FE5"/>
    <w:rsid w:val="00BA45EF"/>
    <w:rsid w:val="00BA4E4F"/>
    <w:rsid w:val="00BB5033"/>
    <w:rsid w:val="00BC4448"/>
    <w:rsid w:val="00BC70B0"/>
    <w:rsid w:val="00BD15E9"/>
    <w:rsid w:val="00BE1F95"/>
    <w:rsid w:val="00BE3AFB"/>
    <w:rsid w:val="00BE564C"/>
    <w:rsid w:val="00BF3C7F"/>
    <w:rsid w:val="00C05EBD"/>
    <w:rsid w:val="00C12D00"/>
    <w:rsid w:val="00C23024"/>
    <w:rsid w:val="00C25096"/>
    <w:rsid w:val="00C36266"/>
    <w:rsid w:val="00C41283"/>
    <w:rsid w:val="00C44CBA"/>
    <w:rsid w:val="00C476EA"/>
    <w:rsid w:val="00C525FD"/>
    <w:rsid w:val="00C532CD"/>
    <w:rsid w:val="00C536CF"/>
    <w:rsid w:val="00C5410A"/>
    <w:rsid w:val="00C56FB8"/>
    <w:rsid w:val="00C6229A"/>
    <w:rsid w:val="00C65944"/>
    <w:rsid w:val="00C702CF"/>
    <w:rsid w:val="00C80222"/>
    <w:rsid w:val="00C82C7B"/>
    <w:rsid w:val="00C87165"/>
    <w:rsid w:val="00C9426D"/>
    <w:rsid w:val="00CA238E"/>
    <w:rsid w:val="00CB1594"/>
    <w:rsid w:val="00CB1D42"/>
    <w:rsid w:val="00CC3E69"/>
    <w:rsid w:val="00CD0431"/>
    <w:rsid w:val="00CD27FF"/>
    <w:rsid w:val="00CD2C49"/>
    <w:rsid w:val="00CD4748"/>
    <w:rsid w:val="00CD692C"/>
    <w:rsid w:val="00CE12AC"/>
    <w:rsid w:val="00CF182E"/>
    <w:rsid w:val="00D127EA"/>
    <w:rsid w:val="00D13679"/>
    <w:rsid w:val="00D15670"/>
    <w:rsid w:val="00D16F1C"/>
    <w:rsid w:val="00D316D9"/>
    <w:rsid w:val="00D32059"/>
    <w:rsid w:val="00D32EB6"/>
    <w:rsid w:val="00D34BEC"/>
    <w:rsid w:val="00D36955"/>
    <w:rsid w:val="00D36DA1"/>
    <w:rsid w:val="00D4154A"/>
    <w:rsid w:val="00D438E8"/>
    <w:rsid w:val="00D44229"/>
    <w:rsid w:val="00D51FBD"/>
    <w:rsid w:val="00D55084"/>
    <w:rsid w:val="00D56C1F"/>
    <w:rsid w:val="00D607AE"/>
    <w:rsid w:val="00D64F2A"/>
    <w:rsid w:val="00D73E33"/>
    <w:rsid w:val="00D74FC1"/>
    <w:rsid w:val="00D81A63"/>
    <w:rsid w:val="00D83564"/>
    <w:rsid w:val="00D9057D"/>
    <w:rsid w:val="00D92085"/>
    <w:rsid w:val="00D92595"/>
    <w:rsid w:val="00D9440B"/>
    <w:rsid w:val="00DA120C"/>
    <w:rsid w:val="00DA6942"/>
    <w:rsid w:val="00DA7068"/>
    <w:rsid w:val="00DB0029"/>
    <w:rsid w:val="00DB0437"/>
    <w:rsid w:val="00DB47CE"/>
    <w:rsid w:val="00DB542D"/>
    <w:rsid w:val="00DC0ECE"/>
    <w:rsid w:val="00DC660C"/>
    <w:rsid w:val="00DD0CAC"/>
    <w:rsid w:val="00DD2C1D"/>
    <w:rsid w:val="00DD4E2C"/>
    <w:rsid w:val="00DD5683"/>
    <w:rsid w:val="00DD708F"/>
    <w:rsid w:val="00DE152A"/>
    <w:rsid w:val="00DE36A3"/>
    <w:rsid w:val="00DE3FB0"/>
    <w:rsid w:val="00DF31A4"/>
    <w:rsid w:val="00E03DFB"/>
    <w:rsid w:val="00E133E1"/>
    <w:rsid w:val="00E1478C"/>
    <w:rsid w:val="00E21481"/>
    <w:rsid w:val="00E22231"/>
    <w:rsid w:val="00E245C4"/>
    <w:rsid w:val="00E259DB"/>
    <w:rsid w:val="00E3174F"/>
    <w:rsid w:val="00E44C4E"/>
    <w:rsid w:val="00E514B4"/>
    <w:rsid w:val="00E533F2"/>
    <w:rsid w:val="00E543AB"/>
    <w:rsid w:val="00E56AF4"/>
    <w:rsid w:val="00E571A6"/>
    <w:rsid w:val="00E575EE"/>
    <w:rsid w:val="00E61066"/>
    <w:rsid w:val="00E67A6C"/>
    <w:rsid w:val="00E70468"/>
    <w:rsid w:val="00E7117E"/>
    <w:rsid w:val="00E80D5B"/>
    <w:rsid w:val="00E83143"/>
    <w:rsid w:val="00E92602"/>
    <w:rsid w:val="00E931DE"/>
    <w:rsid w:val="00E949AF"/>
    <w:rsid w:val="00E97286"/>
    <w:rsid w:val="00EA0FD5"/>
    <w:rsid w:val="00EA33A0"/>
    <w:rsid w:val="00EA388A"/>
    <w:rsid w:val="00EA7FF5"/>
    <w:rsid w:val="00EB33CF"/>
    <w:rsid w:val="00EC0676"/>
    <w:rsid w:val="00EC26D0"/>
    <w:rsid w:val="00EC3E44"/>
    <w:rsid w:val="00EC60D8"/>
    <w:rsid w:val="00EC64BA"/>
    <w:rsid w:val="00EC73E2"/>
    <w:rsid w:val="00ED3A7F"/>
    <w:rsid w:val="00EE14FC"/>
    <w:rsid w:val="00EE1F9A"/>
    <w:rsid w:val="00EE2E34"/>
    <w:rsid w:val="00EF3F90"/>
    <w:rsid w:val="00F003FA"/>
    <w:rsid w:val="00F0541B"/>
    <w:rsid w:val="00F10CCF"/>
    <w:rsid w:val="00F1182B"/>
    <w:rsid w:val="00F125F2"/>
    <w:rsid w:val="00F14826"/>
    <w:rsid w:val="00F14A52"/>
    <w:rsid w:val="00F20B80"/>
    <w:rsid w:val="00F2161F"/>
    <w:rsid w:val="00F33781"/>
    <w:rsid w:val="00F41FF1"/>
    <w:rsid w:val="00F5173F"/>
    <w:rsid w:val="00F534FF"/>
    <w:rsid w:val="00F57B46"/>
    <w:rsid w:val="00F600A5"/>
    <w:rsid w:val="00F67781"/>
    <w:rsid w:val="00F74960"/>
    <w:rsid w:val="00F80940"/>
    <w:rsid w:val="00F82C57"/>
    <w:rsid w:val="00F82DD8"/>
    <w:rsid w:val="00F85C1E"/>
    <w:rsid w:val="00F86E2D"/>
    <w:rsid w:val="00F90229"/>
    <w:rsid w:val="00F9110E"/>
    <w:rsid w:val="00F92BC3"/>
    <w:rsid w:val="00F976A6"/>
    <w:rsid w:val="00FA6457"/>
    <w:rsid w:val="00FA6F78"/>
    <w:rsid w:val="00FA7CDD"/>
    <w:rsid w:val="00FA7F92"/>
    <w:rsid w:val="00FB10E1"/>
    <w:rsid w:val="00FB69A8"/>
    <w:rsid w:val="00FB6DF8"/>
    <w:rsid w:val="00FC0FFE"/>
    <w:rsid w:val="00FC32B1"/>
    <w:rsid w:val="00FC4034"/>
    <w:rsid w:val="00FC446D"/>
    <w:rsid w:val="00FC4B12"/>
    <w:rsid w:val="00FD40A8"/>
    <w:rsid w:val="00FD5067"/>
    <w:rsid w:val="00FD5E7C"/>
    <w:rsid w:val="00FF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6566C"/>
  <w15:docId w15:val="{EBA964F0-335E-403A-A323-0901590D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E1"/>
  </w:style>
  <w:style w:type="paragraph" w:styleId="1">
    <w:name w:val="heading 1"/>
    <w:basedOn w:val="a"/>
    <w:next w:val="a"/>
    <w:link w:val="10"/>
    <w:uiPriority w:val="9"/>
    <w:qFormat/>
    <w:rsid w:val="007E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1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F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F6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7E53D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55A66"/>
    <w:pPr>
      <w:tabs>
        <w:tab w:val="right" w:leader="dot" w:pos="9344"/>
      </w:tabs>
      <w:spacing w:after="100"/>
    </w:pPr>
    <w:rPr>
      <w:rFonts w:ascii="Times New Roman" w:hAnsi="Times New Roman" w:cs="Times New Roman"/>
      <w:noProof/>
      <w:sz w:val="28"/>
      <w:szCs w:val="28"/>
      <w:lang w:eastAsia="ja-JP"/>
    </w:rPr>
  </w:style>
  <w:style w:type="paragraph" w:styleId="2">
    <w:name w:val="toc 2"/>
    <w:basedOn w:val="a"/>
    <w:next w:val="a"/>
    <w:autoRedefine/>
    <w:uiPriority w:val="39"/>
    <w:unhideWhenUsed/>
    <w:rsid w:val="007E53D7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7E53D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5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3AB"/>
  </w:style>
  <w:style w:type="paragraph" w:styleId="ab">
    <w:name w:val="footer"/>
    <w:basedOn w:val="a"/>
    <w:link w:val="ac"/>
    <w:uiPriority w:val="99"/>
    <w:unhideWhenUsed/>
    <w:rsid w:val="00E5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3AB"/>
  </w:style>
  <w:style w:type="paragraph" w:styleId="ad">
    <w:name w:val="No Spacing"/>
    <w:uiPriority w:val="1"/>
    <w:qFormat/>
    <w:rsid w:val="004D7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B52612"/>
    <w:rPr>
      <w:i/>
      <w:iCs/>
    </w:rPr>
  </w:style>
  <w:style w:type="character" w:styleId="ae">
    <w:name w:val="Placeholder Text"/>
    <w:basedOn w:val="a0"/>
    <w:uiPriority w:val="99"/>
    <w:semiHidden/>
    <w:rsid w:val="0071542B"/>
    <w:rPr>
      <w:color w:val="808080"/>
    </w:rPr>
  </w:style>
  <w:style w:type="paragraph" w:styleId="af">
    <w:name w:val="caption"/>
    <w:basedOn w:val="a"/>
    <w:next w:val="a"/>
    <w:uiPriority w:val="35"/>
    <w:unhideWhenUsed/>
    <w:qFormat/>
    <w:rsid w:val="00A70D7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20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36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2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12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037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652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93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g.org" TargetMode="External"/><Relationship Id="rId13" Type="http://schemas.openxmlformats.org/officeDocument/2006/relationships/hyperlink" Target="http://www.oceg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ark-interfa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lcon.ru/rus/press_center/news/document1690.p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-lex.europa.eu" TargetMode="External"/><Relationship Id="rId14" Type="http://schemas.openxmlformats.org/officeDocument/2006/relationships/hyperlink" Target="http://www.eur-lex.europa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C0"/>
    <w:rsid w:val="002632C0"/>
    <w:rsid w:val="0085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32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494C-D6D1-477E-B030-9C203A75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11</Pages>
  <Words>4454</Words>
  <Characters>25393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29788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Василиса</cp:lastModifiedBy>
  <cp:revision>3</cp:revision>
  <cp:lastPrinted>2019-05-16T16:48:00Z</cp:lastPrinted>
  <dcterms:created xsi:type="dcterms:W3CDTF">2019-10-09T12:47:00Z</dcterms:created>
  <dcterms:modified xsi:type="dcterms:W3CDTF">2019-10-14T18:52:00Z</dcterms:modified>
</cp:coreProperties>
</file>