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13" w:rsidRPr="00B92BDF" w:rsidRDefault="00FE7EFB" w:rsidP="00EA5EAB">
      <w:pPr>
        <w:spacing w:line="240" w:lineRule="auto"/>
        <w:jc w:val="center"/>
        <w:rPr>
          <w:rFonts w:ascii="Times New Roman" w:hAnsi="Times New Roman"/>
          <w:color w:val="000000" w:themeColor="text1"/>
          <w:sz w:val="32"/>
          <w:szCs w:val="32"/>
        </w:rPr>
      </w:pPr>
      <w:r w:rsidRPr="00B92BDF">
        <w:rPr>
          <w:rFonts w:ascii="Times New Roman" w:hAnsi="Times New Roman"/>
          <w:color w:val="000000" w:themeColor="text1"/>
          <w:sz w:val="32"/>
          <w:szCs w:val="32"/>
        </w:rPr>
        <w:t>European Monetary Union</w:t>
      </w:r>
      <w:r w:rsidR="001007AC" w:rsidRPr="00B92BDF">
        <w:rPr>
          <w:rFonts w:ascii="Times New Roman" w:hAnsi="Times New Roman"/>
          <w:color w:val="000000" w:themeColor="text1"/>
          <w:sz w:val="32"/>
          <w:szCs w:val="32"/>
        </w:rPr>
        <w:t xml:space="preserve"> </w:t>
      </w:r>
      <w:r w:rsidR="00441DFB" w:rsidRPr="00B92BDF">
        <w:rPr>
          <w:rFonts w:ascii="Times New Roman" w:hAnsi="Times New Roman"/>
          <w:color w:val="000000" w:themeColor="text1"/>
          <w:sz w:val="32"/>
          <w:szCs w:val="32"/>
        </w:rPr>
        <w:t>B</w:t>
      </w:r>
      <w:r w:rsidR="001007AC" w:rsidRPr="00B92BDF">
        <w:rPr>
          <w:rFonts w:ascii="Times New Roman" w:hAnsi="Times New Roman"/>
          <w:color w:val="000000" w:themeColor="text1"/>
          <w:sz w:val="32"/>
          <w:szCs w:val="32"/>
        </w:rPr>
        <w:t xml:space="preserve">ond </w:t>
      </w:r>
      <w:r w:rsidR="00441DFB" w:rsidRPr="00B92BDF">
        <w:rPr>
          <w:rFonts w:ascii="Times New Roman" w:hAnsi="Times New Roman"/>
          <w:color w:val="000000" w:themeColor="text1"/>
          <w:sz w:val="32"/>
          <w:szCs w:val="32"/>
        </w:rPr>
        <w:t>M</w:t>
      </w:r>
      <w:r w:rsidR="001007AC" w:rsidRPr="00B92BDF">
        <w:rPr>
          <w:rFonts w:ascii="Times New Roman" w:hAnsi="Times New Roman"/>
          <w:color w:val="000000" w:themeColor="text1"/>
          <w:sz w:val="32"/>
          <w:szCs w:val="32"/>
        </w:rPr>
        <w:t xml:space="preserve">arket Dynamics: Pre &amp; Post </w:t>
      </w:r>
      <w:r w:rsidR="00441DFB" w:rsidRPr="00B92BDF">
        <w:rPr>
          <w:rFonts w:ascii="Times New Roman" w:hAnsi="Times New Roman"/>
          <w:color w:val="000000" w:themeColor="text1"/>
          <w:sz w:val="32"/>
          <w:szCs w:val="32"/>
        </w:rPr>
        <w:t>C</w:t>
      </w:r>
      <w:r w:rsidR="001007AC" w:rsidRPr="00B92BDF">
        <w:rPr>
          <w:rFonts w:ascii="Times New Roman" w:hAnsi="Times New Roman"/>
          <w:color w:val="000000" w:themeColor="text1"/>
          <w:sz w:val="32"/>
          <w:szCs w:val="32"/>
        </w:rPr>
        <w:t>risis</w:t>
      </w:r>
    </w:p>
    <w:p w:rsidR="009A3454" w:rsidRPr="00B92BDF" w:rsidRDefault="009A3454" w:rsidP="00EA5EAB">
      <w:pPr>
        <w:spacing w:line="240" w:lineRule="auto"/>
        <w:jc w:val="center"/>
        <w:rPr>
          <w:rFonts w:ascii="Times New Roman" w:hAnsi="Times New Roman"/>
          <w:color w:val="000000" w:themeColor="text1"/>
          <w:sz w:val="32"/>
          <w:szCs w:val="32"/>
        </w:rPr>
      </w:pPr>
    </w:p>
    <w:p w:rsidR="00A76009" w:rsidRPr="00B92BDF" w:rsidRDefault="009A3454" w:rsidP="00EA5EAB">
      <w:pPr>
        <w:pStyle w:val="NormalWeb"/>
        <w:spacing w:before="0" w:beforeAutospacing="0" w:after="0" w:afterAutospacing="0"/>
        <w:ind w:firstLine="708"/>
        <w:jc w:val="both"/>
        <w:rPr>
          <w:color w:val="000000" w:themeColor="text1"/>
          <w:lang w:val="en-GB"/>
        </w:rPr>
      </w:pPr>
      <w:r w:rsidRPr="00B92BDF">
        <w:rPr>
          <w:color w:val="000000" w:themeColor="text1"/>
          <w:lang w:val="en-GB"/>
        </w:rPr>
        <w:t xml:space="preserve">A B S T R </w:t>
      </w:r>
      <w:proofErr w:type="gramStart"/>
      <w:r w:rsidRPr="00B92BDF">
        <w:rPr>
          <w:color w:val="000000" w:themeColor="text1"/>
          <w:lang w:val="en-GB"/>
        </w:rPr>
        <w:t>A</w:t>
      </w:r>
      <w:proofErr w:type="gramEnd"/>
      <w:r w:rsidRPr="00B92BDF">
        <w:rPr>
          <w:color w:val="000000" w:themeColor="text1"/>
          <w:lang w:val="en-GB"/>
        </w:rPr>
        <w:t xml:space="preserve"> C T </w:t>
      </w:r>
      <w:r w:rsidR="00A76009" w:rsidRPr="00B92BDF">
        <w:rPr>
          <w:color w:val="000000" w:themeColor="text1"/>
          <w:lang w:val="en-GB"/>
        </w:rPr>
        <w:t>Despite the wide range of alternatives that have been proposed by academics and practitioners, the Sharpe ratio remains one of the most popular metrics used to evaluate investment performance. In the proposed research</w:t>
      </w:r>
      <w:r w:rsidR="0036376C" w:rsidRPr="00B92BDF">
        <w:rPr>
          <w:color w:val="000000" w:themeColor="text1"/>
          <w:lang w:val="en-GB"/>
        </w:rPr>
        <w:t>,</w:t>
      </w:r>
      <w:r w:rsidR="00A76009" w:rsidRPr="00B92BDF">
        <w:rPr>
          <w:color w:val="000000" w:themeColor="text1"/>
          <w:lang w:val="en-GB"/>
        </w:rPr>
        <w:t xml:space="preserve"> risks and returns </w:t>
      </w:r>
      <w:r w:rsidR="00FD57F6" w:rsidRPr="00B92BDF">
        <w:rPr>
          <w:color w:val="000000" w:themeColor="text1"/>
          <w:lang w:val="en-GB"/>
        </w:rPr>
        <w:t xml:space="preserve">are analysed </w:t>
      </w:r>
      <w:r w:rsidR="00AB2FA4" w:rsidRPr="00B92BDF">
        <w:rPr>
          <w:color w:val="000000" w:themeColor="text1"/>
        </w:rPr>
        <w:t>on the European Monetary Union bonds market, with different bonds ratings and maturities, during the period from 2005 to 2017.</w:t>
      </w:r>
      <w:r w:rsidR="001E47DD" w:rsidRPr="00B92BDF">
        <w:rPr>
          <w:color w:val="000000" w:themeColor="text1"/>
          <w:lang w:val="en-GB"/>
        </w:rPr>
        <w:t xml:space="preserve"> </w:t>
      </w:r>
      <w:r w:rsidR="0036376C" w:rsidRPr="00B92BDF">
        <w:rPr>
          <w:color w:val="000000" w:themeColor="text1"/>
          <w:lang w:val="en-GB"/>
        </w:rPr>
        <w:t xml:space="preserve">The past and current trends and patterns in bond returns are defined using the methods of statistic, correlation and econometric analysis. </w:t>
      </w:r>
      <w:r w:rsidR="00A76009" w:rsidRPr="00B92BDF">
        <w:rPr>
          <w:color w:val="000000" w:themeColor="text1"/>
          <w:lang w:val="en-GB"/>
        </w:rPr>
        <w:t>It was shown that the bond returns are not normally distributed, and that the return distribution depends on bond matur</w:t>
      </w:r>
      <w:r w:rsidR="00FD57F6" w:rsidRPr="00B92BDF">
        <w:rPr>
          <w:color w:val="000000" w:themeColor="text1"/>
          <w:lang w:val="en-GB"/>
        </w:rPr>
        <w:t>ity and the economic situation i</w:t>
      </w:r>
      <w:r w:rsidR="00A76009" w:rsidRPr="00B92BDF">
        <w:rPr>
          <w:color w:val="000000" w:themeColor="text1"/>
          <w:lang w:val="en-GB"/>
        </w:rPr>
        <w:t>n the market. The relation between volatility and bond maturity and the Sharpe ratio appeared to be non-linear</w:t>
      </w:r>
      <w:r w:rsidR="00D47965" w:rsidRPr="00B92BDF">
        <w:rPr>
          <w:color w:val="000000" w:themeColor="text1"/>
          <w:lang w:val="en-GB"/>
        </w:rPr>
        <w:t xml:space="preserve"> and not consistent over time. H</w:t>
      </w:r>
      <w:r w:rsidR="00A76009" w:rsidRPr="00B92BDF">
        <w:rPr>
          <w:color w:val="000000" w:themeColor="text1"/>
          <w:lang w:val="en-GB"/>
        </w:rPr>
        <w:t>owever, the hypothesis about the</w:t>
      </w:r>
      <w:r w:rsidR="00A76009" w:rsidRPr="00B92BDF">
        <w:rPr>
          <w:rFonts w:eastAsia="CMR12"/>
          <w:color w:val="000000" w:themeColor="text1"/>
          <w:lang w:val="en-GB"/>
        </w:rPr>
        <w:t xml:space="preserve"> inverse relation between the Sharpe ratio and bond maturity is not supported by the evidence. Finally, </w:t>
      </w:r>
      <w:r w:rsidR="00114C0D" w:rsidRPr="00B92BDF">
        <w:rPr>
          <w:rFonts w:eastAsia="CMR12"/>
          <w:color w:val="000000" w:themeColor="text1"/>
          <w:lang w:val="en-GB"/>
        </w:rPr>
        <w:t xml:space="preserve">with the help of time-series models </w:t>
      </w:r>
      <w:r w:rsidR="00FD57F6" w:rsidRPr="00B92BDF">
        <w:rPr>
          <w:rFonts w:eastAsia="CMR12"/>
          <w:color w:val="000000" w:themeColor="text1"/>
          <w:lang w:val="en-GB"/>
        </w:rPr>
        <w:t>it was proven</w:t>
      </w:r>
      <w:r w:rsidR="00A76009" w:rsidRPr="00B92BDF">
        <w:rPr>
          <w:rFonts w:eastAsia="CMR12"/>
          <w:color w:val="000000" w:themeColor="text1"/>
          <w:lang w:val="en-GB"/>
        </w:rPr>
        <w:t xml:space="preserve"> that in</w:t>
      </w:r>
      <w:r w:rsidR="0036376C" w:rsidRPr="00B92BDF">
        <w:rPr>
          <w:rFonts w:eastAsia="CMR12"/>
          <w:color w:val="000000" w:themeColor="text1"/>
          <w:lang w:val="en-GB"/>
        </w:rPr>
        <w:t xml:space="preserve"> the period</w:t>
      </w:r>
      <w:r w:rsidR="00A76009" w:rsidRPr="00B92BDF">
        <w:rPr>
          <w:rFonts w:eastAsia="CMR12"/>
          <w:color w:val="000000" w:themeColor="text1"/>
          <w:lang w:val="en-GB"/>
        </w:rPr>
        <w:t xml:space="preserve"> 2005–2017</w:t>
      </w:r>
      <w:r w:rsidR="0036376C" w:rsidRPr="00B92BDF">
        <w:rPr>
          <w:rFonts w:eastAsia="CMR12"/>
          <w:color w:val="000000" w:themeColor="text1"/>
          <w:lang w:val="en-GB"/>
        </w:rPr>
        <w:t>,</w:t>
      </w:r>
      <w:r w:rsidR="00A76009" w:rsidRPr="00B92BDF">
        <w:rPr>
          <w:rFonts w:eastAsia="CMR12"/>
          <w:color w:val="000000" w:themeColor="text1"/>
          <w:lang w:val="en-GB"/>
        </w:rPr>
        <w:t xml:space="preserve"> t</w:t>
      </w:r>
      <w:r w:rsidR="00A76009" w:rsidRPr="00B92BDF">
        <w:rPr>
          <w:color w:val="000000" w:themeColor="text1"/>
          <w:lang w:val="en-GB"/>
        </w:rPr>
        <w:t xml:space="preserve">he returns on </w:t>
      </w:r>
      <w:r w:rsidR="00FE7EFB" w:rsidRPr="00B92BDF">
        <w:rPr>
          <w:color w:val="000000" w:themeColor="text1"/>
        </w:rPr>
        <w:t>European Monetary Union</w:t>
      </w:r>
      <w:r w:rsidR="00A76009" w:rsidRPr="00B92BDF">
        <w:rPr>
          <w:color w:val="000000" w:themeColor="text1"/>
          <w:lang w:val="en-GB"/>
        </w:rPr>
        <w:t xml:space="preserve"> bonds </w:t>
      </w:r>
      <w:r w:rsidR="0036376C" w:rsidRPr="00B92BDF">
        <w:rPr>
          <w:color w:val="000000" w:themeColor="text1"/>
          <w:lang w:val="en-GB"/>
        </w:rPr>
        <w:t xml:space="preserve">market </w:t>
      </w:r>
      <w:r w:rsidR="00A76009" w:rsidRPr="00B92BDF">
        <w:rPr>
          <w:color w:val="000000" w:themeColor="text1"/>
          <w:lang w:val="en-GB"/>
        </w:rPr>
        <w:t>tend to decline over time.</w:t>
      </w:r>
      <w:r w:rsidR="00114C0D" w:rsidRPr="00B92BDF">
        <w:rPr>
          <w:color w:val="000000" w:themeColor="text1"/>
          <w:lang w:val="en-GB"/>
        </w:rPr>
        <w:t xml:space="preserve"> </w:t>
      </w:r>
      <w:r w:rsidR="0036376C" w:rsidRPr="00B92BDF">
        <w:rPr>
          <w:color w:val="000000" w:themeColor="text1"/>
          <w:lang w:val="en-GB"/>
        </w:rPr>
        <w:t>We used ARIMA models for analysis of the residuals from the bond returns.</w:t>
      </w:r>
    </w:p>
    <w:p w:rsidR="00A76009" w:rsidRPr="00B92BDF" w:rsidRDefault="00A76009" w:rsidP="00EA5EAB">
      <w:pPr>
        <w:spacing w:after="0" w:line="240" w:lineRule="auto"/>
        <w:jc w:val="both"/>
        <w:rPr>
          <w:rFonts w:ascii="Times New Roman" w:hAnsi="Times New Roman" w:cs="Times New Roman"/>
          <w:color w:val="000000" w:themeColor="text1"/>
          <w:sz w:val="24"/>
          <w:szCs w:val="24"/>
          <w:lang w:val="en-GB"/>
        </w:rPr>
      </w:pPr>
    </w:p>
    <w:p w:rsidR="00A76009" w:rsidRPr="00B92BDF" w:rsidRDefault="00A76009" w:rsidP="00EA5EAB">
      <w:pPr>
        <w:spacing w:after="0" w:line="240" w:lineRule="auto"/>
        <w:jc w:val="both"/>
        <w:rPr>
          <w:rFonts w:ascii="Times New Roman" w:hAnsi="Times New Roman" w:cs="Times New Roman"/>
          <w:color w:val="000000" w:themeColor="text1"/>
          <w:sz w:val="24"/>
          <w:szCs w:val="24"/>
          <w:lang w:val="en-GB"/>
        </w:rPr>
      </w:pPr>
      <w:r w:rsidRPr="00B92BDF">
        <w:rPr>
          <w:rFonts w:ascii="Times New Roman" w:hAnsi="Times New Roman" w:cs="Times New Roman"/>
          <w:b/>
          <w:color w:val="000000" w:themeColor="text1"/>
          <w:sz w:val="24"/>
          <w:szCs w:val="24"/>
          <w:lang w:val="en-GB"/>
        </w:rPr>
        <w:t>Keywords:</w:t>
      </w:r>
      <w:r w:rsidR="0028397A" w:rsidRPr="00B92BDF">
        <w:rPr>
          <w:rFonts w:ascii="Times New Roman" w:hAnsi="Times New Roman" w:cs="Times New Roman"/>
          <w:b/>
          <w:color w:val="000000" w:themeColor="text1"/>
          <w:sz w:val="24"/>
          <w:szCs w:val="24"/>
          <w:lang w:val="en-GB"/>
        </w:rPr>
        <w:t xml:space="preserve"> </w:t>
      </w:r>
      <w:r w:rsidR="0028397A" w:rsidRPr="00B92BDF">
        <w:rPr>
          <w:rFonts w:ascii="Times New Roman" w:hAnsi="Times New Roman" w:cs="Times New Roman"/>
          <w:color w:val="000000" w:themeColor="text1"/>
          <w:sz w:val="24"/>
          <w:szCs w:val="24"/>
          <w:lang w:val="en-GB"/>
        </w:rPr>
        <w:t xml:space="preserve">Sharpe ratio, risks, returns, bond market, </w:t>
      </w:r>
      <w:r w:rsidR="00B90428" w:rsidRPr="00B90428">
        <w:rPr>
          <w:rFonts w:ascii="Times New Roman" w:hAnsi="Times New Roman" w:cs="Times New Roman"/>
          <w:color w:val="000000" w:themeColor="text1"/>
          <w:sz w:val="24"/>
          <w:szCs w:val="24"/>
          <w:lang w:val="en-GB"/>
        </w:rPr>
        <w:t>European Monetary Union</w:t>
      </w:r>
      <w:r w:rsidR="0028397A" w:rsidRPr="00B92BDF">
        <w:rPr>
          <w:rFonts w:ascii="Times New Roman" w:hAnsi="Times New Roman" w:cs="Times New Roman"/>
          <w:color w:val="000000" w:themeColor="text1"/>
          <w:sz w:val="24"/>
          <w:szCs w:val="24"/>
          <w:lang w:val="en-GB"/>
        </w:rPr>
        <w:t>.</w:t>
      </w:r>
    </w:p>
    <w:p w:rsidR="00EA5EAB" w:rsidRPr="00B92BDF" w:rsidRDefault="00EA5EAB" w:rsidP="00EA5EAB">
      <w:pPr>
        <w:spacing w:line="240" w:lineRule="auto"/>
        <w:rPr>
          <w:rFonts w:ascii="Times New Roman" w:hAnsi="Times New Roman" w:cs="Times New Roman"/>
          <w:color w:val="000000" w:themeColor="text1"/>
          <w:sz w:val="24"/>
          <w:szCs w:val="24"/>
          <w:lang w:val="en-GB"/>
        </w:rPr>
      </w:pPr>
    </w:p>
    <w:p w:rsidR="00FD4321" w:rsidRPr="00B92BDF" w:rsidRDefault="00FD4321" w:rsidP="00EA5EAB">
      <w:pPr>
        <w:spacing w:line="240" w:lineRule="auto"/>
        <w:rPr>
          <w:rFonts w:ascii="Times New Roman" w:hAnsi="Times New Roman" w:cs="Times New Roman"/>
          <w:b/>
          <w:color w:val="000000" w:themeColor="text1"/>
          <w:sz w:val="24"/>
          <w:szCs w:val="24"/>
          <w:lang w:val="en-GB"/>
        </w:rPr>
      </w:pPr>
      <w:r w:rsidRPr="00B92BDF">
        <w:rPr>
          <w:rFonts w:ascii="Times New Roman" w:hAnsi="Times New Roman" w:cs="Times New Roman"/>
          <w:b/>
          <w:color w:val="000000" w:themeColor="text1"/>
          <w:sz w:val="24"/>
          <w:szCs w:val="24"/>
          <w:lang w:val="en-GB"/>
        </w:rPr>
        <w:t>JEL Classification:</w:t>
      </w:r>
      <w:r w:rsidR="009D15F2" w:rsidRPr="00B92BDF">
        <w:rPr>
          <w:rFonts w:ascii="Times New Roman" w:hAnsi="Times New Roman" w:cs="Times New Roman"/>
          <w:b/>
          <w:color w:val="000000" w:themeColor="text1"/>
          <w:sz w:val="24"/>
          <w:szCs w:val="24"/>
          <w:lang w:val="en-GB"/>
        </w:rPr>
        <w:t xml:space="preserve"> G23 </w:t>
      </w:r>
      <w:r w:rsidR="003C7039" w:rsidRPr="00B92BDF">
        <w:rPr>
          <w:rFonts w:ascii="Times New Roman" w:hAnsi="Times New Roman" w:cs="Times New Roman"/>
          <w:b/>
          <w:color w:val="000000" w:themeColor="text1"/>
          <w:sz w:val="24"/>
          <w:szCs w:val="24"/>
          <w:lang w:val="en-GB"/>
        </w:rPr>
        <w:t>G24</w:t>
      </w:r>
    </w:p>
    <w:p w:rsidR="00FD4321" w:rsidRPr="00B92BDF" w:rsidRDefault="00FD4321" w:rsidP="00EA5EAB">
      <w:pPr>
        <w:spacing w:line="240" w:lineRule="auto"/>
        <w:rPr>
          <w:rFonts w:ascii="Times New Roman" w:hAnsi="Times New Roman" w:cs="Times New Roman"/>
          <w:color w:val="000000" w:themeColor="text1"/>
          <w:sz w:val="24"/>
          <w:szCs w:val="24"/>
          <w:lang w:val="en-GB"/>
        </w:rPr>
      </w:pPr>
    </w:p>
    <w:p w:rsidR="00A76009" w:rsidRPr="00B92BDF" w:rsidRDefault="009A3454" w:rsidP="00EA5EAB">
      <w:pPr>
        <w:spacing w:line="240" w:lineRule="auto"/>
        <w:rPr>
          <w:rFonts w:ascii="Times New Roman" w:hAnsi="Times New Roman" w:cs="Times New Roman"/>
          <w:color w:val="000000" w:themeColor="text1"/>
          <w:sz w:val="24"/>
          <w:szCs w:val="24"/>
          <w:lang w:val="en-GB"/>
        </w:rPr>
      </w:pPr>
      <w:r w:rsidRPr="00B92BDF">
        <w:rPr>
          <w:rFonts w:ascii="Times New Roman" w:hAnsi="Times New Roman" w:cs="Times New Roman"/>
          <w:b/>
          <w:color w:val="000000" w:themeColor="text1"/>
          <w:sz w:val="24"/>
          <w:szCs w:val="24"/>
          <w:lang w:val="en-GB"/>
        </w:rPr>
        <w:t xml:space="preserve">1. </w:t>
      </w:r>
      <w:r w:rsidR="00A76009" w:rsidRPr="00B92BDF">
        <w:rPr>
          <w:rFonts w:ascii="Times New Roman" w:hAnsi="Times New Roman" w:cs="Times New Roman"/>
          <w:b/>
          <w:color w:val="000000" w:themeColor="text1"/>
          <w:sz w:val="24"/>
          <w:szCs w:val="24"/>
          <w:lang w:val="en-GB"/>
        </w:rPr>
        <w:t>Introduction</w:t>
      </w:r>
    </w:p>
    <w:p w:rsidR="00A76009" w:rsidRPr="00B92BDF" w:rsidRDefault="00FD57F6"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Currently</w:t>
      </w:r>
      <w:r w:rsidR="00A76009" w:rsidRPr="00B92BDF">
        <w:rPr>
          <w:rFonts w:ascii="Times New Roman" w:hAnsi="Times New Roman" w:cs="Times New Roman"/>
          <w:color w:val="000000" w:themeColor="text1"/>
          <w:sz w:val="24"/>
          <w:szCs w:val="24"/>
          <w:lang w:val="en-GB"/>
        </w:rPr>
        <w:t xml:space="preserve"> more and more people take an interest in financial markets, in particular, in investing funds in</w:t>
      </w:r>
      <w:r w:rsidRPr="00B92BDF">
        <w:rPr>
          <w:rFonts w:ascii="Times New Roman" w:hAnsi="Times New Roman" w:cs="Times New Roman"/>
          <w:color w:val="000000" w:themeColor="text1"/>
          <w:sz w:val="24"/>
          <w:szCs w:val="24"/>
          <w:lang w:val="en-GB"/>
        </w:rPr>
        <w:t>to</w:t>
      </w:r>
      <w:r w:rsidR="00A76009" w:rsidRPr="00B92BDF">
        <w:rPr>
          <w:rFonts w:ascii="Times New Roman" w:hAnsi="Times New Roman" w:cs="Times New Roman"/>
          <w:color w:val="000000" w:themeColor="text1"/>
          <w:sz w:val="24"/>
          <w:szCs w:val="24"/>
          <w:lang w:val="en-GB"/>
        </w:rPr>
        <w:t xml:space="preserve"> different securities and financial assets. Therefore, studying the composition and particular features of </w:t>
      </w:r>
      <w:r w:rsidRPr="00B92BDF">
        <w:rPr>
          <w:rFonts w:ascii="Times New Roman" w:hAnsi="Times New Roman" w:cs="Times New Roman"/>
          <w:color w:val="000000" w:themeColor="text1"/>
          <w:sz w:val="24"/>
          <w:szCs w:val="24"/>
          <w:lang w:val="en-GB"/>
        </w:rPr>
        <w:t>risks and returns i</w:t>
      </w:r>
      <w:r w:rsidR="00A76009" w:rsidRPr="00B92BDF">
        <w:rPr>
          <w:rFonts w:ascii="Times New Roman" w:hAnsi="Times New Roman" w:cs="Times New Roman"/>
          <w:color w:val="000000" w:themeColor="text1"/>
          <w:sz w:val="24"/>
          <w:szCs w:val="24"/>
          <w:lang w:val="en-GB"/>
        </w:rPr>
        <w:t>n the bond market – the biggest among all financial markets – is still of high importance although this topic has been widely research</w:t>
      </w:r>
      <w:r w:rsidRPr="00B92BDF">
        <w:rPr>
          <w:rFonts w:ascii="Times New Roman" w:hAnsi="Times New Roman" w:cs="Times New Roman"/>
          <w:color w:val="000000" w:themeColor="text1"/>
          <w:sz w:val="24"/>
          <w:szCs w:val="24"/>
          <w:lang w:val="en-GB"/>
        </w:rPr>
        <w:t>ed</w:t>
      </w:r>
      <w:r w:rsidR="00A76009" w:rsidRPr="00B92BDF">
        <w:rPr>
          <w:rFonts w:ascii="Times New Roman" w:hAnsi="Times New Roman" w:cs="Times New Roman"/>
          <w:color w:val="000000" w:themeColor="text1"/>
          <w:sz w:val="24"/>
          <w:szCs w:val="24"/>
          <w:lang w:val="en-GB"/>
        </w:rPr>
        <w:t xml:space="preserve"> in the last decades. The deep statistic and econometric analysis allows defining and explaining current tendencies in bond returns and identifying past trends and patterns.</w:t>
      </w:r>
    </w:p>
    <w:p w:rsidR="00A76009" w:rsidRPr="00B92BDF" w:rsidRDefault="00F55E77"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eastAsia="TimesNewRoman" w:hAnsi="Times New Roman" w:cs="Times New Roman"/>
          <w:color w:val="000000" w:themeColor="text1"/>
          <w:sz w:val="24"/>
          <w:szCs w:val="24"/>
          <w:lang w:val="en-GB"/>
        </w:rPr>
        <w:t xml:space="preserve">Sharpe’s seminal work </w:t>
      </w:r>
      <w:r w:rsidR="006E4FF3" w:rsidRPr="00B92BDF">
        <w:rPr>
          <w:rFonts w:ascii="Times New Roman" w:eastAsia="TimesNewRoman" w:hAnsi="Times New Roman" w:cs="Times New Roman"/>
          <w:color w:val="000000" w:themeColor="text1"/>
          <w:sz w:val="24"/>
          <w:szCs w:val="24"/>
          <w:lang w:val="en-GB"/>
        </w:rPr>
        <w:t xml:space="preserve">(Sharpe, 1994) </w:t>
      </w:r>
      <w:r w:rsidRPr="00B92BDF">
        <w:rPr>
          <w:rFonts w:ascii="Times New Roman" w:eastAsia="TimesNewRoman" w:hAnsi="Times New Roman" w:cs="Times New Roman"/>
          <w:color w:val="000000" w:themeColor="text1"/>
          <w:sz w:val="24"/>
          <w:szCs w:val="24"/>
          <w:lang w:val="en-GB"/>
        </w:rPr>
        <w:t xml:space="preserve">is </w:t>
      </w:r>
      <w:r w:rsidR="00236A90" w:rsidRPr="00B92BDF">
        <w:rPr>
          <w:rFonts w:ascii="Times New Roman" w:eastAsia="TimesNewRoman" w:hAnsi="Times New Roman" w:cs="Times New Roman"/>
          <w:color w:val="000000" w:themeColor="text1"/>
          <w:sz w:val="24"/>
          <w:szCs w:val="24"/>
          <w:lang w:val="en-GB"/>
        </w:rPr>
        <w:t>well known f</w:t>
      </w:r>
      <w:r w:rsidR="00A76009" w:rsidRPr="00B92BDF">
        <w:rPr>
          <w:rFonts w:ascii="Times New Roman" w:eastAsia="TimesNewRoman" w:hAnsi="Times New Roman" w:cs="Times New Roman"/>
          <w:color w:val="000000" w:themeColor="text1"/>
          <w:sz w:val="24"/>
          <w:szCs w:val="24"/>
          <w:lang w:val="en-GB"/>
        </w:rPr>
        <w:t>or the development of the idea to analyse the relation between excess return and risk of an asset</w:t>
      </w:r>
      <w:r w:rsidR="00236A90" w:rsidRPr="00B92BDF">
        <w:rPr>
          <w:rFonts w:ascii="Times New Roman" w:eastAsia="TimesNewRoman" w:hAnsi="Times New Roman" w:cs="Times New Roman"/>
          <w:color w:val="000000" w:themeColor="text1"/>
          <w:sz w:val="24"/>
          <w:szCs w:val="24"/>
          <w:lang w:val="en-GB"/>
        </w:rPr>
        <w:t>.</w:t>
      </w:r>
      <w:r w:rsidR="00A76009" w:rsidRPr="00B92BDF">
        <w:rPr>
          <w:rFonts w:ascii="Times New Roman" w:eastAsia="TimesNewRoman" w:hAnsi="Times New Roman" w:cs="Times New Roman"/>
          <w:color w:val="000000" w:themeColor="text1"/>
          <w:sz w:val="24"/>
          <w:szCs w:val="24"/>
          <w:lang w:val="en-GB"/>
        </w:rPr>
        <w:t xml:space="preserve"> </w:t>
      </w:r>
      <w:r w:rsidR="00236A90" w:rsidRPr="00B92BDF">
        <w:rPr>
          <w:rFonts w:ascii="Times New Roman" w:eastAsia="TimesNewRoman" w:hAnsi="Times New Roman" w:cs="Times New Roman"/>
          <w:color w:val="000000" w:themeColor="text1"/>
          <w:sz w:val="24"/>
          <w:szCs w:val="24"/>
          <w:lang w:val="en-GB"/>
        </w:rPr>
        <w:t>S</w:t>
      </w:r>
      <w:r w:rsidR="00A76009" w:rsidRPr="00B92BDF">
        <w:rPr>
          <w:rFonts w:ascii="Times New Roman" w:eastAsia="TimesNewRoman" w:hAnsi="Times New Roman" w:cs="Times New Roman"/>
          <w:color w:val="000000" w:themeColor="text1"/>
          <w:sz w:val="24"/>
          <w:szCs w:val="24"/>
          <w:lang w:val="en-GB"/>
        </w:rPr>
        <w:t xml:space="preserve">implicity and ease of the interpretation are the main strengths of the Sharpe </w:t>
      </w:r>
      <w:r w:rsidR="002B7AB8" w:rsidRPr="00B92BDF">
        <w:rPr>
          <w:rFonts w:ascii="Times New Roman" w:eastAsia="TimesNewRoman" w:hAnsi="Times New Roman" w:cs="Times New Roman"/>
          <w:color w:val="000000" w:themeColor="text1"/>
          <w:sz w:val="24"/>
          <w:szCs w:val="24"/>
          <w:lang w:val="en-GB"/>
        </w:rPr>
        <w:t>ratio</w:t>
      </w:r>
      <w:r w:rsidR="00143CA1" w:rsidRPr="00B92BDF">
        <w:rPr>
          <w:rFonts w:ascii="Times New Roman" w:eastAsia="TimesNewRoman" w:hAnsi="Times New Roman" w:cs="Times New Roman"/>
          <w:color w:val="000000" w:themeColor="text1"/>
          <w:sz w:val="24"/>
          <w:szCs w:val="24"/>
          <w:lang w:val="en-GB"/>
        </w:rPr>
        <w:t>.</w:t>
      </w:r>
      <w:r w:rsidR="00A76009" w:rsidRPr="00B92BDF">
        <w:rPr>
          <w:rFonts w:ascii="Times New Roman" w:eastAsia="TimesNewRoman" w:hAnsi="Times New Roman" w:cs="Times New Roman"/>
          <w:color w:val="000000" w:themeColor="text1"/>
          <w:sz w:val="24"/>
          <w:szCs w:val="24"/>
          <w:lang w:val="en-GB"/>
        </w:rPr>
        <w:t xml:space="preserve"> </w:t>
      </w:r>
      <w:r w:rsidR="00143CA1" w:rsidRPr="00B92BDF">
        <w:rPr>
          <w:rFonts w:ascii="Times New Roman" w:eastAsia="TTE266F9A0t00" w:hAnsi="Times New Roman" w:cs="Times New Roman"/>
          <w:color w:val="000000" w:themeColor="text1"/>
          <w:sz w:val="24"/>
          <w:szCs w:val="24"/>
          <w:lang w:val="en-GB"/>
        </w:rPr>
        <w:t>E</w:t>
      </w:r>
      <w:r w:rsidR="00A76009" w:rsidRPr="00B92BDF">
        <w:rPr>
          <w:rFonts w:ascii="Times New Roman" w:eastAsia="TTE266F9A0t00" w:hAnsi="Times New Roman" w:cs="Times New Roman"/>
          <w:color w:val="000000" w:themeColor="text1"/>
          <w:sz w:val="24"/>
          <w:szCs w:val="24"/>
          <w:lang w:val="en-GB"/>
        </w:rPr>
        <w:t xml:space="preserve">mpirical studies suggest that the use of the Sharpe ratio is appropriate only in case of </w:t>
      </w:r>
      <w:r w:rsidR="00A76009" w:rsidRPr="00B92BDF">
        <w:rPr>
          <w:rFonts w:ascii="Times New Roman" w:hAnsi="Times New Roman" w:cs="Times New Roman"/>
          <w:color w:val="000000" w:themeColor="text1"/>
          <w:sz w:val="24"/>
          <w:szCs w:val="24"/>
          <w:lang w:val="en-GB"/>
        </w:rPr>
        <w:t xml:space="preserve">normally distributed returns. Despite this criticism from the theoretical point of view, </w:t>
      </w:r>
      <w:r w:rsidR="00A76009" w:rsidRPr="00B92BDF">
        <w:rPr>
          <w:rFonts w:ascii="Times New Roman" w:eastAsia="TTE266F9A0t00" w:hAnsi="Times New Roman" w:cs="Times New Roman"/>
          <w:color w:val="000000" w:themeColor="text1"/>
          <w:sz w:val="24"/>
          <w:szCs w:val="24"/>
          <w:lang w:val="en-GB"/>
        </w:rPr>
        <w:t xml:space="preserve">the Sharpe ratio is still widely used by practitioners and </w:t>
      </w:r>
      <w:r w:rsidR="00A76009" w:rsidRPr="00B92BDF">
        <w:rPr>
          <w:rFonts w:ascii="Times New Roman" w:hAnsi="Times New Roman" w:cs="Times New Roman"/>
          <w:color w:val="000000" w:themeColor="text1"/>
          <w:sz w:val="24"/>
          <w:szCs w:val="24"/>
          <w:lang w:val="en-GB"/>
        </w:rPr>
        <w:t>remains one of the most popular metrics used to rank and compare different types of investments.</w:t>
      </w:r>
    </w:p>
    <w:p w:rsidR="00A76009" w:rsidRPr="00B92BDF" w:rsidRDefault="00A76009" w:rsidP="00EA5EAB">
      <w:pPr>
        <w:autoSpaceDE w:val="0"/>
        <w:autoSpaceDN w:val="0"/>
        <w:adjustRightInd w:val="0"/>
        <w:spacing w:after="0" w:line="240" w:lineRule="auto"/>
        <w:ind w:firstLine="708"/>
        <w:jc w:val="both"/>
        <w:rPr>
          <w:rFonts w:ascii="Times New Roman" w:eastAsia="TimesNew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The measurement of performance is the cornerstone of the investment evaluation. Since the development of the modern finance theory, this task has been performed within the risk-return approach. </w:t>
      </w:r>
      <w:r w:rsidRPr="00B92BDF">
        <w:rPr>
          <w:rFonts w:ascii="Times New Roman" w:eastAsia="TTE266F9A0t00" w:hAnsi="Times New Roman" w:cs="Times New Roman"/>
          <w:color w:val="000000" w:themeColor="text1"/>
          <w:sz w:val="24"/>
          <w:szCs w:val="24"/>
          <w:lang w:val="en-GB"/>
        </w:rPr>
        <w:t xml:space="preserve">The original and the most widely known </w:t>
      </w:r>
      <w:r w:rsidRPr="00B92BDF">
        <w:rPr>
          <w:rFonts w:ascii="Times New Roman" w:eastAsia="TimesNewRoman" w:hAnsi="Times New Roman" w:cs="Times New Roman"/>
          <w:color w:val="000000" w:themeColor="text1"/>
          <w:sz w:val="24"/>
          <w:szCs w:val="24"/>
          <w:lang w:val="en-GB"/>
        </w:rPr>
        <w:t xml:space="preserve">measure of this kind is the Sharpe ratio presented by Sharpe (1966). The Sharpe coefficient is considered as the first attempt to estimate and </w:t>
      </w:r>
      <w:r w:rsidRPr="00B92BDF">
        <w:rPr>
          <w:rFonts w:ascii="Times New Roman" w:eastAsia="Times New Roman" w:hAnsi="Times New Roman" w:cs="Times New Roman"/>
          <w:color w:val="000000" w:themeColor="text1"/>
          <w:sz w:val="24"/>
          <w:szCs w:val="24"/>
          <w:lang w:val="en-GB" w:eastAsia="ru-RU"/>
        </w:rPr>
        <w:t xml:space="preserve">predict the asset performance using the capital asset theory and historical financial information from the market. The Sharpe ratio is </w:t>
      </w:r>
      <w:r w:rsidRPr="00B92BDF">
        <w:rPr>
          <w:rFonts w:ascii="Times New Roman" w:eastAsia="TimesNewRoman" w:hAnsi="Times New Roman" w:cs="Times New Roman"/>
          <w:color w:val="000000" w:themeColor="text1"/>
          <w:sz w:val="24"/>
          <w:szCs w:val="24"/>
          <w:lang w:val="en-GB"/>
        </w:rPr>
        <w:t xml:space="preserve">defined as the mean return in excess of a risk-free rate over the standard deviation from the mean. The calculation and further interpretation of the Sharpe index rest on the hypothesis that returns from financial assets are normally distributed and that an investor’s utility function depends only on </w:t>
      </w:r>
      <w:r w:rsidRPr="00B92BDF">
        <w:rPr>
          <w:rFonts w:ascii="Times New Roman" w:eastAsia="TimesNewRoman" w:hAnsi="Times New Roman" w:cs="Times New Roman"/>
          <w:color w:val="000000" w:themeColor="text1"/>
          <w:sz w:val="24"/>
          <w:szCs w:val="24"/>
          <w:lang w:val="en-GB"/>
        </w:rPr>
        <w:lastRenderedPageBreak/>
        <w:t>expected return and its variance (</w:t>
      </w:r>
      <w:r w:rsidRPr="00B92BDF">
        <w:rPr>
          <w:rFonts w:ascii="Times New Roman" w:eastAsia="TTE266F9A0t00" w:hAnsi="Times New Roman" w:cs="Times New Roman"/>
          <w:color w:val="000000" w:themeColor="text1"/>
          <w:sz w:val="24"/>
          <w:szCs w:val="24"/>
          <w:lang w:val="en-GB"/>
        </w:rPr>
        <w:t>Lamm, 2003</w:t>
      </w:r>
      <w:r w:rsidRPr="00B92BDF">
        <w:rPr>
          <w:rFonts w:ascii="Times New Roman" w:eastAsia="TimesNewRoman" w:hAnsi="Times New Roman" w:cs="Times New Roman"/>
          <w:color w:val="000000" w:themeColor="text1"/>
          <w:sz w:val="24"/>
          <w:szCs w:val="24"/>
          <w:lang w:val="en-GB"/>
        </w:rPr>
        <w:t>). Simplicity and ease of the interpretation are the main strengths of the Sharpe ratio.</w:t>
      </w: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eastAsia="Times New Roman" w:hAnsi="Times New Roman" w:cs="Times New Roman"/>
          <w:color w:val="000000" w:themeColor="text1"/>
          <w:sz w:val="24"/>
          <w:szCs w:val="24"/>
          <w:lang w:val="en-GB" w:eastAsia="ru-RU"/>
        </w:rPr>
        <w:t xml:space="preserve">Maller et al. (2010) </w:t>
      </w:r>
      <w:r w:rsidRPr="00B92BDF">
        <w:rPr>
          <w:rFonts w:ascii="Times New Roman" w:hAnsi="Times New Roman" w:cs="Times New Roman"/>
          <w:color w:val="000000" w:themeColor="text1"/>
          <w:sz w:val="24"/>
          <w:szCs w:val="24"/>
          <w:lang w:val="en-GB"/>
        </w:rPr>
        <w:t xml:space="preserve">stress an important distinction between the use of </w:t>
      </w:r>
      <w:r w:rsidR="00FD57F6"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Sharpe ratio for the </w:t>
      </w:r>
      <w:r w:rsidRPr="00B92BDF">
        <w:rPr>
          <w:rFonts w:ascii="Times New Roman" w:hAnsi="Times New Roman" w:cs="Times New Roman"/>
          <w:iCs/>
          <w:color w:val="000000" w:themeColor="text1"/>
          <w:sz w:val="24"/>
          <w:szCs w:val="24"/>
          <w:lang w:val="en-GB"/>
        </w:rPr>
        <w:t>ex-ante</w:t>
      </w:r>
      <w:r w:rsidRPr="00B92BDF">
        <w:rPr>
          <w:rFonts w:ascii="Times New Roman" w:hAnsi="Times New Roman" w:cs="Times New Roman"/>
          <w:i/>
          <w:iCs/>
          <w:color w:val="000000" w:themeColor="text1"/>
          <w:sz w:val="24"/>
          <w:szCs w:val="24"/>
          <w:lang w:val="en-GB"/>
        </w:rPr>
        <w:t xml:space="preserve"> </w:t>
      </w:r>
      <w:r w:rsidRPr="00B92BDF">
        <w:rPr>
          <w:rFonts w:ascii="Times New Roman" w:hAnsi="Times New Roman" w:cs="Times New Roman"/>
          <w:iCs/>
          <w:color w:val="000000" w:themeColor="text1"/>
          <w:sz w:val="24"/>
          <w:szCs w:val="24"/>
          <w:lang w:val="en-GB"/>
        </w:rPr>
        <w:t xml:space="preserve">analysis </w:t>
      </w:r>
      <w:r w:rsidRPr="00B92BDF">
        <w:rPr>
          <w:rFonts w:ascii="Times New Roman" w:hAnsi="Times New Roman" w:cs="Times New Roman"/>
          <w:color w:val="000000" w:themeColor="text1"/>
          <w:sz w:val="24"/>
          <w:szCs w:val="24"/>
          <w:lang w:val="en-GB"/>
        </w:rPr>
        <w:t xml:space="preserve">and the </w:t>
      </w:r>
      <w:r w:rsidRPr="00B92BDF">
        <w:rPr>
          <w:rFonts w:ascii="Times New Roman" w:hAnsi="Times New Roman" w:cs="Times New Roman"/>
          <w:iCs/>
          <w:color w:val="000000" w:themeColor="text1"/>
          <w:sz w:val="24"/>
          <w:szCs w:val="24"/>
          <w:lang w:val="en-GB"/>
        </w:rPr>
        <w:t>ex-post</w:t>
      </w:r>
      <w:r w:rsidRPr="00B92BDF">
        <w:rPr>
          <w:rFonts w:ascii="Times New Roman" w:hAnsi="Times New Roman" w:cs="Times New Roman"/>
          <w:i/>
          <w:iCs/>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 xml:space="preserve">evaluation of the asset performance. The Sharpe index plays a crucial but quite different role in both situations. </w:t>
      </w:r>
      <w:r w:rsidR="00FD57F6" w:rsidRPr="00B92BDF">
        <w:rPr>
          <w:rFonts w:ascii="Times New Roman" w:hAnsi="Times New Roman" w:cs="Times New Roman"/>
          <w:color w:val="000000" w:themeColor="text1"/>
          <w:sz w:val="24"/>
          <w:szCs w:val="24"/>
          <w:lang w:val="en-GB"/>
        </w:rPr>
        <w:t>On</w:t>
      </w:r>
      <w:r w:rsidRPr="00B92BDF">
        <w:rPr>
          <w:rFonts w:ascii="Times New Roman" w:hAnsi="Times New Roman" w:cs="Times New Roman"/>
          <w:color w:val="000000" w:themeColor="text1"/>
          <w:sz w:val="24"/>
          <w:szCs w:val="24"/>
          <w:lang w:val="en-GB"/>
        </w:rPr>
        <w:t xml:space="preserve"> the one hand, the maximum Sharpe ratio characterizes the best and targeted return-risk combination </w:t>
      </w:r>
      <w:r w:rsidRPr="00B92BDF">
        <w:rPr>
          <w:rFonts w:ascii="Times New Roman" w:hAnsi="Times New Roman" w:cs="Times New Roman"/>
          <w:iCs/>
          <w:color w:val="000000" w:themeColor="text1"/>
          <w:sz w:val="24"/>
          <w:szCs w:val="24"/>
          <w:lang w:val="en-GB"/>
        </w:rPr>
        <w:t>ex-ante</w:t>
      </w:r>
      <w:r w:rsidRPr="00B92BDF">
        <w:rPr>
          <w:rFonts w:ascii="Times New Roman" w:hAnsi="Times New Roman" w:cs="Times New Roman"/>
          <w:i/>
          <w:iCs/>
          <w:color w:val="000000" w:themeColor="text1"/>
          <w:sz w:val="24"/>
          <w:szCs w:val="24"/>
          <w:lang w:val="en-GB"/>
        </w:rPr>
        <w:t xml:space="preserve"> </w:t>
      </w:r>
      <w:r w:rsidRPr="00B92BDF">
        <w:rPr>
          <w:rFonts w:ascii="Times New Roman" w:hAnsi="Times New Roman" w:cs="Times New Roman"/>
          <w:iCs/>
          <w:color w:val="000000" w:themeColor="text1"/>
          <w:sz w:val="24"/>
          <w:szCs w:val="24"/>
          <w:lang w:val="en-GB"/>
        </w:rPr>
        <w:t>because while c</w:t>
      </w:r>
      <w:r w:rsidRPr="00B92BDF">
        <w:rPr>
          <w:rFonts w:ascii="Times New Roman" w:hAnsi="Times New Roman" w:cs="Times New Roman"/>
          <w:color w:val="000000" w:themeColor="text1"/>
          <w:sz w:val="24"/>
          <w:szCs w:val="24"/>
          <w:lang w:val="en-GB"/>
        </w:rPr>
        <w:t xml:space="preserve">alculating the maximum Sharpe ratio an investor optimizes the relation between risk and return among the large number of available risky assets. </w:t>
      </w:r>
      <w:r w:rsidR="00FD57F6" w:rsidRPr="00B92BDF">
        <w:rPr>
          <w:rFonts w:ascii="Times New Roman" w:hAnsi="Times New Roman" w:cs="Times New Roman"/>
          <w:color w:val="000000" w:themeColor="text1"/>
          <w:sz w:val="24"/>
          <w:szCs w:val="24"/>
          <w:lang w:val="en-GB"/>
        </w:rPr>
        <w:t>On</w:t>
      </w:r>
      <w:r w:rsidRPr="00B92BDF">
        <w:rPr>
          <w:rFonts w:ascii="Times New Roman" w:hAnsi="Times New Roman" w:cs="Times New Roman"/>
          <w:color w:val="000000" w:themeColor="text1"/>
          <w:sz w:val="24"/>
          <w:szCs w:val="24"/>
          <w:lang w:val="en-GB"/>
        </w:rPr>
        <w:t xml:space="preserve"> the other hand, estimating the Sharpe ratio in the moment of the </w:t>
      </w:r>
      <w:r w:rsidRPr="00B92BDF">
        <w:rPr>
          <w:rFonts w:ascii="Times New Roman" w:hAnsi="Times New Roman" w:cs="Times New Roman"/>
          <w:iCs/>
          <w:color w:val="000000" w:themeColor="text1"/>
          <w:sz w:val="24"/>
          <w:szCs w:val="24"/>
          <w:lang w:val="en-GB"/>
        </w:rPr>
        <w:t>ex-post</w:t>
      </w:r>
      <w:r w:rsidRPr="00B92BDF">
        <w:rPr>
          <w:rFonts w:ascii="Times New Roman" w:hAnsi="Times New Roman" w:cs="Times New Roman"/>
          <w:i/>
          <w:iCs/>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investment assessment, an investor only adjusts the obtained returns for the risk that has been taken.</w:t>
      </w:r>
    </w:p>
    <w:p w:rsidR="00A76009" w:rsidRPr="00B92BDF" w:rsidRDefault="00A76009" w:rsidP="00EA5EAB">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GB"/>
        </w:rPr>
      </w:pPr>
      <w:r w:rsidRPr="00B92BDF">
        <w:rPr>
          <w:rFonts w:ascii="Times New Roman" w:eastAsia="TTE266F9A0t00" w:hAnsi="Times New Roman" w:cs="Times New Roman"/>
          <w:color w:val="000000" w:themeColor="text1"/>
          <w:sz w:val="24"/>
          <w:szCs w:val="24"/>
          <w:lang w:val="en-GB"/>
        </w:rPr>
        <w:tab/>
        <w:t>Initially, the Sharpe ratio has been proposed as a universal measure for the asset performance evaluation that can be adapted for any investor with specific preferences or any financial asset</w:t>
      </w:r>
      <w:r w:rsidRPr="00B92BDF">
        <w:rPr>
          <w:rFonts w:ascii="Times New Roman" w:eastAsia="TimesNewRoman" w:hAnsi="Times New Roman" w:cs="Times New Roman"/>
          <w:color w:val="000000" w:themeColor="text1"/>
          <w:sz w:val="24"/>
          <w:szCs w:val="24"/>
          <w:lang w:val="en-GB"/>
        </w:rPr>
        <w:t xml:space="preserve">. </w:t>
      </w:r>
      <w:r w:rsidRPr="00B92BDF">
        <w:rPr>
          <w:rFonts w:ascii="Times New Roman" w:eastAsia="TTE266F9A0t00" w:hAnsi="Times New Roman" w:cs="Times New Roman"/>
          <w:color w:val="000000" w:themeColor="text1"/>
          <w:sz w:val="24"/>
          <w:szCs w:val="24"/>
          <w:lang w:val="en-GB"/>
        </w:rPr>
        <w:t>However, this proposition has been criticised a lot</w:t>
      </w:r>
      <w:r w:rsidRPr="00B92BDF">
        <w:rPr>
          <w:rFonts w:ascii="Times New Roman" w:hAnsi="Times New Roman" w:cs="Times New Roman"/>
          <w:color w:val="000000" w:themeColor="text1"/>
          <w:sz w:val="24"/>
          <w:szCs w:val="24"/>
          <w:lang w:val="en-GB"/>
        </w:rPr>
        <w:t xml:space="preserve">. The number of studies argues that the use of the Sharpe ratio seems to be restricted and the accurate values can be calculated only in a small number of situations. </w:t>
      </w:r>
      <w:r w:rsidRPr="00B92BDF">
        <w:rPr>
          <w:rFonts w:ascii="Times New Roman" w:eastAsia="Times New Roman" w:hAnsi="Times New Roman" w:cs="Times New Roman"/>
          <w:color w:val="000000" w:themeColor="text1"/>
          <w:sz w:val="24"/>
          <w:szCs w:val="24"/>
          <w:lang w:val="en-GB" w:eastAsia="ru-RU"/>
        </w:rPr>
        <w:t xml:space="preserve">Cogneau and Hubner (2009) indicate that </w:t>
      </w:r>
      <w:r w:rsidRPr="00B92BDF">
        <w:rPr>
          <w:rFonts w:ascii="Times New Roman" w:eastAsia="TimesNewRoman" w:hAnsi="Times New Roman" w:cs="Times New Roman"/>
          <w:color w:val="000000" w:themeColor="text1"/>
          <w:sz w:val="24"/>
          <w:szCs w:val="24"/>
          <w:lang w:val="en-GB"/>
        </w:rPr>
        <w:t xml:space="preserve">the Sharpe ratio is an absolute measure used mostly as a ranking criterion that does not refer to a benchmark. </w:t>
      </w:r>
      <w:r w:rsidRPr="00B92BDF">
        <w:rPr>
          <w:rFonts w:ascii="Times New Roman" w:eastAsia="TTE266F9A0t00" w:hAnsi="Times New Roman" w:cs="Times New Roman"/>
          <w:color w:val="000000" w:themeColor="text1"/>
          <w:sz w:val="24"/>
          <w:szCs w:val="24"/>
          <w:lang w:val="en-GB"/>
        </w:rPr>
        <w:t xml:space="preserve">Geman and Kharoubi (2003) demonstrate that </w:t>
      </w:r>
      <w:r w:rsidRPr="00B92BDF">
        <w:rPr>
          <w:rFonts w:ascii="Times New Roman" w:eastAsia="TimesNewRoman" w:hAnsi="Times New Roman" w:cs="Times New Roman"/>
          <w:color w:val="000000" w:themeColor="text1"/>
          <w:sz w:val="24"/>
          <w:szCs w:val="24"/>
          <w:lang w:val="en-GB"/>
        </w:rPr>
        <w:t xml:space="preserve">the choice of a risk-free rate affects considerably the value of the Sharpe coefficient and, therefore, the important assumption about equal risk-free rate for </w:t>
      </w:r>
      <w:r w:rsidR="00FD57F6" w:rsidRPr="00B92BDF">
        <w:rPr>
          <w:rFonts w:ascii="Times New Roman" w:eastAsia="TimesNewRoman" w:hAnsi="Times New Roman" w:cs="Times New Roman"/>
          <w:color w:val="000000" w:themeColor="text1"/>
          <w:sz w:val="24"/>
          <w:szCs w:val="24"/>
          <w:lang w:val="en-GB"/>
        </w:rPr>
        <w:t>borrowing and lending must be he</w:t>
      </w:r>
      <w:r w:rsidRPr="00B92BDF">
        <w:rPr>
          <w:rFonts w:ascii="Times New Roman" w:eastAsia="TimesNewRoman" w:hAnsi="Times New Roman" w:cs="Times New Roman"/>
          <w:color w:val="000000" w:themeColor="text1"/>
          <w:sz w:val="24"/>
          <w:szCs w:val="24"/>
          <w:lang w:val="en-GB"/>
        </w:rPr>
        <w:t xml:space="preserve">ld. </w:t>
      </w:r>
      <w:r w:rsidRPr="00B92BDF">
        <w:rPr>
          <w:rFonts w:ascii="Times New Roman" w:hAnsi="Times New Roman" w:cs="Times New Roman"/>
          <w:color w:val="000000" w:themeColor="text1"/>
          <w:sz w:val="24"/>
          <w:szCs w:val="24"/>
          <w:lang w:val="en-GB"/>
        </w:rPr>
        <w:t xml:space="preserve">Bodie et al. (2005) explain that the </w:t>
      </w:r>
      <w:r w:rsidRPr="00B92BDF">
        <w:rPr>
          <w:rFonts w:ascii="Times New Roman" w:eastAsia="TimesNewRoman" w:hAnsi="Times New Roman" w:cs="Times New Roman"/>
          <w:color w:val="000000" w:themeColor="text1"/>
          <w:sz w:val="24"/>
          <w:szCs w:val="24"/>
          <w:lang w:val="en-GB"/>
        </w:rPr>
        <w:t xml:space="preserve">Sharpe ratio is only suitable for investors who invest all their funds in just one asset because, according to its definition, the Sharpe ratio captures only total market risk. In case of aggregation of several risky assets, the consolidation of Sharpe ratios is not straightforward because of the covariance effects between volatilities. </w:t>
      </w:r>
      <w:r w:rsidR="008F650C" w:rsidRPr="00B92BDF">
        <w:rPr>
          <w:rFonts w:ascii="Times New Roman" w:eastAsia="TimesNewRoman" w:hAnsi="Times New Roman" w:cs="Times New Roman"/>
          <w:color w:val="000000" w:themeColor="text1"/>
          <w:sz w:val="24"/>
          <w:szCs w:val="24"/>
          <w:lang w:val="en-GB"/>
        </w:rPr>
        <w:t>Taking the previously into account</w:t>
      </w:r>
      <w:r w:rsidRPr="00B92BDF">
        <w:rPr>
          <w:rFonts w:ascii="Times New Roman" w:eastAsia="TimesNewRoman" w:hAnsi="Times New Roman" w:cs="Times New Roman"/>
          <w:color w:val="000000" w:themeColor="text1"/>
          <w:sz w:val="24"/>
          <w:szCs w:val="24"/>
          <w:lang w:val="en-GB"/>
        </w:rPr>
        <w:t xml:space="preserve">, the Sharpe ratio </w:t>
      </w:r>
      <w:r w:rsidRPr="00B92BDF">
        <w:rPr>
          <w:rFonts w:ascii="Times New Roman" w:hAnsi="Times New Roman" w:cs="Times New Roman"/>
          <w:color w:val="000000" w:themeColor="text1"/>
          <w:sz w:val="24"/>
          <w:szCs w:val="24"/>
          <w:lang w:val="en-GB"/>
        </w:rPr>
        <w:t>may not be appropriate for an investor who splits the risky assets.</w:t>
      </w: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However, the most contradictory issue concerning the Sharpe ratio that </w:t>
      </w:r>
      <w:r w:rsidRPr="00B92BDF">
        <w:rPr>
          <w:rFonts w:ascii="Times New Roman" w:eastAsia="TimesNewRoman" w:hAnsi="Times New Roman" w:cs="Times New Roman"/>
          <w:color w:val="000000" w:themeColor="text1"/>
          <w:sz w:val="24"/>
          <w:szCs w:val="24"/>
          <w:lang w:val="en-GB"/>
        </w:rPr>
        <w:t xml:space="preserve">induces the wide discussion among </w:t>
      </w:r>
      <w:r w:rsidR="00FA5AC2" w:rsidRPr="00B92BDF">
        <w:rPr>
          <w:rFonts w:ascii="Times New Roman" w:eastAsia="TimesNewRoman" w:hAnsi="Times New Roman" w:cs="Times New Roman"/>
          <w:color w:val="000000" w:themeColor="text1"/>
          <w:sz w:val="24"/>
          <w:szCs w:val="24"/>
          <w:lang w:val="en-GB"/>
        </w:rPr>
        <w:t>academicians &amp; practitioners</w:t>
      </w:r>
      <w:r w:rsidRPr="00B92BDF">
        <w:rPr>
          <w:rFonts w:ascii="Times New Roman" w:eastAsia="TimesNew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lies in the notion of risk. The Sharpe index assumes that the standard deviation of the return distribution provides the full description of risk (</w:t>
      </w:r>
      <w:r w:rsidRPr="00B92BDF">
        <w:rPr>
          <w:rFonts w:ascii="Times New Roman" w:eastAsia="Times New Roman" w:hAnsi="Times New Roman" w:cs="Times New Roman"/>
          <w:color w:val="000000" w:themeColor="text1"/>
          <w:sz w:val="24"/>
          <w:szCs w:val="24"/>
          <w:lang w:val="en-GB" w:eastAsia="ru-RU"/>
        </w:rPr>
        <w:t xml:space="preserve">Schmidhuber </w:t>
      </w:r>
      <w:r w:rsidR="00F06614" w:rsidRPr="00B92BDF">
        <w:rPr>
          <w:rFonts w:ascii="Times New Roman" w:eastAsia="Times New Roman" w:hAnsi="Times New Roman" w:cs="Times New Roman"/>
          <w:color w:val="000000" w:themeColor="text1"/>
          <w:sz w:val="24"/>
          <w:szCs w:val="24"/>
          <w:lang w:val="en-GB" w:eastAsia="ru-RU"/>
        </w:rPr>
        <w:t>and</w:t>
      </w:r>
      <w:r w:rsidRPr="00B92BDF">
        <w:rPr>
          <w:rFonts w:ascii="Times New Roman" w:eastAsia="Times New Roman" w:hAnsi="Times New Roman" w:cs="Times New Roman"/>
          <w:color w:val="000000" w:themeColor="text1"/>
          <w:sz w:val="24"/>
          <w:szCs w:val="24"/>
          <w:lang w:val="en-GB" w:eastAsia="ru-RU"/>
        </w:rPr>
        <w:t xml:space="preserve"> Moix, 2001</w:t>
      </w:r>
      <w:r w:rsidRPr="00B92BDF">
        <w:rPr>
          <w:rFonts w:ascii="Times New Roman" w:hAnsi="Times New Roman" w:cs="Times New Roman"/>
          <w:color w:val="000000" w:themeColor="text1"/>
          <w:sz w:val="24"/>
          <w:szCs w:val="24"/>
          <w:lang w:val="en-GB"/>
        </w:rPr>
        <w:t xml:space="preserve">). According to Campbell et al. (2001), standard deviation as a measure for risk implies that an investor weights the probability of obtaining positive and negative returns equally, but agents often treat losses and gains asymmetrically. </w:t>
      </w:r>
      <w:r w:rsidRPr="00B92BDF">
        <w:rPr>
          <w:rFonts w:ascii="Times New Roman" w:eastAsia="Times New Roman" w:hAnsi="Times New Roman" w:cs="Times New Roman"/>
          <w:color w:val="000000" w:themeColor="text1"/>
          <w:sz w:val="24"/>
          <w:szCs w:val="24"/>
          <w:lang w:val="en-GB" w:eastAsia="ru-RU"/>
        </w:rPr>
        <w:t>Bacmann and Scholz (2003) agree that r</w:t>
      </w:r>
      <w:r w:rsidRPr="00B92BDF">
        <w:rPr>
          <w:rFonts w:ascii="Times New Roman" w:hAnsi="Times New Roman" w:cs="Times New Roman"/>
          <w:color w:val="000000" w:themeColor="text1"/>
          <w:sz w:val="24"/>
          <w:szCs w:val="24"/>
          <w:lang w:val="en-GB"/>
        </w:rPr>
        <w:t xml:space="preserve">isk </w:t>
      </w:r>
      <w:proofErr w:type="gramStart"/>
      <w:r w:rsidRPr="00B92BDF">
        <w:rPr>
          <w:rFonts w:ascii="Times New Roman" w:hAnsi="Times New Roman" w:cs="Times New Roman"/>
          <w:color w:val="000000" w:themeColor="text1"/>
          <w:sz w:val="24"/>
          <w:szCs w:val="24"/>
          <w:lang w:val="en-GB"/>
        </w:rPr>
        <w:t>averse</w:t>
      </w:r>
      <w:proofErr w:type="gramEnd"/>
      <w:r w:rsidRPr="00B92BDF">
        <w:rPr>
          <w:rFonts w:ascii="Times New Roman" w:hAnsi="Times New Roman" w:cs="Times New Roman"/>
          <w:color w:val="000000" w:themeColor="text1"/>
          <w:sz w:val="24"/>
          <w:szCs w:val="24"/>
          <w:lang w:val="en-GB"/>
        </w:rPr>
        <w:t xml:space="preserve"> investors seem to strongly dislike losses and prefer to partly sacrifice positive returns in order to avoid negative ones. Generally speaking, that is consistent with the notion of behavioural theory that people attach different values to monetarily equal losses and gains when making decisions under risk (Kahneman </w:t>
      </w:r>
      <w:r w:rsidR="00F06614" w:rsidRPr="00B92BDF">
        <w:rPr>
          <w:rFonts w:ascii="Times New Roman" w:hAnsi="Times New Roman" w:cs="Times New Roman"/>
          <w:color w:val="000000" w:themeColor="text1"/>
          <w:sz w:val="24"/>
          <w:szCs w:val="24"/>
          <w:lang w:val="en-GB"/>
        </w:rPr>
        <w:t>and</w:t>
      </w:r>
      <w:r w:rsidRPr="00B92BDF">
        <w:rPr>
          <w:rFonts w:ascii="Times New Roman" w:hAnsi="Times New Roman" w:cs="Times New Roman"/>
          <w:color w:val="000000" w:themeColor="text1"/>
          <w:sz w:val="24"/>
          <w:szCs w:val="24"/>
          <w:lang w:val="en-GB"/>
        </w:rPr>
        <w:t xml:space="preserve"> Tversky, 1979). In such case of </w:t>
      </w:r>
      <w:r w:rsidRPr="00B92BDF">
        <w:rPr>
          <w:rFonts w:ascii="Times New Roman" w:eastAsia="TTE266F9A0t00" w:hAnsi="Times New Roman" w:cs="Times New Roman"/>
          <w:color w:val="000000" w:themeColor="text1"/>
          <w:sz w:val="24"/>
          <w:szCs w:val="24"/>
          <w:lang w:val="en-GB"/>
        </w:rPr>
        <w:t>asymmetric return distribution</w:t>
      </w:r>
      <w:r w:rsidRPr="00B92BDF">
        <w:rPr>
          <w:rFonts w:ascii="Times New Roman" w:hAnsi="Times New Roman" w:cs="Times New Roman"/>
          <w:color w:val="000000" w:themeColor="text1"/>
          <w:sz w:val="24"/>
          <w:szCs w:val="24"/>
          <w:lang w:val="en-GB"/>
        </w:rPr>
        <w:t xml:space="preserve">, </w:t>
      </w:r>
      <w:r w:rsidRPr="00B92BDF">
        <w:rPr>
          <w:rFonts w:ascii="Times New Roman" w:eastAsia="TTE266F9A0t00" w:hAnsi="Times New Roman" w:cs="Times New Roman"/>
          <w:color w:val="000000" w:themeColor="text1"/>
          <w:sz w:val="24"/>
          <w:szCs w:val="24"/>
          <w:lang w:val="en-GB"/>
        </w:rPr>
        <w:t>the use of standard risk and performance measures may lead to the underestimated risk and the overestimated performance, and, therefore, to the inefficient</w:t>
      </w:r>
      <w:r w:rsidRPr="00B92BDF">
        <w:rPr>
          <w:rFonts w:ascii="Times New Roman" w:hAnsi="Times New Roman" w:cs="Times New Roman"/>
          <w:color w:val="000000" w:themeColor="text1"/>
          <w:sz w:val="24"/>
          <w:szCs w:val="24"/>
          <w:lang w:val="en-GB"/>
        </w:rPr>
        <w:t xml:space="preserve"> strategy for optimising return per unit of risk </w:t>
      </w:r>
      <w:r w:rsidRPr="00B92BDF">
        <w:rPr>
          <w:rFonts w:ascii="Times New Roman" w:eastAsia="TTE266F9A0t00" w:hAnsi="Times New Roman" w:cs="Times New Roman"/>
          <w:color w:val="000000" w:themeColor="text1"/>
          <w:sz w:val="24"/>
          <w:szCs w:val="24"/>
          <w:lang w:val="en-GB"/>
        </w:rPr>
        <w:t>(Lamm, 2003).</w:t>
      </w:r>
    </w:p>
    <w:p w:rsidR="00A76009" w:rsidRPr="00B92BDF" w:rsidRDefault="00A76009" w:rsidP="00EA5EAB">
      <w:pPr>
        <w:autoSpaceDE w:val="0"/>
        <w:autoSpaceDN w:val="0"/>
        <w:adjustRightInd w:val="0"/>
        <w:spacing w:after="0" w:line="240" w:lineRule="auto"/>
        <w:ind w:firstLine="708"/>
        <w:jc w:val="both"/>
        <w:rPr>
          <w:rFonts w:ascii="Times New Roman" w:eastAsia="TTE266F9A0t00"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In addition, Joro and Na (2006)</w:t>
      </w:r>
      <w:r w:rsidR="002F4497" w:rsidRPr="00B92BDF">
        <w:rPr>
          <w:rFonts w:ascii="Times New Roman" w:hAnsi="Times New Roman" w:cs="Times New Roman"/>
          <w:color w:val="000000" w:themeColor="text1"/>
          <w:sz w:val="24"/>
          <w:szCs w:val="24"/>
          <w:lang w:val="en-GB"/>
        </w:rPr>
        <w:t xml:space="preserve"> and </w:t>
      </w:r>
      <w:proofErr w:type="spellStart"/>
      <w:r w:rsidR="002F4497" w:rsidRPr="00B92BDF">
        <w:rPr>
          <w:rFonts w:ascii="Times New Roman" w:hAnsi="Times New Roman" w:cs="Times New Roman"/>
          <w:color w:val="000000" w:themeColor="text1"/>
          <w:sz w:val="24"/>
          <w:szCs w:val="24"/>
          <w:lang w:val="en-GB"/>
        </w:rPr>
        <w:t>Farinelli</w:t>
      </w:r>
      <w:proofErr w:type="spellEnd"/>
      <w:r w:rsidR="002F4497" w:rsidRPr="00B92BDF">
        <w:rPr>
          <w:rFonts w:ascii="Times New Roman" w:hAnsi="Times New Roman" w:cs="Times New Roman"/>
          <w:color w:val="000000" w:themeColor="text1"/>
          <w:sz w:val="24"/>
          <w:szCs w:val="24"/>
          <w:lang w:val="en-GB"/>
        </w:rPr>
        <w:t xml:space="preserve"> et al. (2008)</w:t>
      </w:r>
      <w:r w:rsidRPr="00B92BDF">
        <w:rPr>
          <w:rFonts w:ascii="Times New Roman" w:hAnsi="Times New Roman" w:cs="Times New Roman"/>
          <w:color w:val="000000" w:themeColor="text1"/>
          <w:sz w:val="24"/>
          <w:szCs w:val="24"/>
          <w:lang w:val="en-GB"/>
        </w:rPr>
        <w:t xml:space="preserve"> summarize that many empirical studies deal with financial return series following non-normal distributions with skewness and kurtosis </w:t>
      </w:r>
      <w:r w:rsidR="00FD57F6" w:rsidRPr="00B92BDF">
        <w:rPr>
          <w:rFonts w:ascii="Times New Roman" w:hAnsi="Times New Roman" w:cs="Times New Roman"/>
          <w:color w:val="000000" w:themeColor="text1"/>
          <w:sz w:val="24"/>
          <w:szCs w:val="24"/>
          <w:lang w:val="en-GB"/>
        </w:rPr>
        <w:t xml:space="preserve">are </w:t>
      </w:r>
      <w:r w:rsidRPr="00B92BDF">
        <w:rPr>
          <w:rFonts w:ascii="Times New Roman" w:hAnsi="Times New Roman" w:cs="Times New Roman"/>
          <w:color w:val="000000" w:themeColor="text1"/>
          <w:sz w:val="24"/>
          <w:szCs w:val="24"/>
          <w:lang w:val="en-GB"/>
        </w:rPr>
        <w:t>pervasive. As expected, h</w:t>
      </w:r>
      <w:r w:rsidRPr="00B92BDF">
        <w:rPr>
          <w:rFonts w:ascii="Times New Roman" w:eastAsia="TTE266F9A0t00" w:hAnsi="Times New Roman" w:cs="Times New Roman"/>
          <w:color w:val="000000" w:themeColor="text1"/>
          <w:sz w:val="24"/>
          <w:szCs w:val="24"/>
          <w:lang w:val="en-GB"/>
        </w:rPr>
        <w:t>edge funds and other alternative investments are especially prone to generating asymmetric returns, but with a development of financial markets</w:t>
      </w:r>
      <w:r w:rsidR="00FD57F6" w:rsidRPr="00B92BDF">
        <w:rPr>
          <w:rFonts w:ascii="Times New Roman" w:eastAsia="TTE266F9A0t00" w:hAnsi="Times New Roman" w:cs="Times New Roman"/>
          <w:color w:val="000000" w:themeColor="text1"/>
          <w:sz w:val="24"/>
          <w:szCs w:val="24"/>
          <w:lang w:val="en-GB"/>
        </w:rPr>
        <w:t>,</w:t>
      </w:r>
      <w:r w:rsidRPr="00B92BDF">
        <w:rPr>
          <w:rFonts w:ascii="Times New Roman" w:eastAsia="TTE266F9A0t00" w:hAnsi="Times New Roman" w:cs="Times New Roman"/>
          <w:color w:val="000000" w:themeColor="text1"/>
          <w:sz w:val="24"/>
          <w:szCs w:val="24"/>
          <w:lang w:val="en-GB"/>
        </w:rPr>
        <w:t xml:space="preserve"> the returns on other financial assets become the subject of asymmetry, as well. </w:t>
      </w:r>
    </w:p>
    <w:p w:rsidR="00A76009" w:rsidRPr="00B92BDF" w:rsidRDefault="00A76009" w:rsidP="00EA5EAB">
      <w:pPr>
        <w:autoSpaceDE w:val="0"/>
        <w:autoSpaceDN w:val="0"/>
        <w:adjustRightInd w:val="0"/>
        <w:spacing w:after="0" w:line="240" w:lineRule="auto"/>
        <w:ind w:firstLine="708"/>
        <w:jc w:val="both"/>
        <w:rPr>
          <w:rFonts w:ascii="Times New Roman" w:eastAsia="TTE266F9A0t00" w:hAnsi="Times New Roman" w:cs="Times New Roman"/>
          <w:color w:val="000000" w:themeColor="text1"/>
          <w:sz w:val="24"/>
          <w:szCs w:val="24"/>
          <w:lang w:val="en-GB"/>
        </w:rPr>
      </w:pPr>
      <w:r w:rsidRPr="00B92BDF">
        <w:rPr>
          <w:rFonts w:ascii="Times New Roman" w:eastAsia="TTE266F9A0t00" w:hAnsi="Times New Roman" w:cs="Times New Roman"/>
          <w:color w:val="000000" w:themeColor="text1"/>
          <w:sz w:val="24"/>
          <w:szCs w:val="24"/>
          <w:lang w:val="en-GB"/>
        </w:rPr>
        <w:t xml:space="preserve">The majority of empirical studies suggest that the use of the Sharpe ratio is appropriate only in case of </w:t>
      </w:r>
      <w:r w:rsidRPr="00B92BDF">
        <w:rPr>
          <w:rFonts w:ascii="Times New Roman" w:hAnsi="Times New Roman" w:cs="Times New Roman"/>
          <w:color w:val="000000" w:themeColor="text1"/>
          <w:sz w:val="24"/>
          <w:szCs w:val="24"/>
          <w:lang w:val="en-GB"/>
        </w:rPr>
        <w:t xml:space="preserve">normally distributed returns, but financial series having </w:t>
      </w:r>
      <w:r w:rsidRPr="00B92BDF">
        <w:rPr>
          <w:rFonts w:ascii="Times New Roman" w:eastAsia="TTE266F9A0t00" w:hAnsi="Times New Roman" w:cs="Times New Roman"/>
          <w:color w:val="000000" w:themeColor="text1"/>
          <w:sz w:val="24"/>
          <w:szCs w:val="24"/>
          <w:lang w:val="en-GB"/>
        </w:rPr>
        <w:t xml:space="preserve">a non-normal return distribution cannot be adequately evaluated using the classical Sharpe ratio (see, for instance, </w:t>
      </w:r>
      <w:proofErr w:type="spellStart"/>
      <w:r w:rsidRPr="00B92BDF">
        <w:rPr>
          <w:rFonts w:ascii="Times New Roman" w:eastAsia="Times New Roman" w:hAnsi="Times New Roman" w:cs="Times New Roman"/>
          <w:color w:val="000000" w:themeColor="text1"/>
          <w:sz w:val="24"/>
          <w:szCs w:val="24"/>
          <w:lang w:val="en-GB" w:eastAsia="ru-RU"/>
        </w:rPr>
        <w:t>Bacmann</w:t>
      </w:r>
      <w:proofErr w:type="spellEnd"/>
      <w:r w:rsidRPr="00B92BDF">
        <w:rPr>
          <w:rFonts w:ascii="Times New Roman" w:eastAsia="Times New Roman" w:hAnsi="Times New Roman" w:cs="Times New Roman"/>
          <w:color w:val="000000" w:themeColor="text1"/>
          <w:sz w:val="24"/>
          <w:szCs w:val="24"/>
          <w:lang w:val="en-GB" w:eastAsia="ru-RU"/>
        </w:rPr>
        <w:t xml:space="preserve"> </w:t>
      </w:r>
      <w:r w:rsidR="00F06614" w:rsidRPr="00B92BDF">
        <w:rPr>
          <w:rFonts w:ascii="Times New Roman" w:eastAsia="Times New Roman" w:hAnsi="Times New Roman" w:cs="Times New Roman"/>
          <w:color w:val="000000" w:themeColor="text1"/>
          <w:sz w:val="24"/>
          <w:szCs w:val="24"/>
          <w:lang w:val="en-GB" w:eastAsia="ru-RU"/>
        </w:rPr>
        <w:t>and</w:t>
      </w:r>
      <w:r w:rsidRPr="00B92BDF">
        <w:rPr>
          <w:rFonts w:ascii="Times New Roman" w:eastAsia="Times New Roman" w:hAnsi="Times New Roman" w:cs="Times New Roman"/>
          <w:color w:val="000000" w:themeColor="text1"/>
          <w:sz w:val="24"/>
          <w:szCs w:val="24"/>
          <w:lang w:val="en-GB" w:eastAsia="ru-RU"/>
        </w:rPr>
        <w:t xml:space="preserve"> </w:t>
      </w:r>
      <w:proofErr w:type="spellStart"/>
      <w:r w:rsidRPr="00B92BDF">
        <w:rPr>
          <w:rFonts w:ascii="Times New Roman" w:eastAsia="Times New Roman" w:hAnsi="Times New Roman" w:cs="Times New Roman"/>
          <w:color w:val="000000" w:themeColor="text1"/>
          <w:sz w:val="24"/>
          <w:szCs w:val="24"/>
          <w:lang w:val="en-GB" w:eastAsia="ru-RU"/>
        </w:rPr>
        <w:t>Pache</w:t>
      </w:r>
      <w:proofErr w:type="spellEnd"/>
      <w:r w:rsidRPr="00B92BDF">
        <w:rPr>
          <w:rFonts w:ascii="Times New Roman" w:eastAsia="Times New Roman" w:hAnsi="Times New Roman" w:cs="Times New Roman"/>
          <w:color w:val="000000" w:themeColor="text1"/>
          <w:sz w:val="24"/>
          <w:szCs w:val="24"/>
          <w:lang w:val="en-GB" w:eastAsia="ru-RU"/>
        </w:rPr>
        <w:t xml:space="preserve">, 2003; Auer, 2015). </w:t>
      </w:r>
      <w:r w:rsidR="00F35D3D" w:rsidRPr="00B92BDF">
        <w:rPr>
          <w:rFonts w:ascii="Times New Roman" w:eastAsia="Times New Roman" w:hAnsi="Times New Roman" w:cs="Times New Roman"/>
          <w:color w:val="000000" w:themeColor="text1"/>
          <w:sz w:val="24"/>
          <w:szCs w:val="24"/>
          <w:lang w:val="en-GB" w:eastAsia="ru-RU"/>
        </w:rPr>
        <w:t xml:space="preserve">Bearing in mind this, </w:t>
      </w:r>
      <w:r w:rsidRPr="00B92BDF">
        <w:rPr>
          <w:rFonts w:ascii="Times New Roman" w:eastAsia="Times New Roman" w:hAnsi="Times New Roman" w:cs="Times New Roman"/>
          <w:color w:val="000000" w:themeColor="text1"/>
          <w:sz w:val="24"/>
          <w:szCs w:val="24"/>
          <w:lang w:val="en-GB" w:eastAsia="ru-RU"/>
        </w:rPr>
        <w:t xml:space="preserve">researchers have come to the point </w:t>
      </w:r>
      <w:r w:rsidR="005F7D4B" w:rsidRPr="00B92BDF">
        <w:rPr>
          <w:rFonts w:ascii="Times New Roman" w:hAnsi="Times New Roman" w:cs="Times New Roman"/>
          <w:color w:val="000000" w:themeColor="text1"/>
          <w:sz w:val="24"/>
          <w:szCs w:val="24"/>
          <w:lang w:val="en-GB"/>
        </w:rPr>
        <w:t xml:space="preserve">of </w:t>
      </w:r>
      <w:r w:rsidRPr="00B92BDF">
        <w:rPr>
          <w:rFonts w:ascii="Times New Roman" w:hAnsi="Times New Roman" w:cs="Times New Roman"/>
          <w:color w:val="000000" w:themeColor="text1"/>
          <w:sz w:val="24"/>
          <w:szCs w:val="24"/>
          <w:lang w:val="en-GB"/>
        </w:rPr>
        <w:t xml:space="preserve">a need to develop alternative risk measures and incorporate other statistical properties of distribution in the analysis of asset performance. </w:t>
      </w:r>
    </w:p>
    <w:p w:rsidR="00A76009" w:rsidRPr="00B92BDF" w:rsidRDefault="00A76009" w:rsidP="00EA5EAB">
      <w:pPr>
        <w:autoSpaceDE w:val="0"/>
        <w:autoSpaceDN w:val="0"/>
        <w:adjustRightInd w:val="0"/>
        <w:spacing w:after="0" w:line="240" w:lineRule="auto"/>
        <w:ind w:firstLine="708"/>
        <w:jc w:val="both"/>
        <w:rPr>
          <w:rFonts w:ascii="Times New Roman" w:eastAsia="TimesNewRoman" w:hAnsi="Times New Roman" w:cs="Times New Roman"/>
          <w:color w:val="000000" w:themeColor="text1"/>
          <w:sz w:val="24"/>
          <w:szCs w:val="24"/>
          <w:lang w:val="en-GB"/>
        </w:rPr>
      </w:pPr>
      <w:r w:rsidRPr="00B92BDF">
        <w:rPr>
          <w:rFonts w:ascii="Times New Roman" w:eastAsia="TimesNewRoman" w:hAnsi="Times New Roman" w:cs="Times New Roman"/>
          <w:color w:val="000000" w:themeColor="text1"/>
          <w:sz w:val="24"/>
          <w:szCs w:val="24"/>
          <w:lang w:val="en-GB"/>
        </w:rPr>
        <w:lastRenderedPageBreak/>
        <w:t xml:space="preserve">Ang and Chua (1979) first suggest using the semi-variance which considers only the returns lower than the mean as a substitute for the standard deviation. </w:t>
      </w:r>
      <w:r w:rsidRPr="00B92BDF">
        <w:rPr>
          <w:rFonts w:ascii="Times New Roman" w:eastAsia="Times New Roman" w:hAnsi="Times New Roman" w:cs="Times New Roman"/>
          <w:color w:val="000000" w:themeColor="text1"/>
          <w:sz w:val="24"/>
          <w:szCs w:val="24"/>
          <w:lang w:val="en-GB" w:eastAsia="ru-RU"/>
        </w:rPr>
        <w:t xml:space="preserve">Sortino and Van der Meer (1991) argue that the semi-variance (and semi-standard deviation) take into account only positive values for returns below the target return and </w:t>
      </w:r>
      <w:r w:rsidR="00F35D3D" w:rsidRPr="00B92BDF">
        <w:rPr>
          <w:rFonts w:ascii="Times New Roman" w:eastAsia="Times New Roman" w:hAnsi="Times New Roman" w:cs="Times New Roman"/>
          <w:color w:val="000000" w:themeColor="text1"/>
          <w:sz w:val="24"/>
          <w:szCs w:val="24"/>
          <w:lang w:val="en-GB" w:eastAsia="ru-RU"/>
        </w:rPr>
        <w:t xml:space="preserve">they </w:t>
      </w:r>
      <w:r w:rsidRPr="00B92BDF">
        <w:rPr>
          <w:rFonts w:ascii="Times New Roman" w:eastAsia="Times New Roman" w:hAnsi="Times New Roman" w:cs="Times New Roman"/>
          <w:color w:val="000000" w:themeColor="text1"/>
          <w:sz w:val="24"/>
          <w:szCs w:val="24"/>
          <w:lang w:val="en-GB" w:eastAsia="ru-RU"/>
        </w:rPr>
        <w:t xml:space="preserve">are, therefore, sensitive to both skewness and kurtosis in the data. </w:t>
      </w:r>
      <w:r w:rsidRPr="00B92BDF">
        <w:rPr>
          <w:rFonts w:ascii="Times New Roman" w:eastAsia="TimesNewRoman" w:hAnsi="Times New Roman" w:cs="Times New Roman"/>
          <w:color w:val="000000" w:themeColor="text1"/>
          <w:sz w:val="24"/>
          <w:szCs w:val="24"/>
          <w:lang w:val="en-GB"/>
        </w:rPr>
        <w:t>Based on their idea</w:t>
      </w:r>
      <w:r w:rsidRPr="00B92BDF">
        <w:rPr>
          <w:rFonts w:ascii="Times New Roman" w:hAnsi="Times New Roman" w:cs="Times New Roman"/>
          <w:color w:val="000000" w:themeColor="text1"/>
          <w:sz w:val="24"/>
          <w:szCs w:val="24"/>
          <w:lang w:val="en-GB"/>
        </w:rPr>
        <w:t>, the Sortino ratio, where the standard deviation is replaced with the downside deviation, has been advocated in order to capture the asymmetry of the return distribution (</w:t>
      </w:r>
      <w:r w:rsidRPr="00B92BDF">
        <w:rPr>
          <w:rFonts w:ascii="Times New Roman" w:eastAsia="Times New Roman" w:hAnsi="Times New Roman" w:cs="Times New Roman"/>
          <w:color w:val="000000" w:themeColor="text1"/>
          <w:sz w:val="24"/>
          <w:szCs w:val="24"/>
          <w:lang w:val="en-GB" w:eastAsia="ru-RU"/>
        </w:rPr>
        <w:t xml:space="preserve">Sortino </w:t>
      </w:r>
      <w:r w:rsidR="00F06614" w:rsidRPr="00B92BDF">
        <w:rPr>
          <w:rFonts w:ascii="Times New Roman" w:eastAsia="Times New Roman" w:hAnsi="Times New Roman" w:cs="Times New Roman"/>
          <w:color w:val="000000" w:themeColor="text1"/>
          <w:sz w:val="24"/>
          <w:szCs w:val="24"/>
          <w:lang w:val="en-GB" w:eastAsia="ru-RU"/>
        </w:rPr>
        <w:t xml:space="preserve">and </w:t>
      </w:r>
      <w:r w:rsidRPr="00B92BDF">
        <w:rPr>
          <w:rFonts w:ascii="Times New Roman" w:eastAsia="Times New Roman" w:hAnsi="Times New Roman" w:cs="Times New Roman"/>
          <w:color w:val="000000" w:themeColor="text1"/>
          <w:sz w:val="24"/>
          <w:szCs w:val="24"/>
          <w:lang w:val="en-GB" w:eastAsia="ru-RU"/>
        </w:rPr>
        <w:t>Price, 1994</w:t>
      </w:r>
      <w:r w:rsidRPr="00B92BDF">
        <w:rPr>
          <w:rFonts w:ascii="Times New Roman" w:hAnsi="Times New Roman" w:cs="Times New Roman"/>
          <w:color w:val="000000" w:themeColor="text1"/>
          <w:sz w:val="24"/>
          <w:szCs w:val="24"/>
          <w:lang w:val="en-GB"/>
        </w:rPr>
        <w:t xml:space="preserve">). </w:t>
      </w:r>
      <w:r w:rsidRPr="00B92BDF">
        <w:rPr>
          <w:rFonts w:ascii="Times New Roman" w:eastAsia="TimesNewRoman" w:hAnsi="Times New Roman" w:cs="Times New Roman"/>
          <w:color w:val="000000" w:themeColor="text1"/>
          <w:sz w:val="24"/>
          <w:szCs w:val="24"/>
          <w:lang w:val="en-GB"/>
        </w:rPr>
        <w:t>Introduction of a power index permits to account for the investor’s degree of risk aversion.</w:t>
      </w:r>
    </w:p>
    <w:p w:rsidR="00A76009" w:rsidRPr="00B92BDF" w:rsidRDefault="00A76009" w:rsidP="00EA5EAB">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GB"/>
        </w:rPr>
      </w:pPr>
      <w:r w:rsidRPr="00B92BDF">
        <w:rPr>
          <w:rFonts w:ascii="Times New Roman" w:eastAsia="TimesNewRoman" w:hAnsi="Times New Roman" w:cs="Times New Roman"/>
          <w:color w:val="000000" w:themeColor="text1"/>
          <w:sz w:val="24"/>
          <w:szCs w:val="24"/>
          <w:lang w:val="en-GB"/>
        </w:rPr>
        <w:tab/>
        <w:t xml:space="preserve">Vinod and Morey (2001) introduce the double Sharpe ratio, computed as the quotient of the Sharpe ratio estimate </w:t>
      </w:r>
      <w:r w:rsidR="00C422F3" w:rsidRPr="00B92BDF">
        <w:rPr>
          <w:rFonts w:ascii="Times New Roman" w:eastAsia="TimesNewRoman" w:hAnsi="Times New Roman" w:cs="Times New Roman"/>
          <w:color w:val="000000" w:themeColor="text1"/>
          <w:sz w:val="24"/>
          <w:szCs w:val="24"/>
          <w:lang w:val="en-GB"/>
        </w:rPr>
        <w:t>to</w:t>
      </w:r>
      <w:r w:rsidRPr="00B92BDF">
        <w:rPr>
          <w:rFonts w:ascii="Times New Roman" w:eastAsia="TimesNewRoman" w:hAnsi="Times New Roman" w:cs="Times New Roman"/>
          <w:color w:val="000000" w:themeColor="text1"/>
          <w:sz w:val="24"/>
          <w:szCs w:val="24"/>
          <w:lang w:val="en-GB"/>
        </w:rPr>
        <w:t xml:space="preserve"> its standard deviation. Lo (2002) suggests to adapt the Sharpe ratio to autocorrelation with a bias corrector. Mahdavi (2004) defines an adjusted Sharpe ratio (ASR) to evaluate assets whose return distributions are not normal. His approach is to transform the real return distribution in order to match it with the distribution of the benchmark returns. Israelsen (2005, 2009) proposes the modified Sharpe ratio in which he exponentiates the denominator with the excess return divided by its absolute value. Watanabe (2006) also considers the third and fourth central moments of a return distribution, but in a simpler form: he develops the </w:t>
      </w:r>
      <w:r w:rsidR="00114C0D" w:rsidRPr="00B92BDF">
        <w:rPr>
          <w:rFonts w:ascii="Times New Roman" w:eastAsia="TimesNewRoman" w:hAnsi="Times New Roman" w:cs="Times New Roman"/>
          <w:color w:val="000000" w:themeColor="text1"/>
          <w:sz w:val="24"/>
          <w:szCs w:val="24"/>
          <w:lang w:val="en-GB"/>
        </w:rPr>
        <w:t>Sortino plus</w:t>
      </w:r>
      <w:r w:rsidRPr="00B92BDF">
        <w:rPr>
          <w:rFonts w:ascii="Times New Roman" w:eastAsia="TimesNewRoman" w:hAnsi="Times New Roman" w:cs="Times New Roman"/>
          <w:color w:val="000000" w:themeColor="text1"/>
          <w:sz w:val="24"/>
          <w:szCs w:val="24"/>
          <w:lang w:val="en-GB"/>
        </w:rPr>
        <w:t xml:space="preserve"> skewness/kurtosis ratio as well as the Sharpe </w:t>
      </w:r>
      <w:r w:rsidR="00114C0D" w:rsidRPr="00B92BDF">
        <w:rPr>
          <w:rFonts w:ascii="Times New Roman" w:eastAsia="TimesNewRoman" w:hAnsi="Times New Roman" w:cs="Times New Roman"/>
          <w:color w:val="000000" w:themeColor="text1"/>
          <w:sz w:val="24"/>
          <w:szCs w:val="24"/>
          <w:lang w:val="en-GB"/>
        </w:rPr>
        <w:t>plus</w:t>
      </w:r>
      <w:r w:rsidRPr="00B92BDF">
        <w:rPr>
          <w:rFonts w:ascii="Times New Roman" w:eastAsia="TimesNewRoman" w:hAnsi="Times New Roman" w:cs="Times New Roman"/>
          <w:color w:val="000000" w:themeColor="text1"/>
          <w:sz w:val="24"/>
          <w:szCs w:val="24"/>
          <w:lang w:val="en-GB"/>
        </w:rPr>
        <w:t xml:space="preserve"> skewness/kurtosis ratio. </w:t>
      </w:r>
      <w:r w:rsidR="00B65E6F" w:rsidRPr="00B92BDF">
        <w:rPr>
          <w:rFonts w:ascii="Times New Roman" w:eastAsia="TimesNewRoman" w:hAnsi="Times New Roman" w:cs="Times New Roman"/>
          <w:color w:val="000000" w:themeColor="text1"/>
          <w:sz w:val="24"/>
          <w:szCs w:val="24"/>
          <w:lang w:val="en-GB"/>
        </w:rPr>
        <w:t>Other authors (</w:t>
      </w:r>
      <w:proofErr w:type="spellStart"/>
      <w:r w:rsidRPr="00B92BDF">
        <w:rPr>
          <w:rFonts w:ascii="Times New Roman" w:eastAsia="TimesNewRoman" w:hAnsi="Times New Roman" w:cs="Times New Roman"/>
          <w:color w:val="000000" w:themeColor="text1"/>
          <w:sz w:val="24"/>
          <w:szCs w:val="24"/>
          <w:lang w:val="en-GB"/>
        </w:rPr>
        <w:t>Z</w:t>
      </w:r>
      <w:r w:rsidR="00B65E6F" w:rsidRPr="00B92BDF">
        <w:rPr>
          <w:rFonts w:ascii="Times New Roman" w:eastAsia="TimesNewRoman" w:hAnsi="Times New Roman" w:cs="Times New Roman"/>
          <w:color w:val="000000" w:themeColor="text1"/>
          <w:sz w:val="24"/>
          <w:szCs w:val="24"/>
          <w:lang w:val="en-GB"/>
        </w:rPr>
        <w:t>akamouline</w:t>
      </w:r>
      <w:proofErr w:type="spellEnd"/>
      <w:r w:rsidR="00B65E6F" w:rsidRPr="00B92BDF">
        <w:rPr>
          <w:rFonts w:ascii="Times New Roman" w:eastAsia="TimesNewRoman" w:hAnsi="Times New Roman" w:cs="Times New Roman"/>
          <w:color w:val="000000" w:themeColor="text1"/>
          <w:sz w:val="24"/>
          <w:szCs w:val="24"/>
          <w:lang w:val="en-GB"/>
        </w:rPr>
        <w:t xml:space="preserve"> and </w:t>
      </w:r>
      <w:proofErr w:type="spellStart"/>
      <w:r w:rsidR="00B65E6F" w:rsidRPr="00B92BDF">
        <w:rPr>
          <w:rFonts w:ascii="Times New Roman" w:eastAsia="TimesNewRoman" w:hAnsi="Times New Roman" w:cs="Times New Roman"/>
          <w:color w:val="000000" w:themeColor="text1"/>
          <w:sz w:val="24"/>
          <w:szCs w:val="24"/>
          <w:lang w:val="en-GB"/>
        </w:rPr>
        <w:t>Koekebakker</w:t>
      </w:r>
      <w:proofErr w:type="spellEnd"/>
      <w:r w:rsidR="00B65E6F" w:rsidRPr="00B92BDF">
        <w:rPr>
          <w:rFonts w:ascii="Times New Roman" w:eastAsia="TimesNewRoman" w:hAnsi="Times New Roman" w:cs="Times New Roman"/>
          <w:color w:val="000000" w:themeColor="text1"/>
          <w:sz w:val="24"/>
          <w:szCs w:val="24"/>
          <w:lang w:val="en-GB"/>
        </w:rPr>
        <w:t xml:space="preserve">, </w:t>
      </w:r>
      <w:r w:rsidRPr="00B92BDF">
        <w:rPr>
          <w:rFonts w:ascii="Times New Roman" w:eastAsia="TimesNewRoman" w:hAnsi="Times New Roman" w:cs="Times New Roman"/>
          <w:color w:val="000000" w:themeColor="text1"/>
          <w:sz w:val="24"/>
          <w:szCs w:val="24"/>
          <w:lang w:val="en-GB"/>
        </w:rPr>
        <w:t>2008</w:t>
      </w:r>
      <w:r w:rsidR="00B65E6F" w:rsidRPr="00B92BDF">
        <w:rPr>
          <w:rFonts w:ascii="Times New Roman" w:eastAsia="TimesNewRoman" w:hAnsi="Times New Roman" w:cs="Times New Roman"/>
          <w:color w:val="000000" w:themeColor="text1"/>
          <w:sz w:val="24"/>
          <w:szCs w:val="24"/>
          <w:lang w:val="en-GB"/>
        </w:rPr>
        <w:t xml:space="preserve">; Campbell et al. 2001; </w:t>
      </w:r>
      <w:proofErr w:type="spellStart"/>
      <w:r w:rsidR="00B65E6F" w:rsidRPr="00B92BDF">
        <w:rPr>
          <w:rFonts w:ascii="Times New Roman" w:eastAsia="Times New Roman" w:hAnsi="Times New Roman" w:cs="Times New Roman"/>
          <w:color w:val="000000" w:themeColor="text1"/>
          <w:sz w:val="24"/>
          <w:szCs w:val="24"/>
          <w:lang w:val="en-GB" w:eastAsia="ru-RU"/>
        </w:rPr>
        <w:t>Bacmann</w:t>
      </w:r>
      <w:proofErr w:type="spellEnd"/>
      <w:r w:rsidR="00B65E6F" w:rsidRPr="00B92BDF">
        <w:rPr>
          <w:rFonts w:ascii="Times New Roman" w:eastAsia="Times New Roman" w:hAnsi="Times New Roman" w:cs="Times New Roman"/>
          <w:color w:val="000000" w:themeColor="text1"/>
          <w:sz w:val="24"/>
          <w:szCs w:val="24"/>
          <w:lang w:val="en-GB" w:eastAsia="ru-RU"/>
        </w:rPr>
        <w:t xml:space="preserve"> and </w:t>
      </w:r>
      <w:proofErr w:type="spellStart"/>
      <w:r w:rsidR="00B65E6F" w:rsidRPr="00B92BDF">
        <w:rPr>
          <w:rFonts w:ascii="Times New Roman" w:eastAsia="Times New Roman" w:hAnsi="Times New Roman" w:cs="Times New Roman"/>
          <w:color w:val="000000" w:themeColor="text1"/>
          <w:sz w:val="24"/>
          <w:szCs w:val="24"/>
          <w:lang w:val="en-GB" w:eastAsia="ru-RU"/>
        </w:rPr>
        <w:t>Scholz</w:t>
      </w:r>
      <w:proofErr w:type="spellEnd"/>
      <w:r w:rsidR="00B65E6F" w:rsidRPr="00B92BDF">
        <w:rPr>
          <w:rFonts w:ascii="Times New Roman" w:eastAsia="Times New Roman" w:hAnsi="Times New Roman" w:cs="Times New Roman"/>
          <w:color w:val="000000" w:themeColor="text1"/>
          <w:sz w:val="24"/>
          <w:szCs w:val="24"/>
          <w:lang w:val="en-GB" w:eastAsia="ru-RU"/>
        </w:rPr>
        <w:t xml:space="preserve">, 2003; </w:t>
      </w:r>
      <w:r w:rsidR="00B65E6F" w:rsidRPr="00B92BDF">
        <w:rPr>
          <w:rFonts w:ascii="Times New Roman" w:hAnsi="Times New Roman" w:cs="Times New Roman"/>
          <w:color w:val="000000" w:themeColor="text1"/>
          <w:sz w:val="24"/>
          <w:szCs w:val="24"/>
          <w:lang w:val="en-GB"/>
        </w:rPr>
        <w:t xml:space="preserve">Harvey and </w:t>
      </w:r>
      <w:proofErr w:type="spellStart"/>
      <w:r w:rsidR="00B65E6F" w:rsidRPr="00B92BDF">
        <w:rPr>
          <w:rFonts w:ascii="Times New Roman" w:hAnsi="Times New Roman" w:cs="Times New Roman"/>
          <w:color w:val="000000" w:themeColor="text1"/>
          <w:sz w:val="24"/>
          <w:szCs w:val="24"/>
          <w:lang w:val="en-GB"/>
        </w:rPr>
        <w:t>Siddique</w:t>
      </w:r>
      <w:proofErr w:type="spellEnd"/>
      <w:r w:rsidR="00B65E6F" w:rsidRPr="00B92BDF">
        <w:rPr>
          <w:rFonts w:ascii="Times New Roman" w:hAnsi="Times New Roman" w:cs="Times New Roman"/>
          <w:color w:val="000000" w:themeColor="text1"/>
          <w:sz w:val="24"/>
          <w:szCs w:val="24"/>
          <w:lang w:val="en-GB"/>
        </w:rPr>
        <w:t>, 2000</w:t>
      </w:r>
      <w:r w:rsidR="002F4497" w:rsidRPr="00B92BDF">
        <w:rPr>
          <w:rFonts w:ascii="Times New Roman" w:hAnsi="Times New Roman" w:cs="Times New Roman"/>
          <w:color w:val="000000" w:themeColor="text1"/>
          <w:sz w:val="24"/>
          <w:szCs w:val="24"/>
          <w:lang w:val="en-GB"/>
        </w:rPr>
        <w:t xml:space="preserve">; </w:t>
      </w:r>
      <w:proofErr w:type="spellStart"/>
      <w:r w:rsidR="002F4497" w:rsidRPr="00B92BDF">
        <w:rPr>
          <w:rFonts w:ascii="Times New Roman" w:hAnsi="Times New Roman" w:cs="Times New Roman"/>
          <w:color w:val="000000" w:themeColor="text1"/>
          <w:sz w:val="24"/>
          <w:szCs w:val="24"/>
          <w:lang w:val="en-GB"/>
        </w:rPr>
        <w:t>Pilotte</w:t>
      </w:r>
      <w:proofErr w:type="spellEnd"/>
      <w:r w:rsidR="002F4497" w:rsidRPr="00B92BDF">
        <w:rPr>
          <w:rFonts w:ascii="Times New Roman" w:hAnsi="Times New Roman" w:cs="Times New Roman"/>
          <w:color w:val="000000" w:themeColor="text1"/>
          <w:sz w:val="24"/>
          <w:szCs w:val="24"/>
          <w:lang w:val="en-GB"/>
        </w:rPr>
        <w:t xml:space="preserve"> and </w:t>
      </w:r>
      <w:proofErr w:type="spellStart"/>
      <w:r w:rsidR="002F4497" w:rsidRPr="00B92BDF">
        <w:rPr>
          <w:rFonts w:ascii="Times New Roman" w:hAnsi="Times New Roman" w:cs="Times New Roman"/>
          <w:color w:val="000000" w:themeColor="text1"/>
          <w:sz w:val="24"/>
          <w:szCs w:val="24"/>
          <w:lang w:val="en-GB"/>
        </w:rPr>
        <w:t>Sterbenz</w:t>
      </w:r>
      <w:proofErr w:type="spellEnd"/>
      <w:r w:rsidR="002F4497" w:rsidRPr="00B92BDF">
        <w:rPr>
          <w:rFonts w:ascii="Times New Roman" w:hAnsi="Times New Roman" w:cs="Times New Roman"/>
          <w:color w:val="000000" w:themeColor="text1"/>
          <w:sz w:val="24"/>
          <w:szCs w:val="24"/>
          <w:lang w:val="en-GB"/>
        </w:rPr>
        <w:t>, 2006</w:t>
      </w:r>
      <w:r w:rsidR="00B65E6F" w:rsidRPr="00B92BDF">
        <w:rPr>
          <w:rFonts w:ascii="Times New Roman" w:hAnsi="Times New Roman" w:cs="Times New Roman"/>
          <w:color w:val="000000" w:themeColor="text1"/>
          <w:sz w:val="24"/>
          <w:szCs w:val="24"/>
          <w:lang w:val="en-GB"/>
        </w:rPr>
        <w:t>)</w:t>
      </w:r>
      <w:r w:rsidR="00B65E6F" w:rsidRPr="00B92BDF">
        <w:rPr>
          <w:rFonts w:ascii="Times New Roman" w:eastAsia="TimesNewRoman" w:hAnsi="Times New Roman" w:cs="Times New Roman"/>
          <w:color w:val="000000" w:themeColor="text1"/>
          <w:sz w:val="24"/>
          <w:szCs w:val="24"/>
          <w:lang w:val="en-GB"/>
        </w:rPr>
        <w:t xml:space="preserve"> </w:t>
      </w:r>
      <w:r w:rsidRPr="00B92BDF">
        <w:rPr>
          <w:rFonts w:ascii="Times New Roman" w:eastAsia="TimesNewRoman" w:hAnsi="Times New Roman" w:cs="Times New Roman"/>
          <w:color w:val="000000" w:themeColor="text1"/>
          <w:sz w:val="24"/>
          <w:szCs w:val="24"/>
          <w:lang w:val="en-GB"/>
        </w:rPr>
        <w:t xml:space="preserve">examine the adjusted for skewness Sharpe ratio and the adjusted for skewness and kurtosis </w:t>
      </w:r>
      <w:r w:rsidR="00434652" w:rsidRPr="00B92BDF">
        <w:rPr>
          <w:rFonts w:ascii="Times New Roman" w:eastAsia="TimesNewRoman" w:hAnsi="Times New Roman" w:cs="Times New Roman"/>
          <w:color w:val="000000" w:themeColor="text1"/>
          <w:sz w:val="24"/>
          <w:szCs w:val="24"/>
          <w:lang w:val="en-GB"/>
        </w:rPr>
        <w:t>Sharpe ratio</w:t>
      </w:r>
      <w:r w:rsidRPr="00B92BDF">
        <w:rPr>
          <w:rFonts w:ascii="Times New Roman" w:eastAsia="TimesNewRoman" w:hAnsi="Times New Roman" w:cs="Times New Roman"/>
          <w:color w:val="000000" w:themeColor="text1"/>
          <w:sz w:val="24"/>
          <w:szCs w:val="24"/>
          <w:lang w:val="en-GB"/>
        </w:rPr>
        <w:t>.</w:t>
      </w:r>
    </w:p>
    <w:p w:rsidR="00A76009" w:rsidRPr="00B92BDF" w:rsidRDefault="00C422F3" w:rsidP="001E47DD">
      <w:pPr>
        <w:autoSpaceDE w:val="0"/>
        <w:autoSpaceDN w:val="0"/>
        <w:adjustRightInd w:val="0"/>
        <w:spacing w:after="0" w:line="240" w:lineRule="auto"/>
        <w:ind w:firstLine="708"/>
        <w:jc w:val="both"/>
        <w:rPr>
          <w:rFonts w:ascii="Times New Roman" w:hAnsi="Times New Roman" w:cs="Times New Roman"/>
          <w:strike/>
          <w:color w:val="000000" w:themeColor="text1"/>
          <w:sz w:val="24"/>
          <w:szCs w:val="24"/>
          <w:lang w:val="en-GB"/>
        </w:rPr>
      </w:pPr>
      <w:r w:rsidRPr="00B92BDF">
        <w:rPr>
          <w:rFonts w:ascii="Times New Roman" w:eastAsia="TimesNewRoman" w:hAnsi="Times New Roman" w:cs="Times New Roman"/>
          <w:color w:val="000000" w:themeColor="text1"/>
          <w:sz w:val="24"/>
          <w:szCs w:val="24"/>
          <w:lang w:val="en-GB"/>
        </w:rPr>
        <w:t>In</w:t>
      </w:r>
      <w:r w:rsidR="00A76009" w:rsidRPr="00B92BDF">
        <w:rPr>
          <w:rFonts w:ascii="Times New Roman" w:eastAsia="TimesNewRoman" w:hAnsi="Times New Roman" w:cs="Times New Roman"/>
          <w:color w:val="000000" w:themeColor="text1"/>
          <w:sz w:val="24"/>
          <w:szCs w:val="24"/>
          <w:lang w:val="en-GB"/>
        </w:rPr>
        <w:t xml:space="preserve"> contra</w:t>
      </w:r>
      <w:r w:rsidR="00434652" w:rsidRPr="00B92BDF">
        <w:rPr>
          <w:rFonts w:ascii="Times New Roman" w:eastAsia="TimesNewRoman" w:hAnsi="Times New Roman" w:cs="Times New Roman"/>
          <w:color w:val="000000" w:themeColor="text1"/>
          <w:sz w:val="24"/>
          <w:szCs w:val="24"/>
          <w:lang w:val="en-GB"/>
        </w:rPr>
        <w:t>st, it was proposed to use the v</w:t>
      </w:r>
      <w:r w:rsidR="00A76009" w:rsidRPr="00B92BDF">
        <w:rPr>
          <w:rFonts w:ascii="Times New Roman" w:eastAsia="TimesNewRoman" w:hAnsi="Times New Roman" w:cs="Times New Roman"/>
          <w:color w:val="000000" w:themeColor="text1"/>
          <w:sz w:val="24"/>
          <w:szCs w:val="24"/>
          <w:lang w:val="en-GB"/>
        </w:rPr>
        <w:t>alue-at-</w:t>
      </w:r>
      <w:r w:rsidR="00434652" w:rsidRPr="00B92BDF">
        <w:rPr>
          <w:rFonts w:ascii="Times New Roman" w:eastAsia="TimesNewRoman" w:hAnsi="Times New Roman" w:cs="Times New Roman"/>
          <w:color w:val="000000" w:themeColor="text1"/>
          <w:sz w:val="24"/>
          <w:szCs w:val="24"/>
          <w:lang w:val="en-GB"/>
        </w:rPr>
        <w:t>r</w:t>
      </w:r>
      <w:r w:rsidR="00A76009" w:rsidRPr="00B92BDF">
        <w:rPr>
          <w:rFonts w:ascii="Times New Roman" w:eastAsia="TimesNewRoman" w:hAnsi="Times New Roman" w:cs="Times New Roman"/>
          <w:color w:val="000000" w:themeColor="text1"/>
          <w:sz w:val="24"/>
          <w:szCs w:val="24"/>
          <w:lang w:val="en-GB"/>
        </w:rPr>
        <w:t xml:space="preserve">isk (VaR) as a risk indicator. </w:t>
      </w:r>
      <w:r w:rsidR="00A76009" w:rsidRPr="00B92BDF">
        <w:rPr>
          <w:rFonts w:ascii="Times New Roman" w:eastAsia="Times New Roman" w:hAnsi="Times New Roman" w:cs="Times New Roman"/>
          <w:color w:val="000000" w:themeColor="text1"/>
          <w:sz w:val="24"/>
          <w:szCs w:val="24"/>
          <w:lang w:val="en-GB" w:eastAsia="ru-RU"/>
        </w:rPr>
        <w:t xml:space="preserve">The latest research combines the VaR approach with basic propositions of the portfolio theory and the capital asset model.  Kourtis (2016) </w:t>
      </w:r>
      <w:r w:rsidR="00A76009" w:rsidRPr="00B92BDF">
        <w:rPr>
          <w:rFonts w:ascii="Times New Roman" w:hAnsi="Times New Roman" w:cs="Times New Roman"/>
          <w:color w:val="000000" w:themeColor="text1"/>
          <w:sz w:val="24"/>
          <w:szCs w:val="24"/>
          <w:lang w:val="en-GB"/>
        </w:rPr>
        <w:t xml:space="preserve">develops a new portfolio selection model which allocates financial assets by maximizing expected return constrained to the maximum expected loss and VaR limits. He finds the evidence that non-normalities and alternative risk specifications have a great impact on the portfolio selection decision. </w:t>
      </w:r>
      <w:r w:rsidR="00A76009" w:rsidRPr="00B92BDF">
        <w:rPr>
          <w:rFonts w:ascii="Times New Roman" w:eastAsia="Times New Roman" w:hAnsi="Times New Roman" w:cs="Times New Roman"/>
          <w:color w:val="000000" w:themeColor="text1"/>
          <w:sz w:val="24"/>
          <w:szCs w:val="24"/>
          <w:lang w:val="en-GB" w:eastAsia="ru-RU"/>
        </w:rPr>
        <w:t xml:space="preserve">Bodnar and Zabolotsky (2017) construct </w:t>
      </w:r>
      <w:r w:rsidR="00A76009" w:rsidRPr="00B92BDF">
        <w:rPr>
          <w:rFonts w:ascii="Times New Roman" w:hAnsi="Times New Roman" w:cs="Times New Roman"/>
          <w:color w:val="000000" w:themeColor="text1"/>
          <w:sz w:val="24"/>
          <w:szCs w:val="24"/>
          <w:lang w:val="en-GB"/>
        </w:rPr>
        <w:t>an optimal portfolio which minimizes the VaR and, at the same time, coincides with the Sharpe portfolio.</w:t>
      </w:r>
      <w:r w:rsidR="00A76009" w:rsidRPr="00B92BDF">
        <w:rPr>
          <w:rFonts w:ascii="Times New Roman" w:eastAsia="Times New Roman" w:hAnsi="Times New Roman" w:cs="Times New Roman"/>
          <w:color w:val="000000" w:themeColor="text1"/>
          <w:sz w:val="24"/>
          <w:szCs w:val="24"/>
          <w:lang w:val="en-GB" w:eastAsia="ru-RU"/>
        </w:rPr>
        <w:t xml:space="preserve"> They </w:t>
      </w:r>
      <w:r w:rsidR="00A76009" w:rsidRPr="00B92BDF">
        <w:rPr>
          <w:rFonts w:ascii="Times New Roman" w:hAnsi="Times New Roman" w:cs="Times New Roman"/>
          <w:color w:val="000000" w:themeColor="text1"/>
          <w:sz w:val="24"/>
          <w:szCs w:val="24"/>
          <w:lang w:val="en-GB"/>
        </w:rPr>
        <w:t>investigate the properties of the optimal portfolio in the sense of maximizing the Sharpe ratio.</w:t>
      </w:r>
    </w:p>
    <w:p w:rsidR="00A76009" w:rsidRPr="00B92BDF" w:rsidRDefault="00A76009" w:rsidP="00EA5EA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ab/>
        <w:t xml:space="preserve">Despite the criticism from the theoretical point of view, </w:t>
      </w:r>
      <w:r w:rsidRPr="00B92BDF">
        <w:rPr>
          <w:rFonts w:ascii="Times New Roman" w:eastAsia="TTE266F9A0t00" w:hAnsi="Times New Roman" w:cs="Times New Roman"/>
          <w:color w:val="000000" w:themeColor="text1"/>
          <w:sz w:val="24"/>
          <w:szCs w:val="24"/>
          <w:lang w:val="en-GB"/>
        </w:rPr>
        <w:t>the Sharpe ratio is still widely used by practitioners. The Sharpe ratio might be considered superior to other performance measures for the following reasons:</w:t>
      </w:r>
    </w:p>
    <w:p w:rsidR="00A76009" w:rsidRPr="00B92BDF" w:rsidRDefault="00A76009" w:rsidP="00EA5EAB">
      <w:pPr>
        <w:pStyle w:val="ListParagraph"/>
        <w:numPr>
          <w:ilvl w:val="0"/>
          <w:numId w:val="1"/>
        </w:numPr>
        <w:spacing w:after="0" w:line="240" w:lineRule="auto"/>
        <w:ind w:left="0" w:firstLine="426"/>
        <w:jc w:val="both"/>
        <w:rPr>
          <w:rFonts w:ascii="Times New Roman" w:hAnsi="Times New Roman" w:cs="Times New Roman"/>
          <w:color w:val="000000" w:themeColor="text1"/>
          <w:sz w:val="24"/>
          <w:szCs w:val="24"/>
          <w:lang w:val="en-GB"/>
        </w:rPr>
      </w:pPr>
      <w:r w:rsidRPr="00B92BDF">
        <w:rPr>
          <w:rFonts w:ascii="Times New Roman" w:eastAsia="TTE266F9A0t00" w:hAnsi="Times New Roman" w:cs="Times New Roman"/>
          <w:color w:val="000000" w:themeColor="text1"/>
          <w:sz w:val="24"/>
          <w:szCs w:val="24"/>
          <w:lang w:val="en-GB"/>
        </w:rPr>
        <w:t>Modigliani, F. and Modigliani, L. (1997) state that the Sharpe ratio is the best-known performance measure in the investment industry.</w:t>
      </w:r>
    </w:p>
    <w:p w:rsidR="00A76009" w:rsidRPr="00B92BDF" w:rsidRDefault="00A76009" w:rsidP="00EA5EAB">
      <w:pPr>
        <w:pStyle w:val="ListParagraph"/>
        <w:numPr>
          <w:ilvl w:val="0"/>
          <w:numId w:val="1"/>
        </w:numPr>
        <w:spacing w:after="0" w:line="240" w:lineRule="auto"/>
        <w:ind w:left="0" w:firstLine="426"/>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The majority of</w:t>
      </w:r>
      <w:r w:rsidRPr="00B92BDF">
        <w:rPr>
          <w:rFonts w:ascii="Times New Roman" w:eastAsia="TTE266F9A0t00"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 xml:space="preserve">hedge funds, agencies and individual investors </w:t>
      </w:r>
      <w:r w:rsidRPr="00B92BDF">
        <w:rPr>
          <w:rFonts w:ascii="Times New Roman" w:eastAsia="TTE266F9A0t00" w:hAnsi="Times New Roman" w:cs="Times New Roman"/>
          <w:color w:val="000000" w:themeColor="text1"/>
          <w:sz w:val="24"/>
          <w:szCs w:val="24"/>
          <w:lang w:val="en-GB"/>
        </w:rPr>
        <w:t>use the mean-variance approach in analysing the trade-off between risk and return (see, for instance, Leland, 1999; A</w:t>
      </w:r>
      <w:r w:rsidRPr="00B92BDF">
        <w:rPr>
          <w:rFonts w:ascii="Times New Roman" w:hAnsi="Times New Roman" w:cs="Times New Roman"/>
          <w:color w:val="000000" w:themeColor="text1"/>
          <w:sz w:val="24"/>
          <w:szCs w:val="24"/>
          <w:lang w:val="en-GB"/>
        </w:rPr>
        <w:t xml:space="preserve">menc et al., 2003; </w:t>
      </w:r>
      <w:r w:rsidRPr="00B92BDF">
        <w:rPr>
          <w:rFonts w:ascii="Times New Roman" w:eastAsia="TTE266F9A0t00" w:hAnsi="Times New Roman" w:cs="Times New Roman"/>
          <w:color w:val="000000" w:themeColor="text1"/>
          <w:sz w:val="24"/>
          <w:szCs w:val="24"/>
          <w:lang w:val="en-GB"/>
        </w:rPr>
        <w:t>Sharpe, 2007).</w:t>
      </w:r>
    </w:p>
    <w:p w:rsidR="00A76009" w:rsidRPr="00B92BDF" w:rsidRDefault="00A76009" w:rsidP="00EA5EAB">
      <w:pPr>
        <w:pStyle w:val="ListParagraph"/>
        <w:numPr>
          <w:ilvl w:val="0"/>
          <w:numId w:val="1"/>
        </w:numPr>
        <w:spacing w:after="0" w:line="240" w:lineRule="auto"/>
        <w:ind w:left="0" w:firstLine="426"/>
        <w:jc w:val="both"/>
        <w:rPr>
          <w:rFonts w:ascii="Times New Roman" w:hAnsi="Times New Roman" w:cs="Times New Roman"/>
          <w:color w:val="000000" w:themeColor="text1"/>
          <w:sz w:val="24"/>
          <w:szCs w:val="24"/>
          <w:lang w:val="en-GB"/>
        </w:rPr>
      </w:pPr>
      <w:r w:rsidRPr="00B92BDF">
        <w:rPr>
          <w:rFonts w:ascii="Times New Roman" w:eastAsia="TTE266F9A0t00" w:hAnsi="Times New Roman" w:cs="Times New Roman"/>
          <w:color w:val="000000" w:themeColor="text1"/>
          <w:sz w:val="24"/>
          <w:szCs w:val="24"/>
          <w:lang w:val="en-GB"/>
        </w:rPr>
        <w:t>The Sharpe ratio is also reported by financial information providers, such as Morningstar and Yahoo Finance.</w:t>
      </w:r>
    </w:p>
    <w:p w:rsidR="00A76009" w:rsidRPr="00B92BDF" w:rsidRDefault="00A76009" w:rsidP="00EA5EAB">
      <w:pPr>
        <w:pStyle w:val="ListParagraph"/>
        <w:numPr>
          <w:ilvl w:val="0"/>
          <w:numId w:val="1"/>
        </w:numPr>
        <w:autoSpaceDE w:val="0"/>
        <w:autoSpaceDN w:val="0"/>
        <w:adjustRightInd w:val="0"/>
        <w:spacing w:after="0" w:line="240" w:lineRule="auto"/>
        <w:ind w:left="0" w:firstLine="426"/>
        <w:jc w:val="both"/>
        <w:rPr>
          <w:rFonts w:ascii="Times New Roman" w:eastAsia="TTE266F9A0t00" w:hAnsi="Times New Roman" w:cs="Times New Roman"/>
          <w:color w:val="000000" w:themeColor="text1"/>
          <w:sz w:val="24"/>
          <w:szCs w:val="24"/>
          <w:lang w:val="en-GB"/>
        </w:rPr>
      </w:pPr>
      <w:r w:rsidRPr="00B92BDF">
        <w:rPr>
          <w:rFonts w:ascii="Times New Roman" w:eastAsia="TTE266F9A0t00" w:hAnsi="Times New Roman" w:cs="Times New Roman"/>
          <w:color w:val="000000" w:themeColor="text1"/>
          <w:sz w:val="24"/>
          <w:szCs w:val="24"/>
          <w:lang w:val="en-GB"/>
        </w:rPr>
        <w:t>It provides a convenient summary of risk and return of any investment strategy (Sharpe, 1994) and is probably the best unde</w:t>
      </w:r>
      <w:r w:rsidR="00C422F3" w:rsidRPr="00B92BDF">
        <w:rPr>
          <w:rFonts w:ascii="Times New Roman" w:eastAsia="TTE266F9A0t00" w:hAnsi="Times New Roman" w:cs="Times New Roman"/>
          <w:color w:val="000000" w:themeColor="text1"/>
          <w:sz w:val="24"/>
          <w:szCs w:val="24"/>
          <w:lang w:val="en-GB"/>
        </w:rPr>
        <w:t>rstood performance measure</w:t>
      </w:r>
      <w:r w:rsidRPr="00B92BDF">
        <w:rPr>
          <w:rFonts w:ascii="Times New Roman" w:eastAsia="TTE266F9A0t00" w:hAnsi="Times New Roman" w:cs="Times New Roman"/>
          <w:color w:val="000000" w:themeColor="text1"/>
          <w:sz w:val="24"/>
          <w:szCs w:val="24"/>
          <w:lang w:val="en-GB"/>
        </w:rPr>
        <w:t xml:space="preserve"> because it is  simple to calculate compared to other more complex performance metrics and  easily communicated even to non-professionals (Lo, 2002).</w:t>
      </w:r>
    </w:p>
    <w:p w:rsidR="00A76009" w:rsidRPr="00B92BDF" w:rsidRDefault="00A76009" w:rsidP="00EA5EAB">
      <w:pPr>
        <w:pStyle w:val="ListParagraph"/>
        <w:numPr>
          <w:ilvl w:val="0"/>
          <w:numId w:val="1"/>
        </w:numPr>
        <w:autoSpaceDE w:val="0"/>
        <w:autoSpaceDN w:val="0"/>
        <w:adjustRightInd w:val="0"/>
        <w:spacing w:after="0" w:line="240" w:lineRule="auto"/>
        <w:ind w:left="0" w:firstLine="426"/>
        <w:jc w:val="both"/>
        <w:rPr>
          <w:rFonts w:ascii="Times New Roman" w:eastAsia="TTE266F9A0t00" w:hAnsi="Times New Roman" w:cs="Times New Roman"/>
          <w:color w:val="000000" w:themeColor="text1"/>
          <w:sz w:val="24"/>
          <w:szCs w:val="24"/>
          <w:lang w:val="en-GB"/>
        </w:rPr>
      </w:pPr>
      <w:r w:rsidRPr="00B92BDF">
        <w:rPr>
          <w:rFonts w:ascii="Times New Roman" w:eastAsia="TTE266F9A0t00" w:hAnsi="Times New Roman" w:cs="Times New Roman"/>
          <w:color w:val="000000" w:themeColor="text1"/>
          <w:sz w:val="24"/>
          <w:szCs w:val="24"/>
          <w:lang w:val="en-GB"/>
        </w:rPr>
        <w:t>A wide range of statistical tests is available for the Sharpe ratio, which is not the case for the other performance measures (Memmel, 2003). Moreover, the Sharpe ratio has been the subject of much research and, thus, its strengths and weaknesses are well known in theory and practice.</w:t>
      </w:r>
    </w:p>
    <w:p w:rsidR="006E4FF3" w:rsidRPr="00B92BDF" w:rsidRDefault="006E4FF3" w:rsidP="00EA5EAB">
      <w:pPr>
        <w:spacing w:after="0" w:line="240" w:lineRule="auto"/>
        <w:ind w:firstLine="709"/>
        <w:jc w:val="both"/>
        <w:rPr>
          <w:rFonts w:ascii="Times New Roman" w:hAnsi="Times New Roman" w:cs="Times New Roman"/>
          <w:color w:val="000000" w:themeColor="text1"/>
          <w:sz w:val="24"/>
          <w:szCs w:val="24"/>
          <w:lang w:val="en-GB"/>
        </w:rPr>
      </w:pPr>
    </w:p>
    <w:p w:rsidR="006E4FF3" w:rsidRPr="00B92BDF" w:rsidRDefault="006E4FF3" w:rsidP="006E4FF3">
      <w:pPr>
        <w:tabs>
          <w:tab w:val="left" w:pos="284"/>
        </w:tabs>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lastRenderedPageBreak/>
        <w:t xml:space="preserve">We used wide range of measures and ratios </w:t>
      </w:r>
      <w:r w:rsidRPr="00B92BDF">
        <w:rPr>
          <w:rFonts w:ascii="Times New Roman" w:hAnsi="Times New Roman" w:cs="Times New Roman"/>
          <w:strike/>
          <w:color w:val="000000" w:themeColor="text1"/>
          <w:sz w:val="24"/>
          <w:szCs w:val="24"/>
          <w:lang w:val="en-GB"/>
        </w:rPr>
        <w:t>used</w:t>
      </w:r>
      <w:r w:rsidRPr="00B92BDF">
        <w:rPr>
          <w:rFonts w:ascii="Times New Roman" w:hAnsi="Times New Roman" w:cs="Times New Roman"/>
          <w:color w:val="000000" w:themeColor="text1"/>
          <w:sz w:val="24"/>
          <w:szCs w:val="24"/>
          <w:lang w:val="en-GB"/>
        </w:rPr>
        <w:t xml:space="preserve"> to evaluate the performance of individual financial assets or a portfolio; the majority of them belong to the risk-return approach. This research is aimed to analyse the risks and returns on the EMU (European Monetary Union) bonds market issued by the European Central Bank during the period 2005-2017. The aim is to define and explain current tendencies in bond returns, to make recommendations about investing in EMU bonds, to identify past trends and patterns on bond returns, and to determine the best model describing stochastic processes in returns. One of the new challenges is the monetary policy unification and creation of the EMU that is currently the basis for huge discussion among economists (</w:t>
      </w:r>
      <w:proofErr w:type="spellStart"/>
      <w:r w:rsidRPr="00B92BDF">
        <w:rPr>
          <w:rFonts w:ascii="Times New Roman" w:hAnsi="Times New Roman" w:cs="Times New Roman"/>
          <w:color w:val="000000" w:themeColor="text1"/>
          <w:sz w:val="24"/>
          <w:szCs w:val="24"/>
          <w:lang w:val="en-GB"/>
        </w:rPr>
        <w:t>Grubisic</w:t>
      </w:r>
      <w:proofErr w:type="spellEnd"/>
      <w:r w:rsidRPr="00B92BDF">
        <w:rPr>
          <w:rFonts w:ascii="Times New Roman" w:hAnsi="Times New Roman" w:cs="Times New Roman"/>
          <w:color w:val="000000" w:themeColor="text1"/>
          <w:sz w:val="24"/>
          <w:szCs w:val="24"/>
          <w:lang w:val="en-GB"/>
        </w:rPr>
        <w:t xml:space="preserve"> et al., 2011). For these reasons, the empirical analysis of the euro-area financial markets could reveal new tendencies and patterns in European government securities and bring some interesting results.</w:t>
      </w:r>
    </w:p>
    <w:p w:rsidR="006E4FF3" w:rsidRPr="00B92BDF" w:rsidRDefault="006E4FF3" w:rsidP="006E4FF3">
      <w:pPr>
        <w:tabs>
          <w:tab w:val="left" w:pos="284"/>
        </w:tabs>
        <w:spacing w:after="0" w:line="240" w:lineRule="auto"/>
        <w:ind w:firstLine="708"/>
        <w:jc w:val="both"/>
        <w:rPr>
          <w:rFonts w:ascii="Times New Roman" w:eastAsia="Times New Roman" w:hAnsi="Times New Roman" w:cs="Times New Roman"/>
          <w:color w:val="000000" w:themeColor="text1"/>
          <w:sz w:val="24"/>
          <w:szCs w:val="24"/>
          <w:lang w:val="en-GB" w:eastAsia="ru-RU"/>
        </w:rPr>
      </w:pPr>
      <w:r w:rsidRPr="00B92BDF">
        <w:rPr>
          <w:rFonts w:ascii="Times New Roman" w:hAnsi="Times New Roman" w:cs="Times New Roman"/>
          <w:color w:val="000000" w:themeColor="text1"/>
          <w:sz w:val="24"/>
          <w:szCs w:val="24"/>
          <w:lang w:val="en-GB"/>
        </w:rPr>
        <w:t>In line with the main research aim, the following subsidiary objectives are set: (</w:t>
      </w:r>
      <w:proofErr w:type="spellStart"/>
      <w:r w:rsidRPr="00B92BDF">
        <w:rPr>
          <w:rFonts w:ascii="Times New Roman" w:hAnsi="Times New Roman" w:cs="Times New Roman"/>
          <w:color w:val="000000" w:themeColor="text1"/>
          <w:sz w:val="24"/>
          <w:szCs w:val="24"/>
          <w:lang w:val="en-GB"/>
        </w:rPr>
        <w:t>i</w:t>
      </w:r>
      <w:proofErr w:type="spellEnd"/>
      <w:r w:rsidRPr="00B92BDF">
        <w:rPr>
          <w:rFonts w:ascii="Times New Roman" w:hAnsi="Times New Roman" w:cs="Times New Roman"/>
          <w:color w:val="000000" w:themeColor="text1"/>
          <w:sz w:val="24"/>
          <w:szCs w:val="24"/>
          <w:lang w:val="en-GB"/>
        </w:rPr>
        <w:t xml:space="preserve">) to compute the summary statistics of bond returns, (ii) to analyse graphically the dynamics of </w:t>
      </w:r>
      <w:r w:rsidRPr="00B92BDF">
        <w:rPr>
          <w:rFonts w:ascii="Times New Roman" w:eastAsia="Times New Roman" w:hAnsi="Times New Roman" w:cs="Times New Roman"/>
          <w:color w:val="000000" w:themeColor="text1"/>
          <w:sz w:val="24"/>
          <w:szCs w:val="24"/>
          <w:lang w:val="en-GB" w:eastAsia="ru-RU"/>
        </w:rPr>
        <w:t>bond yields and their volatility, (iii) to conduct the correlation analysis, (iv) to calculate the Sharpe ratios for the bonds with different maturities and rank the investment opportunities, (v) to compare the performance of the EMU bonds with different credit ratings, (vi) to estimate the time trend in bond returns.</w:t>
      </w:r>
    </w:p>
    <w:p w:rsidR="006E4FF3" w:rsidRPr="00B92BDF" w:rsidRDefault="006E4FF3" w:rsidP="006E4FF3">
      <w:pPr>
        <w:tabs>
          <w:tab w:val="left" w:pos="284"/>
        </w:tabs>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Within the framework of this research, we implemented the statistic, correlation and econometric analysis to test several hypotheses about normality of the return distributions and the relations between volatility, term-to-maturity and the Sharpe ratio of the EMU bonds. The dataset contains the monthly statistics on bond yields (the bond maturity varies from three months to 30 years). The whole sample contains 3432 observations. The research findings are important to analyze and demonstrate the risks and return opportunities on the money and bond market of European Monetary Union.</w:t>
      </w:r>
    </w:p>
    <w:p w:rsidR="00434652" w:rsidRPr="00B92BDF" w:rsidRDefault="00A76009" w:rsidP="006E4FF3">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This research relies heavily on previous studies that confirm the relevance of the Sharpe ratio use and argue that the simplicity and the exemplariness of the Sharpe ratio are more valuable than the possible measurement errors while estimating the asset performance. Additionally, since EMU bonds are the subject of the analysis, the Sharpe ratio is considered as the appropriate measure for the risk-return trade-off because bonds seem to be the least volatile financial asse</w:t>
      </w:r>
      <w:r w:rsidR="00451C33" w:rsidRPr="00B92BDF">
        <w:rPr>
          <w:rFonts w:ascii="Times New Roman" w:hAnsi="Times New Roman" w:cs="Times New Roman"/>
          <w:color w:val="000000" w:themeColor="text1"/>
          <w:sz w:val="24"/>
          <w:szCs w:val="24"/>
          <w:lang w:val="en-GB"/>
        </w:rPr>
        <w:t>t and tend to generate returns w</w:t>
      </w:r>
      <w:r w:rsidRPr="00B92BDF">
        <w:rPr>
          <w:rFonts w:ascii="Times New Roman" w:hAnsi="Times New Roman" w:cs="Times New Roman"/>
          <w:color w:val="000000" w:themeColor="text1"/>
          <w:sz w:val="24"/>
          <w:szCs w:val="24"/>
          <w:lang w:val="en-GB"/>
        </w:rPr>
        <w:t xml:space="preserve">hose distribution is </w:t>
      </w:r>
      <w:proofErr w:type="gramStart"/>
      <w:r w:rsidR="00BD5D5F" w:rsidRPr="00B92BDF">
        <w:rPr>
          <w:rFonts w:ascii="Times New Roman" w:hAnsi="Times New Roman" w:cs="Times New Roman"/>
          <w:strike/>
          <w:color w:val="000000" w:themeColor="text1"/>
          <w:sz w:val="24"/>
          <w:szCs w:val="24"/>
          <w:lang w:val="en-GB"/>
        </w:rPr>
        <w:t xml:space="preserve">more </w:t>
      </w:r>
      <w:r w:rsidRPr="00B92BDF">
        <w:rPr>
          <w:rFonts w:ascii="Times New Roman" w:hAnsi="Times New Roman" w:cs="Times New Roman"/>
          <w:strike/>
          <w:color w:val="000000" w:themeColor="text1"/>
          <w:sz w:val="24"/>
          <w:szCs w:val="24"/>
          <w:lang w:val="en-GB"/>
        </w:rPr>
        <w:t>closer</w:t>
      </w:r>
      <w:proofErr w:type="gramEnd"/>
      <w:r w:rsidR="00872694" w:rsidRPr="00B92BDF">
        <w:rPr>
          <w:rFonts w:ascii="Times New Roman" w:hAnsi="Times New Roman" w:cs="Times New Roman"/>
          <w:color w:val="000000" w:themeColor="text1"/>
          <w:sz w:val="24"/>
          <w:szCs w:val="24"/>
          <w:lang w:val="en-GB"/>
        </w:rPr>
        <w:t xml:space="preserve"> </w:t>
      </w:r>
      <w:proofErr w:type="spellStart"/>
      <w:r w:rsidR="00872694" w:rsidRPr="00B92BDF">
        <w:rPr>
          <w:rFonts w:ascii="Times New Roman" w:hAnsi="Times New Roman" w:cs="Times New Roman"/>
          <w:color w:val="000000" w:themeColor="text1"/>
          <w:sz w:val="24"/>
          <w:szCs w:val="24"/>
          <w:lang w:val="en-GB"/>
        </w:rPr>
        <w:t>closer</w:t>
      </w:r>
      <w:proofErr w:type="spellEnd"/>
      <w:r w:rsidRPr="00B92BDF">
        <w:rPr>
          <w:rFonts w:ascii="Times New Roman" w:hAnsi="Times New Roman" w:cs="Times New Roman"/>
          <w:color w:val="000000" w:themeColor="text1"/>
          <w:sz w:val="24"/>
          <w:szCs w:val="24"/>
          <w:lang w:val="en-GB"/>
        </w:rPr>
        <w:t xml:space="preserve"> to the normal distribution.</w:t>
      </w:r>
    </w:p>
    <w:p w:rsidR="009A3454" w:rsidRPr="00B92BDF" w:rsidRDefault="009A3454" w:rsidP="00EA5EAB">
      <w:pPr>
        <w:pStyle w:val="Default"/>
        <w:jc w:val="both"/>
        <w:rPr>
          <w:b/>
          <w:bCs/>
          <w:iCs/>
          <w:color w:val="000000" w:themeColor="text1"/>
        </w:rPr>
      </w:pPr>
    </w:p>
    <w:p w:rsidR="00FC4908" w:rsidRPr="00B92BDF" w:rsidRDefault="009A3454" w:rsidP="00EA5EAB">
      <w:pPr>
        <w:pStyle w:val="Default"/>
        <w:jc w:val="both"/>
        <w:rPr>
          <w:b/>
          <w:bCs/>
          <w:iCs/>
          <w:color w:val="000000" w:themeColor="text1"/>
        </w:rPr>
      </w:pPr>
      <w:r w:rsidRPr="00B92BDF">
        <w:rPr>
          <w:b/>
          <w:bCs/>
          <w:iCs/>
          <w:color w:val="000000" w:themeColor="text1"/>
        </w:rPr>
        <w:t xml:space="preserve">2. </w:t>
      </w:r>
      <w:r w:rsidR="00FC4908" w:rsidRPr="00B92BDF">
        <w:rPr>
          <w:b/>
          <w:bCs/>
          <w:iCs/>
          <w:color w:val="000000" w:themeColor="text1"/>
        </w:rPr>
        <w:t>Material and methods</w:t>
      </w:r>
    </w:p>
    <w:p w:rsidR="009A3454" w:rsidRPr="00B92BDF" w:rsidRDefault="009A3454" w:rsidP="00EA5EAB">
      <w:pPr>
        <w:pStyle w:val="Default"/>
        <w:ind w:firstLine="708"/>
        <w:jc w:val="both"/>
        <w:rPr>
          <w:b/>
          <w:bCs/>
          <w:iCs/>
          <w:color w:val="000000" w:themeColor="text1"/>
        </w:rPr>
      </w:pPr>
    </w:p>
    <w:p w:rsidR="00A76009" w:rsidRPr="00B92BDF" w:rsidRDefault="00A76009" w:rsidP="00EA5EAB">
      <w:pPr>
        <w:pStyle w:val="Default"/>
        <w:ind w:firstLine="708"/>
        <w:jc w:val="both"/>
        <w:rPr>
          <w:color w:val="000000" w:themeColor="text1"/>
          <w:lang w:val="en-GB"/>
        </w:rPr>
      </w:pPr>
      <w:r w:rsidRPr="00B92BDF">
        <w:rPr>
          <w:color w:val="000000" w:themeColor="text1"/>
          <w:lang w:val="en-GB"/>
        </w:rPr>
        <w:t xml:space="preserve">In this </w:t>
      </w:r>
      <w:r w:rsidR="00FB554F" w:rsidRPr="00B92BDF">
        <w:rPr>
          <w:color w:val="000000" w:themeColor="text1"/>
          <w:lang w:val="en-GB"/>
        </w:rPr>
        <w:t>research,</w:t>
      </w:r>
      <w:r w:rsidRPr="00B92BDF">
        <w:rPr>
          <w:color w:val="000000" w:themeColor="text1"/>
          <w:lang w:val="en-GB"/>
        </w:rPr>
        <w:t xml:space="preserve"> </w:t>
      </w:r>
      <w:r w:rsidR="00FB554F" w:rsidRPr="00B92BDF">
        <w:rPr>
          <w:color w:val="000000" w:themeColor="text1"/>
          <w:lang w:val="en-GB"/>
        </w:rPr>
        <w:t xml:space="preserve">we analysed </w:t>
      </w:r>
      <w:r w:rsidRPr="00B92BDF">
        <w:rPr>
          <w:color w:val="000000" w:themeColor="text1"/>
          <w:lang w:val="en-GB"/>
        </w:rPr>
        <w:t>the risks and returns on the EMU bonds issued by the Central Bank</w:t>
      </w:r>
      <w:r w:rsidR="006E4FF3" w:rsidRPr="00B92BDF">
        <w:rPr>
          <w:color w:val="000000" w:themeColor="text1"/>
          <w:lang w:val="en-GB"/>
        </w:rPr>
        <w:t xml:space="preserve"> of Europe Union</w:t>
      </w:r>
      <w:r w:rsidRPr="00B92BDF">
        <w:rPr>
          <w:color w:val="000000" w:themeColor="text1"/>
          <w:lang w:val="en-GB"/>
        </w:rPr>
        <w:t xml:space="preserve"> </w:t>
      </w:r>
      <w:r w:rsidR="00455599" w:rsidRPr="00B92BDF">
        <w:rPr>
          <w:color w:val="000000" w:themeColor="text1"/>
          <w:lang w:val="en-GB"/>
        </w:rPr>
        <w:t>(ECB)</w:t>
      </w:r>
      <w:r w:rsidRPr="00B92BDF">
        <w:rPr>
          <w:color w:val="000000" w:themeColor="text1"/>
          <w:lang w:val="en-GB"/>
        </w:rPr>
        <w:t xml:space="preserve">. </w:t>
      </w:r>
      <w:r w:rsidR="00FB554F" w:rsidRPr="00B92BDF">
        <w:rPr>
          <w:color w:val="000000" w:themeColor="text1"/>
          <w:lang w:val="en-GB"/>
        </w:rPr>
        <w:t xml:space="preserve">We formulated </w:t>
      </w:r>
      <w:r w:rsidRPr="00B92BDF">
        <w:rPr>
          <w:color w:val="000000" w:themeColor="text1"/>
          <w:lang w:val="en-GB"/>
        </w:rPr>
        <w:t xml:space="preserve">the following hypotheses </w:t>
      </w:r>
      <w:r w:rsidR="00FB554F" w:rsidRPr="00B92BDF">
        <w:rPr>
          <w:color w:val="000000" w:themeColor="text1"/>
          <w:lang w:val="en-GB"/>
        </w:rPr>
        <w:t>within the framework of this research</w:t>
      </w:r>
      <w:r w:rsidRPr="00B92BDF">
        <w:rPr>
          <w:color w:val="000000" w:themeColor="text1"/>
          <w:lang w:val="en-GB"/>
        </w:rPr>
        <w:t>:</w:t>
      </w:r>
    </w:p>
    <w:p w:rsidR="00A76009" w:rsidRPr="00B92BDF" w:rsidRDefault="00114C0D" w:rsidP="00EA5EAB">
      <w:pPr>
        <w:spacing w:after="0" w:line="240" w:lineRule="auto"/>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H1: </w:t>
      </w:r>
      <w:r w:rsidR="00A76009" w:rsidRPr="00B92BDF">
        <w:rPr>
          <w:rFonts w:ascii="Times New Roman" w:hAnsi="Times New Roman" w:cs="Times New Roman"/>
          <w:color w:val="000000" w:themeColor="text1"/>
          <w:sz w:val="24"/>
          <w:szCs w:val="24"/>
          <w:lang w:val="en-GB"/>
        </w:rPr>
        <w:t>The returns on EMU bonds are normally distributed.</w:t>
      </w:r>
    </w:p>
    <w:p w:rsidR="00A76009" w:rsidRPr="00B92BDF" w:rsidRDefault="00114C0D" w:rsidP="00EA5EAB">
      <w:pPr>
        <w:spacing w:after="0" w:line="240" w:lineRule="auto"/>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H2: </w:t>
      </w:r>
      <w:r w:rsidR="00A76009" w:rsidRPr="00B92BDF">
        <w:rPr>
          <w:rFonts w:ascii="Times New Roman" w:hAnsi="Times New Roman" w:cs="Times New Roman"/>
          <w:color w:val="000000" w:themeColor="text1"/>
          <w:sz w:val="24"/>
          <w:szCs w:val="24"/>
          <w:lang w:val="en-GB"/>
        </w:rPr>
        <w:t>The volatility of EMU bonds increase with maturity.</w:t>
      </w:r>
    </w:p>
    <w:p w:rsidR="00A76009" w:rsidRPr="00B92BDF" w:rsidRDefault="00114C0D" w:rsidP="00EA5EAB">
      <w:pPr>
        <w:spacing w:after="0" w:line="240" w:lineRule="auto"/>
        <w:jc w:val="both"/>
        <w:rPr>
          <w:color w:val="000000" w:themeColor="text1"/>
        </w:rPr>
      </w:pPr>
      <w:r w:rsidRPr="00B92BDF">
        <w:rPr>
          <w:rFonts w:ascii="Times New Roman" w:hAnsi="Times New Roman" w:cs="Times New Roman"/>
          <w:color w:val="000000" w:themeColor="text1"/>
          <w:sz w:val="24"/>
          <w:szCs w:val="24"/>
          <w:lang w:val="en-GB"/>
        </w:rPr>
        <w:t xml:space="preserve">H3: </w:t>
      </w:r>
      <w:r w:rsidR="00A76009" w:rsidRPr="00B92BDF">
        <w:rPr>
          <w:rFonts w:ascii="Times New Roman" w:hAnsi="Times New Roman" w:cs="Times New Roman"/>
          <w:color w:val="000000" w:themeColor="text1"/>
          <w:sz w:val="24"/>
          <w:szCs w:val="24"/>
          <w:lang w:val="en-GB"/>
        </w:rPr>
        <w:t>The Sharpe ratio for bonds is not consistent over time.</w:t>
      </w:r>
    </w:p>
    <w:p w:rsidR="00A76009" w:rsidRPr="00B92BDF" w:rsidRDefault="00114C0D" w:rsidP="00EA5EAB">
      <w:pPr>
        <w:spacing w:after="0" w:line="240" w:lineRule="auto"/>
        <w:jc w:val="both"/>
        <w:rPr>
          <w:rFonts w:ascii="Times New Roman" w:hAnsi="Times New Roman" w:cs="Times New Roman"/>
          <w:color w:val="000000" w:themeColor="text1"/>
          <w:sz w:val="24"/>
          <w:szCs w:val="24"/>
          <w:lang w:val="en-GB"/>
        </w:rPr>
      </w:pPr>
      <w:r w:rsidRPr="00B92BDF">
        <w:rPr>
          <w:rFonts w:ascii="Times New Roman" w:eastAsia="CMR12" w:hAnsi="Times New Roman" w:cs="Times New Roman"/>
          <w:color w:val="000000" w:themeColor="text1"/>
          <w:sz w:val="24"/>
          <w:szCs w:val="24"/>
        </w:rPr>
        <w:t xml:space="preserve">H4: </w:t>
      </w:r>
      <w:r w:rsidR="00FB554F" w:rsidRPr="00B92BDF">
        <w:rPr>
          <w:rFonts w:ascii="Times New Roman" w:eastAsia="CMR12" w:hAnsi="Times New Roman" w:cs="Times New Roman"/>
          <w:color w:val="000000" w:themeColor="text1"/>
          <w:sz w:val="24"/>
          <w:szCs w:val="24"/>
          <w:lang w:val="en-GB"/>
        </w:rPr>
        <w:t>Between the Sharpe ratio and bonds’ maturity exist an inverse relation.</w:t>
      </w:r>
    </w:p>
    <w:p w:rsidR="00A76009" w:rsidRPr="00B92BDF" w:rsidRDefault="00114C0D" w:rsidP="00EA5EAB">
      <w:pPr>
        <w:spacing w:after="0" w:line="240" w:lineRule="auto"/>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H5: </w:t>
      </w:r>
      <w:r w:rsidR="00A76009" w:rsidRPr="00B92BDF">
        <w:rPr>
          <w:rFonts w:ascii="Times New Roman" w:hAnsi="Times New Roman" w:cs="Times New Roman"/>
          <w:color w:val="000000" w:themeColor="text1"/>
          <w:sz w:val="24"/>
          <w:szCs w:val="24"/>
          <w:lang w:val="en-GB"/>
        </w:rPr>
        <w:t xml:space="preserve">The returns on EMU bonds of all maturity tend to decline over time. </w:t>
      </w:r>
    </w:p>
    <w:p w:rsidR="00A76009" w:rsidRPr="00B92BDF" w:rsidRDefault="00371914" w:rsidP="00EA5EAB">
      <w:pPr>
        <w:spacing w:after="0" w:line="240" w:lineRule="auto"/>
        <w:ind w:firstLine="709"/>
        <w:jc w:val="both"/>
        <w:rPr>
          <w:rStyle w:val="comment-copy"/>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T</w:t>
      </w:r>
      <w:r w:rsidR="00FB554F" w:rsidRPr="00B92BDF">
        <w:rPr>
          <w:rFonts w:ascii="Times New Roman" w:hAnsi="Times New Roman" w:cs="Times New Roman"/>
          <w:color w:val="000000" w:themeColor="text1"/>
          <w:sz w:val="24"/>
          <w:szCs w:val="24"/>
          <w:lang w:val="en-GB"/>
        </w:rPr>
        <w:t xml:space="preserve">he </w:t>
      </w:r>
      <w:proofErr w:type="spellStart"/>
      <w:r w:rsidR="00FB554F" w:rsidRPr="00B92BDF">
        <w:rPr>
          <w:rFonts w:ascii="Times New Roman" w:hAnsi="Times New Roman" w:cs="Times New Roman"/>
          <w:color w:val="000000" w:themeColor="text1"/>
          <w:sz w:val="24"/>
          <w:szCs w:val="24"/>
          <w:bdr w:val="none" w:sz="0" w:space="0" w:color="auto" w:frame="1"/>
          <w:lang w:val="en-GB" w:eastAsia="ru-RU"/>
        </w:rPr>
        <w:t>Jarque-Bera</w:t>
      </w:r>
      <w:proofErr w:type="spellEnd"/>
      <w:r w:rsidR="00FB554F" w:rsidRPr="00B92BDF">
        <w:rPr>
          <w:rFonts w:ascii="Times New Roman" w:hAnsi="Times New Roman" w:cs="Times New Roman"/>
          <w:color w:val="000000" w:themeColor="text1"/>
          <w:sz w:val="24"/>
          <w:szCs w:val="24"/>
          <w:bdr w:val="none" w:sz="0" w:space="0" w:color="auto" w:frame="1"/>
          <w:lang w:val="en-GB" w:eastAsia="ru-RU"/>
        </w:rPr>
        <w:t xml:space="preserve"> test is applied</w:t>
      </w:r>
      <w:r w:rsidRPr="00B92BDF">
        <w:rPr>
          <w:rFonts w:ascii="Times New Roman" w:hAnsi="Times New Roman" w:cs="Times New Roman"/>
          <w:color w:val="000000" w:themeColor="text1"/>
          <w:sz w:val="24"/>
          <w:szCs w:val="24"/>
          <w:bdr w:val="none" w:sz="0" w:space="0" w:color="auto" w:frame="1"/>
          <w:lang w:val="en-GB" w:eastAsia="ru-RU"/>
        </w:rPr>
        <w:t xml:space="preserve"> </w:t>
      </w:r>
      <w:r w:rsidRPr="00B92BDF">
        <w:rPr>
          <w:rFonts w:ascii="Times New Roman" w:hAnsi="Times New Roman" w:cs="Times New Roman"/>
          <w:color w:val="000000" w:themeColor="text1"/>
          <w:sz w:val="24"/>
          <w:szCs w:val="24"/>
          <w:lang w:val="en-GB"/>
        </w:rPr>
        <w:t xml:space="preserve">in order to test the return distribution for normality. </w:t>
      </w:r>
      <w:r w:rsidR="00A76009" w:rsidRPr="00B92BDF">
        <w:rPr>
          <w:rStyle w:val="comment-copy"/>
          <w:rFonts w:ascii="Times New Roman" w:hAnsi="Times New Roman" w:cs="Times New Roman"/>
          <w:color w:val="000000" w:themeColor="text1"/>
          <w:sz w:val="24"/>
          <w:szCs w:val="24"/>
          <w:lang w:val="en-GB"/>
        </w:rPr>
        <w:t>The null hypothesis of the Jarque-Bera test is a joint hypothesis of the skewness being zero and the excess kurtosis being zero (</w:t>
      </w:r>
      <w:proofErr w:type="spellStart"/>
      <w:r w:rsidR="00A76009" w:rsidRPr="00B92BDF">
        <w:rPr>
          <w:rStyle w:val="comment-copy"/>
          <w:rFonts w:ascii="Times New Roman" w:hAnsi="Times New Roman" w:cs="Times New Roman"/>
          <w:color w:val="000000" w:themeColor="text1"/>
          <w:sz w:val="24"/>
          <w:szCs w:val="24"/>
          <w:lang w:val="en-GB"/>
        </w:rPr>
        <w:t>Jarque</w:t>
      </w:r>
      <w:proofErr w:type="spellEnd"/>
      <w:r w:rsidR="00A76009" w:rsidRPr="00B92BDF">
        <w:rPr>
          <w:rStyle w:val="comment-copy"/>
          <w:rFonts w:ascii="Times New Roman" w:hAnsi="Times New Roman" w:cs="Times New Roman"/>
          <w:color w:val="000000" w:themeColor="text1"/>
          <w:sz w:val="24"/>
          <w:szCs w:val="24"/>
        </w:rPr>
        <w:t xml:space="preserve"> </w:t>
      </w:r>
      <w:r w:rsidR="00F06614" w:rsidRPr="00B92BDF">
        <w:rPr>
          <w:rStyle w:val="comment-copy"/>
          <w:rFonts w:ascii="Times New Roman" w:hAnsi="Times New Roman" w:cs="Times New Roman"/>
          <w:color w:val="000000" w:themeColor="text1"/>
          <w:sz w:val="24"/>
          <w:szCs w:val="24"/>
          <w:lang w:val="en-GB"/>
        </w:rPr>
        <w:t>and</w:t>
      </w:r>
      <w:r w:rsidR="00A76009" w:rsidRPr="00B92BDF">
        <w:rPr>
          <w:rStyle w:val="comment-copy"/>
          <w:rFonts w:ascii="Times New Roman" w:hAnsi="Times New Roman" w:cs="Times New Roman"/>
          <w:color w:val="000000" w:themeColor="text1"/>
          <w:sz w:val="24"/>
          <w:szCs w:val="24"/>
        </w:rPr>
        <w:t xml:space="preserve"> </w:t>
      </w:r>
      <w:proofErr w:type="spellStart"/>
      <w:r w:rsidR="00A76009" w:rsidRPr="00B92BDF">
        <w:rPr>
          <w:rStyle w:val="comment-copy"/>
          <w:rFonts w:ascii="Times New Roman" w:hAnsi="Times New Roman" w:cs="Times New Roman"/>
          <w:color w:val="000000" w:themeColor="text1"/>
          <w:sz w:val="24"/>
          <w:szCs w:val="24"/>
          <w:lang w:val="en-GB"/>
        </w:rPr>
        <w:t>Bera</w:t>
      </w:r>
      <w:proofErr w:type="spellEnd"/>
      <w:r w:rsidR="00A76009" w:rsidRPr="00B92BDF">
        <w:rPr>
          <w:rStyle w:val="comment-copy"/>
          <w:rFonts w:ascii="Times New Roman" w:hAnsi="Times New Roman" w:cs="Times New Roman"/>
          <w:color w:val="000000" w:themeColor="text1"/>
          <w:sz w:val="24"/>
          <w:szCs w:val="24"/>
          <w:lang w:val="en-GB"/>
        </w:rPr>
        <w:t>, 1987). While not rejecting the null, one may conclude the financial series has a normal distribution with skewness and excess kurtosis equal zero.</w:t>
      </w:r>
    </w:p>
    <w:p w:rsidR="00A76009" w:rsidRPr="00B92BDF" w:rsidRDefault="00A76009" w:rsidP="00EA5EAB">
      <w:pPr>
        <w:spacing w:after="0" w:line="240" w:lineRule="auto"/>
        <w:ind w:firstLine="709"/>
        <w:jc w:val="both"/>
        <w:rPr>
          <w:rStyle w:val="comment-copy"/>
          <w:rFonts w:ascii="Times New Roman" w:hAnsi="Times New Roman" w:cs="Times New Roman"/>
          <w:color w:val="000000" w:themeColor="text1"/>
          <w:sz w:val="24"/>
          <w:szCs w:val="24"/>
          <w:lang w:val="en-GB"/>
        </w:rPr>
      </w:pPr>
      <w:r w:rsidRPr="00B92BDF">
        <w:rPr>
          <w:rStyle w:val="comment-copy"/>
          <w:rFonts w:ascii="Times New Roman" w:hAnsi="Times New Roman" w:cs="Times New Roman"/>
          <w:color w:val="000000" w:themeColor="text1"/>
          <w:sz w:val="24"/>
          <w:szCs w:val="24"/>
          <w:lang w:val="en-GB"/>
        </w:rPr>
        <w:t>In the econometric analysis it is necessary first to identify the global trend in bond returns following the common regression equation (1):</w:t>
      </w:r>
    </w:p>
    <w:p w:rsidR="00A76009" w:rsidRPr="00B92BDF" w:rsidRDefault="00A76009" w:rsidP="00EA5EAB">
      <w:pPr>
        <w:spacing w:after="0" w:line="240" w:lineRule="auto"/>
        <w:jc w:val="both"/>
        <w:rPr>
          <w:rStyle w:val="comment-copy"/>
          <w:rFonts w:ascii="Times New Roman" w:hAnsi="Times New Roman" w:cs="Times New Roman"/>
          <w:color w:val="000000" w:themeColor="text1"/>
          <w:sz w:val="20"/>
          <w:szCs w:val="24"/>
          <w:lang w:val="en-GB"/>
        </w:rPr>
      </w:pPr>
    </w:p>
    <w:p w:rsidR="00A76009" w:rsidRPr="00B92BDF" w:rsidRDefault="005F3FEC" w:rsidP="00EA5EAB">
      <w:pPr>
        <w:spacing w:after="0" w:line="240" w:lineRule="auto"/>
        <w:jc w:val="both"/>
        <w:rPr>
          <w:rFonts w:ascii="Times New Roman" w:hAnsi="Times New Roman" w:cs="Times New Roman"/>
          <w:color w:val="000000" w:themeColor="text1"/>
          <w:sz w:val="24"/>
          <w:szCs w:val="24"/>
          <w:lang w:val="en-GB"/>
        </w:rPr>
      </w:pPr>
      <m:oMath>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yield</m:t>
            </m:r>
          </m:e>
          <m:sub>
            <m:r>
              <w:rPr>
                <w:rFonts w:ascii="Cambria Math" w:hAnsi="Cambria Math" w:cs="Times New Roman"/>
                <w:color w:val="000000" w:themeColor="text1"/>
                <w:sz w:val="24"/>
                <w:szCs w:val="24"/>
                <w:lang w:val="en-GB"/>
              </w:rPr>
              <m:t>t</m:t>
            </m:r>
          </m:sub>
        </m:sSub>
        <m:r>
          <w:rPr>
            <w:rFonts w:ascii="Cambria Math" w:hAnsi="Times New Roman" w:cs="Times New Roman"/>
            <w:color w:val="000000" w:themeColor="text1"/>
            <w:sz w:val="24"/>
            <w:szCs w:val="24"/>
            <w:lang w:val="en-GB"/>
          </w:rPr>
          <m:t>=</m:t>
        </m:r>
        <m:r>
          <w:rPr>
            <w:rFonts w:ascii="Cambria Math" w:hAnsi="Cambria Math" w:cs="Times New Roman"/>
            <w:color w:val="000000" w:themeColor="text1"/>
            <w:sz w:val="24"/>
            <w:szCs w:val="24"/>
            <w:lang w:val="en-GB"/>
          </w:rPr>
          <m:t>α</m:t>
        </m:r>
        <m:r>
          <w:rPr>
            <w:rFonts w:ascii="Cambria Math" w:hAnsi="Times New Roman" w:cs="Times New Roman"/>
            <w:color w:val="000000" w:themeColor="text1"/>
            <w:sz w:val="24"/>
            <w:szCs w:val="24"/>
            <w:lang w:val="en-GB"/>
          </w:rPr>
          <m:t>+</m:t>
        </m:r>
        <m:r>
          <w:rPr>
            <w:rFonts w:ascii="Cambria Math" w:hAnsi="Cambria Math" w:cs="Times New Roman"/>
            <w:color w:val="000000" w:themeColor="text1"/>
            <w:sz w:val="24"/>
            <w:szCs w:val="24"/>
            <w:lang w:val="en-GB"/>
          </w:rPr>
          <m:t>β×time</m:t>
        </m:r>
        <m:r>
          <w:rPr>
            <w:rFonts w:ascii="Cambria Math" w:hAnsi="Times New Roman" w:cs="Times New Roman"/>
            <w:color w:val="000000" w:themeColor="text1"/>
            <w:sz w:val="24"/>
            <w:szCs w:val="24"/>
            <w:lang w:val="en-GB"/>
          </w:rPr>
          <m:t xml:space="preserve">+ </m:t>
        </m:r>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u</m:t>
            </m:r>
          </m:e>
          <m:sub>
            <m:r>
              <w:rPr>
                <w:rFonts w:ascii="Cambria Math" w:hAnsi="Cambria Math" w:cs="Times New Roman"/>
                <w:color w:val="000000" w:themeColor="text1"/>
                <w:sz w:val="24"/>
                <w:szCs w:val="24"/>
                <w:lang w:val="en-GB"/>
              </w:rPr>
              <m:t>t</m:t>
            </m:r>
          </m:sub>
        </m:sSub>
      </m:oMath>
      <w:r w:rsidR="00A76009" w:rsidRPr="00B92BDF">
        <w:rPr>
          <w:rFonts w:ascii="Times New Roman" w:hAnsi="Times New Roman" w:cs="Times New Roman"/>
          <w:color w:val="000000" w:themeColor="text1"/>
          <w:sz w:val="24"/>
          <w:szCs w:val="24"/>
          <w:lang w:val="en-GB"/>
        </w:rPr>
        <w:t>,</w:t>
      </w:r>
      <w:r w:rsidR="00A76009" w:rsidRPr="00B92BDF">
        <w:rPr>
          <w:rFonts w:ascii="Times New Roman" w:hAnsi="Times New Roman" w:cs="Times New Roman"/>
          <w:color w:val="000000" w:themeColor="text1"/>
          <w:sz w:val="24"/>
          <w:szCs w:val="24"/>
          <w:lang w:val="en-GB"/>
        </w:rPr>
        <w:tab/>
      </w:r>
      <w:r w:rsidR="009A3454" w:rsidRPr="00B92BDF">
        <w:rPr>
          <w:rFonts w:ascii="Times New Roman" w:hAnsi="Times New Roman" w:cs="Times New Roman"/>
          <w:color w:val="000000" w:themeColor="text1"/>
          <w:sz w:val="24"/>
          <w:szCs w:val="24"/>
          <w:lang w:val="en-GB"/>
        </w:rPr>
        <w:t xml:space="preserve">                      </w:t>
      </w:r>
      <w:r w:rsidR="00A76009" w:rsidRPr="00B92BDF">
        <w:rPr>
          <w:rFonts w:ascii="Times New Roman" w:hAnsi="Times New Roman" w:cs="Times New Roman"/>
          <w:color w:val="000000" w:themeColor="text1"/>
          <w:sz w:val="24"/>
          <w:szCs w:val="24"/>
          <w:lang w:val="en-GB"/>
        </w:rPr>
        <w:tab/>
      </w:r>
      <w:r w:rsidR="00A76009" w:rsidRPr="00B92BDF">
        <w:rPr>
          <w:rFonts w:ascii="Times New Roman" w:hAnsi="Times New Roman" w:cs="Times New Roman"/>
          <w:color w:val="000000" w:themeColor="text1"/>
          <w:sz w:val="24"/>
          <w:szCs w:val="24"/>
          <w:lang w:val="en-GB"/>
        </w:rPr>
        <w:tab/>
      </w:r>
      <w:r w:rsidR="00A76009" w:rsidRPr="00B92BDF">
        <w:rPr>
          <w:rFonts w:ascii="Times New Roman" w:hAnsi="Times New Roman" w:cs="Times New Roman"/>
          <w:color w:val="000000" w:themeColor="text1"/>
          <w:sz w:val="24"/>
          <w:szCs w:val="24"/>
          <w:lang w:val="en-GB"/>
        </w:rPr>
        <w:tab/>
      </w:r>
      <w:r w:rsidR="009A3454" w:rsidRPr="00B92BDF">
        <w:rPr>
          <w:rFonts w:ascii="Times New Roman" w:hAnsi="Times New Roman" w:cs="Times New Roman"/>
          <w:color w:val="000000" w:themeColor="text1"/>
          <w:sz w:val="24"/>
          <w:szCs w:val="24"/>
          <w:lang w:val="en-GB"/>
        </w:rPr>
        <w:t xml:space="preserve">                                        </w:t>
      </w:r>
      <w:r w:rsidR="00A76009" w:rsidRPr="00B92BDF">
        <w:rPr>
          <w:rFonts w:ascii="Times New Roman" w:hAnsi="Times New Roman" w:cs="Times New Roman"/>
          <w:color w:val="000000" w:themeColor="text1"/>
          <w:sz w:val="24"/>
          <w:szCs w:val="24"/>
          <w:lang w:val="en-GB"/>
        </w:rPr>
        <w:t>(1)</w:t>
      </w:r>
    </w:p>
    <w:p w:rsidR="00A76009" w:rsidRPr="00B92BDF" w:rsidRDefault="00A76009" w:rsidP="00EA5EAB">
      <w:pPr>
        <w:spacing w:after="0" w:line="240" w:lineRule="auto"/>
        <w:jc w:val="both"/>
        <w:rPr>
          <w:rFonts w:ascii="Times New Roman" w:hAnsi="Times New Roman" w:cs="Times New Roman"/>
          <w:color w:val="000000" w:themeColor="text1"/>
          <w:sz w:val="20"/>
          <w:szCs w:val="24"/>
          <w:lang w:val="en-GB"/>
        </w:rPr>
      </w:pPr>
    </w:p>
    <w:p w:rsidR="00A76009" w:rsidRPr="00B92BDF" w:rsidRDefault="003E4D4F" w:rsidP="00EA5EAB">
      <w:pPr>
        <w:spacing w:after="0" w:line="240" w:lineRule="auto"/>
        <w:jc w:val="both"/>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szCs w:val="24"/>
          <w:lang w:val="en-GB"/>
        </w:rPr>
        <w:t>W</w:t>
      </w:r>
      <w:r w:rsidR="00A76009" w:rsidRPr="00B92BDF">
        <w:rPr>
          <w:rFonts w:ascii="Times New Roman" w:hAnsi="Times New Roman" w:cs="Times New Roman"/>
          <w:color w:val="000000" w:themeColor="text1"/>
          <w:sz w:val="24"/>
          <w:szCs w:val="24"/>
          <w:lang w:val="en-GB"/>
        </w:rPr>
        <w:t xml:space="preserve">here </w:t>
      </w:r>
      <m:oMath>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yield</m:t>
            </m:r>
          </m:e>
          <m:sub>
            <m:r>
              <w:rPr>
                <w:rFonts w:ascii="Cambria Math" w:hAnsi="Cambria Math" w:cs="Times New Roman"/>
                <w:color w:val="000000" w:themeColor="text1"/>
                <w:sz w:val="24"/>
                <w:szCs w:val="24"/>
                <w:lang w:val="en-GB"/>
              </w:rPr>
              <m:t>t</m:t>
            </m:r>
          </m:sub>
        </m:sSub>
        <m:r>
          <w:rPr>
            <w:rFonts w:ascii="Cambria Math" w:hAnsi="Times New Roman" w:cs="Times New Roman"/>
            <w:color w:val="000000" w:themeColor="text1"/>
            <w:sz w:val="24"/>
            <w:szCs w:val="24"/>
            <w:lang w:val="en-GB"/>
          </w:rPr>
          <m:t>-</m:t>
        </m:r>
      </m:oMath>
      <w:r w:rsidR="00A76009" w:rsidRPr="00B92BDF">
        <w:rPr>
          <w:rFonts w:ascii="Times New Roman" w:hAnsi="Times New Roman" w:cs="Times New Roman"/>
          <w:color w:val="000000" w:themeColor="text1"/>
          <w:sz w:val="24"/>
          <w:szCs w:val="24"/>
          <w:lang w:val="en-GB"/>
        </w:rPr>
        <w:t xml:space="preserve"> the observed bond yield, </w:t>
      </w:r>
      <m:oMath>
        <m:r>
          <w:rPr>
            <w:rFonts w:ascii="Cambria Math" w:hAnsi="Cambria Math" w:cs="Times New Roman"/>
            <w:color w:val="000000" w:themeColor="text1"/>
            <w:sz w:val="24"/>
            <w:szCs w:val="24"/>
            <w:lang w:val="en-GB"/>
          </w:rPr>
          <m:t>time-</m:t>
        </m:r>
      </m:oMath>
      <w:r w:rsidR="00A76009" w:rsidRPr="00B92BDF">
        <w:rPr>
          <w:rFonts w:ascii="Times New Roman" w:hAnsi="Times New Roman" w:cs="Times New Roman"/>
          <w:color w:val="000000" w:themeColor="text1"/>
          <w:sz w:val="24"/>
          <w:szCs w:val="24"/>
          <w:lang w:val="en-GB"/>
        </w:rPr>
        <w:t xml:space="preserve"> the indicator of a time period in years, </w:t>
      </w:r>
      <m:oMath>
        <m:sSub>
          <m:sSubPr>
            <m:ctrlPr>
              <w:rPr>
                <w:rFonts w:ascii="Cambria Math" w:hAnsi="Times New Roman" w:cs="Times New Roman"/>
                <w:i/>
                <w:color w:val="000000" w:themeColor="text1"/>
                <w:sz w:val="24"/>
                <w:szCs w:val="24"/>
                <w:lang w:val="en-GB"/>
              </w:rPr>
            </m:ctrlPr>
          </m:sSubPr>
          <m:e>
            <m:r>
              <w:rPr>
                <w:rFonts w:ascii="Cambria Math" w:hAnsi="Cambria Math" w:cs="Times New Roman"/>
                <w:color w:val="000000" w:themeColor="text1"/>
                <w:sz w:val="24"/>
                <w:szCs w:val="24"/>
                <w:lang w:val="en-GB"/>
              </w:rPr>
              <m:t>u</m:t>
            </m:r>
          </m:e>
          <m:sub>
            <m:r>
              <w:rPr>
                <w:rFonts w:ascii="Cambria Math" w:hAnsi="Cambria Math" w:cs="Times New Roman"/>
                <w:color w:val="000000" w:themeColor="text1"/>
                <w:sz w:val="24"/>
                <w:szCs w:val="24"/>
                <w:lang w:val="en-GB"/>
              </w:rPr>
              <m:t>t</m:t>
            </m:r>
          </m:sub>
        </m:sSub>
        <m:r>
          <w:rPr>
            <w:rFonts w:ascii="Cambria Math" w:hAnsi="Times New Roman" w:cs="Times New Roman"/>
            <w:color w:val="000000" w:themeColor="text1"/>
            <w:sz w:val="24"/>
            <w:szCs w:val="24"/>
            <w:lang w:val="en-GB"/>
          </w:rPr>
          <m:t>-</m:t>
        </m:r>
      </m:oMath>
      <w:r w:rsidR="00C61C5A" w:rsidRPr="00B92BDF">
        <w:rPr>
          <w:rFonts w:ascii="Times New Roman" w:hAnsi="Times New Roman" w:cs="Times New Roman"/>
          <w:color w:val="000000" w:themeColor="text1"/>
          <w:sz w:val="24"/>
          <w:szCs w:val="24"/>
          <w:lang w:val="en-GB"/>
        </w:rPr>
        <w:t xml:space="preserve"> a stochastic component.</w:t>
      </w:r>
      <w:proofErr w:type="gramEnd"/>
    </w:p>
    <w:p w:rsidR="00A76009" w:rsidRPr="00B92BDF" w:rsidRDefault="00A76009" w:rsidP="00EA5EAB">
      <w:pPr>
        <w:spacing w:after="0" w:line="240" w:lineRule="auto"/>
        <w:jc w:val="both"/>
        <w:rPr>
          <w:rStyle w:val="HTMLCite"/>
          <w:rFonts w:ascii="Times New Roman" w:hAnsi="Times New Roman" w:cs="Times New Roman"/>
          <w:i w:val="0"/>
          <w:color w:val="000000" w:themeColor="text1"/>
          <w:sz w:val="24"/>
          <w:szCs w:val="24"/>
        </w:rPr>
      </w:pPr>
      <w:r w:rsidRPr="00B92BDF">
        <w:rPr>
          <w:rFonts w:ascii="Times New Roman" w:hAnsi="Times New Roman" w:cs="Times New Roman"/>
          <w:color w:val="000000" w:themeColor="text1"/>
          <w:sz w:val="24"/>
          <w:szCs w:val="24"/>
          <w:lang w:val="en-GB"/>
        </w:rPr>
        <w:tab/>
        <w:t>To determine the behaviour of the stochastic component, time-series models of class ARIMA are estimated (</w:t>
      </w:r>
      <w:proofErr w:type="spellStart"/>
      <w:r w:rsidRPr="00B92BDF">
        <w:rPr>
          <w:rStyle w:val="HTMLCite"/>
          <w:rFonts w:ascii="Times New Roman" w:hAnsi="Times New Roman" w:cs="Times New Roman"/>
          <w:i w:val="0"/>
          <w:color w:val="000000" w:themeColor="text1"/>
          <w:sz w:val="24"/>
          <w:szCs w:val="24"/>
        </w:rPr>
        <w:t>Brockwell</w:t>
      </w:r>
      <w:proofErr w:type="spellEnd"/>
      <w:r w:rsidRPr="00B92BDF">
        <w:rPr>
          <w:rStyle w:val="HTMLCite"/>
          <w:rFonts w:ascii="Times New Roman" w:hAnsi="Times New Roman" w:cs="Times New Roman"/>
          <w:i w:val="0"/>
          <w:color w:val="000000" w:themeColor="text1"/>
          <w:sz w:val="24"/>
          <w:szCs w:val="24"/>
        </w:rPr>
        <w:t xml:space="preserve"> </w:t>
      </w:r>
      <w:r w:rsidR="00F06614" w:rsidRPr="00B92BDF">
        <w:rPr>
          <w:rStyle w:val="HTMLCite"/>
          <w:rFonts w:ascii="Times New Roman" w:hAnsi="Times New Roman" w:cs="Times New Roman"/>
          <w:i w:val="0"/>
          <w:color w:val="000000" w:themeColor="text1"/>
          <w:sz w:val="24"/>
          <w:szCs w:val="24"/>
        </w:rPr>
        <w:t>and</w:t>
      </w:r>
      <w:r w:rsidRPr="00B92BDF">
        <w:rPr>
          <w:rStyle w:val="HTMLCite"/>
          <w:rFonts w:ascii="Times New Roman" w:hAnsi="Times New Roman" w:cs="Times New Roman"/>
          <w:i w:val="0"/>
          <w:color w:val="000000" w:themeColor="text1"/>
          <w:sz w:val="24"/>
          <w:szCs w:val="24"/>
        </w:rPr>
        <w:t xml:space="preserve"> Davis, 1996).</w:t>
      </w:r>
      <w:r w:rsidRPr="00B92BDF">
        <w:rPr>
          <w:rStyle w:val="HTMLCite"/>
          <w:rFonts w:ascii="Times New Roman" w:hAnsi="Times New Roman" w:cs="Times New Roman"/>
          <w:color w:val="000000" w:themeColor="text1"/>
          <w:sz w:val="24"/>
          <w:szCs w:val="24"/>
        </w:rPr>
        <w:t xml:space="preserve"> </w:t>
      </w:r>
      <w:r w:rsidRPr="00B92BDF">
        <w:rPr>
          <w:rFonts w:ascii="Times New Roman" w:hAnsi="Times New Roman" w:cs="Times New Roman"/>
          <w:color w:val="000000" w:themeColor="text1"/>
          <w:sz w:val="24"/>
          <w:lang w:val="en-GB"/>
        </w:rPr>
        <w:t>Differencing, autoregressive and moving average components make up a non-seasonal ARIMA model which can be expressed as a linear equation:</w:t>
      </w:r>
      <w:r w:rsidRPr="00B92BDF">
        <w:rPr>
          <w:rStyle w:val="HTMLCite"/>
          <w:rFonts w:ascii="Times New Roman" w:hAnsi="Times New Roman" w:cs="Times New Roman"/>
          <w:color w:val="000000" w:themeColor="text1"/>
          <w:sz w:val="28"/>
          <w:szCs w:val="24"/>
        </w:rPr>
        <w:t xml:space="preserve"> </w:t>
      </w:r>
    </w:p>
    <w:p w:rsidR="00A76009" w:rsidRPr="00B92BDF" w:rsidRDefault="00A76009" w:rsidP="00EA5EAB">
      <w:pPr>
        <w:spacing w:after="0" w:line="240" w:lineRule="auto"/>
        <w:jc w:val="both"/>
        <w:rPr>
          <w:rStyle w:val="HTMLCite"/>
          <w:rFonts w:ascii="Times New Roman" w:hAnsi="Times New Roman" w:cs="Times New Roman"/>
          <w:i w:val="0"/>
          <w:color w:val="000000" w:themeColor="text1"/>
          <w:sz w:val="20"/>
          <w:szCs w:val="24"/>
        </w:rPr>
      </w:pPr>
    </w:p>
    <w:p w:rsidR="00A76009" w:rsidRPr="00B92BDF" w:rsidRDefault="005F3FEC" w:rsidP="00EA5EAB">
      <w:pPr>
        <w:pStyle w:val="NormalWeb"/>
        <w:spacing w:before="0" w:beforeAutospacing="0" w:after="0" w:afterAutospacing="0"/>
        <w:jc w:val="both"/>
        <w:rPr>
          <w:color w:val="000000" w:themeColor="text1"/>
          <w:lang w:val="en-GB"/>
        </w:rPr>
      </w:pPr>
      <m:oMath>
        <m:sSub>
          <m:sSubPr>
            <m:ctrlPr>
              <w:rPr>
                <w:rFonts w:ascii="Cambria Math" w:hAnsi="Cambria Math"/>
                <w:i/>
                <w:color w:val="000000" w:themeColor="text1"/>
                <w:lang w:val="en-GB"/>
              </w:rPr>
            </m:ctrlPr>
          </m:sSubPr>
          <m:e>
            <m:r>
              <w:rPr>
                <w:rFonts w:ascii="Cambria Math" w:hAnsi="Cambria Math"/>
                <w:color w:val="000000" w:themeColor="text1"/>
                <w:lang w:val="en-GB"/>
              </w:rPr>
              <m:t>u</m:t>
            </m:r>
          </m:e>
          <m:sub>
            <m:r>
              <w:rPr>
                <w:rFonts w:ascii="Cambria Math" w:hAnsi="Cambria Math"/>
                <w:color w:val="000000" w:themeColor="text1"/>
                <w:lang w:val="en-GB"/>
              </w:rPr>
              <m:t>t</m:t>
            </m:r>
          </m:sub>
        </m:sSub>
        <m:r>
          <w:rPr>
            <w:rFonts w:ascii="Cambria Math" w:hAnsi="Cambria Math"/>
            <w:color w:val="000000" w:themeColor="text1"/>
            <w:lang w:val="en-GB"/>
          </w:rPr>
          <m:t xml:space="preserve">= γ+ </m:t>
        </m:r>
        <m:sSub>
          <m:sSubPr>
            <m:ctrlPr>
              <w:rPr>
                <w:rFonts w:ascii="Cambria Math" w:hAnsi="Cambria Math"/>
                <w:i/>
                <w:color w:val="000000" w:themeColor="text1"/>
                <w:lang w:val="en-GB"/>
              </w:rPr>
            </m:ctrlPr>
          </m:sSubPr>
          <m:e>
            <m:r>
              <w:rPr>
                <w:rFonts w:ascii="Cambria Math" w:hAnsi="Cambria Math"/>
                <w:color w:val="000000" w:themeColor="text1"/>
                <w:lang w:val="en-GB"/>
              </w:rPr>
              <m:t>φ</m:t>
            </m:r>
          </m:e>
          <m:sub>
            <m:r>
              <w:rPr>
                <w:rFonts w:ascii="Cambria Math" w:hAnsi="Cambria Math"/>
                <w:color w:val="000000" w:themeColor="text1"/>
                <w:lang w:val="en-GB"/>
              </w:rPr>
              <m:t>1</m:t>
            </m:r>
          </m:sub>
        </m:sSub>
        <m:sSub>
          <m:sSubPr>
            <m:ctrlPr>
              <w:rPr>
                <w:rFonts w:ascii="Cambria Math" w:hAnsi="Cambria Math"/>
                <w:i/>
                <w:color w:val="000000" w:themeColor="text1"/>
                <w:lang w:val="en-GB"/>
              </w:rPr>
            </m:ctrlPr>
          </m:sSubPr>
          <m:e>
            <m:r>
              <w:rPr>
                <w:rFonts w:ascii="Cambria Math" w:hAnsi="Cambria Math"/>
                <w:color w:val="000000" w:themeColor="text1"/>
                <w:lang w:val="en-GB"/>
              </w:rPr>
              <m:t>u</m:t>
            </m:r>
          </m:e>
          <m:sub>
            <m:r>
              <w:rPr>
                <w:rFonts w:ascii="Cambria Math" w:hAnsi="Cambria Math"/>
                <w:color w:val="000000" w:themeColor="text1"/>
                <w:lang w:val="en-GB"/>
              </w:rPr>
              <m:t>d, t-1</m:t>
            </m:r>
          </m:sub>
        </m:sSub>
        <m:r>
          <w:rPr>
            <w:rFonts w:ascii="Cambria Math" w:hAnsi="Cambria Math"/>
            <w:color w:val="000000" w:themeColor="text1"/>
            <w:lang w:val="en-GB"/>
          </w:rPr>
          <m:t xml:space="preserve">+ …+ </m:t>
        </m:r>
        <m:sSub>
          <m:sSubPr>
            <m:ctrlPr>
              <w:rPr>
                <w:rFonts w:ascii="Cambria Math" w:hAnsi="Cambria Math"/>
                <w:i/>
                <w:color w:val="000000" w:themeColor="text1"/>
                <w:lang w:val="en-GB"/>
              </w:rPr>
            </m:ctrlPr>
          </m:sSubPr>
          <m:e>
            <m:r>
              <w:rPr>
                <w:rFonts w:ascii="Cambria Math" w:hAnsi="Cambria Math"/>
                <w:color w:val="000000" w:themeColor="text1"/>
                <w:lang w:val="en-GB"/>
              </w:rPr>
              <m:t>φ</m:t>
            </m:r>
          </m:e>
          <m:sub>
            <m:r>
              <w:rPr>
                <w:rFonts w:ascii="Cambria Math" w:hAnsi="Cambria Math"/>
                <w:color w:val="000000" w:themeColor="text1"/>
                <w:lang w:val="en-GB"/>
              </w:rPr>
              <m:t>p</m:t>
            </m:r>
          </m:sub>
        </m:sSub>
        <m:sSub>
          <m:sSubPr>
            <m:ctrlPr>
              <w:rPr>
                <w:rFonts w:ascii="Cambria Math" w:hAnsi="Cambria Math"/>
                <w:i/>
                <w:color w:val="000000" w:themeColor="text1"/>
                <w:lang w:val="en-GB"/>
              </w:rPr>
            </m:ctrlPr>
          </m:sSubPr>
          <m:e>
            <m:r>
              <w:rPr>
                <w:rFonts w:ascii="Cambria Math" w:hAnsi="Cambria Math"/>
                <w:color w:val="000000" w:themeColor="text1"/>
                <w:lang w:val="en-GB"/>
              </w:rPr>
              <m:t>u</m:t>
            </m:r>
          </m:e>
          <m:sub>
            <m:r>
              <w:rPr>
                <w:rFonts w:ascii="Cambria Math" w:hAnsi="Cambria Math"/>
                <w:color w:val="000000" w:themeColor="text1"/>
                <w:lang w:val="en-GB"/>
              </w:rPr>
              <m:t>d, t-p</m:t>
            </m:r>
          </m:sub>
        </m:sSub>
        <m:r>
          <w:rPr>
            <w:rFonts w:ascii="Cambria Math" w:hAnsi="Cambria Math"/>
            <w:color w:val="000000" w:themeColor="text1"/>
            <w:lang w:val="en-GB"/>
          </w:rPr>
          <m:t xml:space="preserve">+ </m:t>
        </m:r>
        <m:sSub>
          <m:sSubPr>
            <m:ctrlPr>
              <w:rPr>
                <w:rFonts w:ascii="Cambria Math" w:hAnsi="Cambria Math"/>
                <w:i/>
                <w:color w:val="000000" w:themeColor="text1"/>
                <w:lang w:val="en-GB"/>
              </w:rPr>
            </m:ctrlPr>
          </m:sSubPr>
          <m:e>
            <m:r>
              <w:rPr>
                <w:rFonts w:ascii="Cambria Math" w:hAnsi="Cambria Math"/>
                <w:color w:val="000000" w:themeColor="text1"/>
                <w:lang w:val="en-GB"/>
              </w:rPr>
              <m:t>θ</m:t>
            </m:r>
          </m:e>
          <m:sub>
            <m:r>
              <w:rPr>
                <w:rFonts w:ascii="Cambria Math" w:hAnsi="Cambria Math"/>
                <w:color w:val="000000" w:themeColor="text1"/>
                <w:lang w:val="en-GB"/>
              </w:rPr>
              <m:t>1</m:t>
            </m:r>
          </m:sub>
        </m:sSub>
        <m:sSub>
          <m:sSubPr>
            <m:ctrlPr>
              <w:rPr>
                <w:rFonts w:ascii="Cambria Math" w:hAnsi="Cambria Math"/>
                <w:i/>
                <w:color w:val="000000" w:themeColor="text1"/>
                <w:lang w:val="en-GB"/>
              </w:rPr>
            </m:ctrlPr>
          </m:sSubPr>
          <m:e>
            <m:r>
              <w:rPr>
                <w:rFonts w:ascii="Cambria Math" w:hAnsi="Cambria Math"/>
                <w:color w:val="000000" w:themeColor="text1"/>
                <w:lang w:val="en-GB"/>
              </w:rPr>
              <m:t>ε</m:t>
            </m:r>
          </m:e>
          <m:sub>
            <m:r>
              <w:rPr>
                <w:rFonts w:ascii="Cambria Math" w:hAnsi="Cambria Math"/>
                <w:color w:val="000000" w:themeColor="text1"/>
                <w:lang w:val="en-GB"/>
              </w:rPr>
              <m:t xml:space="preserve"> t-1</m:t>
            </m:r>
          </m:sub>
        </m:sSub>
        <m:r>
          <w:rPr>
            <w:rFonts w:ascii="Cambria Math" w:hAnsi="Cambria Math"/>
            <w:color w:val="000000" w:themeColor="text1"/>
            <w:lang w:val="en-GB"/>
          </w:rPr>
          <m:t xml:space="preserve">+ …+ </m:t>
        </m:r>
        <m:sSub>
          <m:sSubPr>
            <m:ctrlPr>
              <w:rPr>
                <w:rFonts w:ascii="Cambria Math" w:hAnsi="Cambria Math"/>
                <w:i/>
                <w:color w:val="000000" w:themeColor="text1"/>
                <w:lang w:val="en-GB"/>
              </w:rPr>
            </m:ctrlPr>
          </m:sSubPr>
          <m:e>
            <m:r>
              <w:rPr>
                <w:rFonts w:ascii="Cambria Math" w:hAnsi="Cambria Math"/>
                <w:color w:val="000000" w:themeColor="text1"/>
                <w:lang w:val="en-GB"/>
              </w:rPr>
              <m:t>θ</m:t>
            </m:r>
          </m:e>
          <m:sub>
            <m:r>
              <w:rPr>
                <w:rFonts w:ascii="Cambria Math" w:hAnsi="Cambria Math"/>
                <w:color w:val="000000" w:themeColor="text1"/>
                <w:lang w:val="en-GB"/>
              </w:rPr>
              <m:t>q</m:t>
            </m:r>
          </m:sub>
        </m:sSub>
        <m:sSub>
          <m:sSubPr>
            <m:ctrlPr>
              <w:rPr>
                <w:rFonts w:ascii="Cambria Math" w:hAnsi="Cambria Math"/>
                <w:i/>
                <w:color w:val="000000" w:themeColor="text1"/>
                <w:lang w:val="en-GB"/>
              </w:rPr>
            </m:ctrlPr>
          </m:sSubPr>
          <m:e>
            <m:r>
              <w:rPr>
                <w:rFonts w:ascii="Cambria Math" w:hAnsi="Cambria Math"/>
                <w:color w:val="000000" w:themeColor="text1"/>
                <w:lang w:val="en-GB"/>
              </w:rPr>
              <m:t>ε</m:t>
            </m:r>
          </m:e>
          <m:sub>
            <m:r>
              <w:rPr>
                <w:rFonts w:ascii="Cambria Math" w:hAnsi="Cambria Math"/>
                <w:color w:val="000000" w:themeColor="text1"/>
                <w:lang w:val="en-GB"/>
              </w:rPr>
              <m:t>t-q</m:t>
            </m:r>
          </m:sub>
        </m:sSub>
        <m:r>
          <w:rPr>
            <w:rFonts w:ascii="Cambria Math" w:hAnsi="Cambria Math"/>
            <w:color w:val="000000" w:themeColor="text1"/>
            <w:lang w:val="en-GB"/>
          </w:rPr>
          <m:t xml:space="preserve">+ </m:t>
        </m:r>
        <m:sSub>
          <m:sSubPr>
            <m:ctrlPr>
              <w:rPr>
                <w:rFonts w:ascii="Cambria Math" w:hAnsi="Cambria Math"/>
                <w:i/>
                <w:color w:val="000000" w:themeColor="text1"/>
                <w:lang w:val="en-GB"/>
              </w:rPr>
            </m:ctrlPr>
          </m:sSubPr>
          <m:e>
            <m:r>
              <w:rPr>
                <w:rFonts w:ascii="Cambria Math" w:hAnsi="Cambria Math"/>
                <w:color w:val="000000" w:themeColor="text1"/>
                <w:lang w:val="en-GB"/>
              </w:rPr>
              <m:t>ε</m:t>
            </m:r>
          </m:e>
          <m:sub>
            <m:r>
              <w:rPr>
                <w:rFonts w:ascii="Cambria Math" w:hAnsi="Cambria Math"/>
                <w:color w:val="000000" w:themeColor="text1"/>
                <w:lang w:val="en-GB"/>
              </w:rPr>
              <m:t>t</m:t>
            </m:r>
          </m:sub>
        </m:sSub>
      </m:oMath>
      <w:r w:rsidR="00A76009" w:rsidRPr="00B92BDF">
        <w:rPr>
          <w:color w:val="000000" w:themeColor="text1"/>
          <w:lang w:val="en-GB"/>
        </w:rPr>
        <w:t>,</w:t>
      </w:r>
      <w:r w:rsidR="00A76009" w:rsidRPr="00B92BDF">
        <w:rPr>
          <w:color w:val="000000" w:themeColor="text1"/>
          <w:lang w:val="en-GB"/>
        </w:rPr>
        <w:tab/>
      </w:r>
      <w:r w:rsidR="00A76009" w:rsidRPr="00B92BDF">
        <w:rPr>
          <w:color w:val="000000" w:themeColor="text1"/>
          <w:lang w:val="en-GB"/>
        </w:rPr>
        <w:tab/>
      </w:r>
      <w:r w:rsidR="009A3454" w:rsidRPr="00B92BDF">
        <w:rPr>
          <w:color w:val="000000" w:themeColor="text1"/>
          <w:lang w:val="en-GB"/>
        </w:rPr>
        <w:t xml:space="preserve">                </w:t>
      </w:r>
      <w:r w:rsidR="00A76009" w:rsidRPr="00B92BDF">
        <w:rPr>
          <w:color w:val="000000" w:themeColor="text1"/>
          <w:lang w:val="en-GB"/>
        </w:rPr>
        <w:t>(2)</w:t>
      </w:r>
    </w:p>
    <w:p w:rsidR="00A76009" w:rsidRPr="00B92BDF" w:rsidRDefault="00A76009" w:rsidP="00EA5EAB">
      <w:pPr>
        <w:pStyle w:val="NormalWeb"/>
        <w:spacing w:before="0" w:beforeAutospacing="0" w:after="0" w:afterAutospacing="0"/>
        <w:jc w:val="both"/>
        <w:rPr>
          <w:color w:val="000000" w:themeColor="text1"/>
          <w:sz w:val="20"/>
          <w:lang w:val="en-GB"/>
        </w:rPr>
      </w:pPr>
    </w:p>
    <w:p w:rsidR="00A76009" w:rsidRPr="00B92BDF" w:rsidRDefault="003E4D4F" w:rsidP="00EA5EAB">
      <w:pPr>
        <w:pStyle w:val="NormalWeb"/>
        <w:spacing w:before="0" w:beforeAutospacing="0" w:after="0" w:afterAutospacing="0"/>
        <w:jc w:val="both"/>
        <w:rPr>
          <w:color w:val="000000" w:themeColor="text1"/>
          <w:lang w:val="en-GB"/>
        </w:rPr>
      </w:pPr>
      <w:r w:rsidRPr="00B92BDF">
        <w:rPr>
          <w:color w:val="000000" w:themeColor="text1"/>
          <w:lang w:val="en-GB"/>
        </w:rPr>
        <w:t>W</w:t>
      </w:r>
      <w:r w:rsidR="00A76009" w:rsidRPr="00B92BDF">
        <w:rPr>
          <w:color w:val="000000" w:themeColor="text1"/>
          <w:lang w:val="en-GB"/>
        </w:rPr>
        <w:t xml:space="preserve">here </w:t>
      </w:r>
      <m:oMath>
        <m:sSub>
          <m:sSubPr>
            <m:ctrlPr>
              <w:rPr>
                <w:rFonts w:ascii="Cambria Math" w:hAnsi="Cambria Math"/>
                <w:i/>
                <w:color w:val="000000" w:themeColor="text1"/>
                <w:lang w:val="en-GB"/>
              </w:rPr>
            </m:ctrlPr>
          </m:sSubPr>
          <m:e>
            <m:r>
              <w:rPr>
                <w:rFonts w:ascii="Cambria Math" w:hAnsi="Cambria Math"/>
                <w:color w:val="000000" w:themeColor="text1"/>
                <w:lang w:val="en-GB"/>
              </w:rPr>
              <m:t>u</m:t>
            </m:r>
          </m:e>
          <m:sub>
            <m:r>
              <w:rPr>
                <w:rFonts w:ascii="Cambria Math" w:hAnsi="Cambria Math"/>
                <w:color w:val="000000" w:themeColor="text1"/>
                <w:lang w:val="en-GB"/>
              </w:rPr>
              <m:t>t</m:t>
            </m:r>
          </m:sub>
        </m:sSub>
        <m:r>
          <w:rPr>
            <w:rFonts w:ascii="Cambria Math" w:hAnsi="Cambria Math"/>
            <w:color w:val="000000" w:themeColor="text1"/>
            <w:lang w:val="en-GB"/>
          </w:rPr>
          <m:t>-</m:t>
        </m:r>
      </m:oMath>
      <w:r w:rsidR="00A76009" w:rsidRPr="00B92BDF">
        <w:rPr>
          <w:color w:val="000000" w:themeColor="text1"/>
          <w:lang w:val="en-GB"/>
        </w:rPr>
        <w:t xml:space="preserve"> estimated values of the stochastic component from the regression (1), </w:t>
      </w:r>
      <w:r w:rsidR="00A76009" w:rsidRPr="00B92BDF">
        <w:rPr>
          <w:i/>
          <w:color w:val="000000" w:themeColor="text1"/>
          <w:lang w:val="en-GB"/>
        </w:rPr>
        <w:t>p</w:t>
      </w:r>
      <w:r w:rsidR="00A76009" w:rsidRPr="00B92BDF">
        <w:rPr>
          <w:color w:val="000000" w:themeColor="text1"/>
          <w:lang w:val="en-GB"/>
        </w:rPr>
        <w:t xml:space="preserve"> and </w:t>
      </w:r>
      <w:r w:rsidR="00A76009" w:rsidRPr="00B92BDF">
        <w:rPr>
          <w:i/>
          <w:color w:val="000000" w:themeColor="text1"/>
          <w:lang w:val="en-GB"/>
        </w:rPr>
        <w:t>q</w:t>
      </w:r>
      <w:r w:rsidR="00A76009" w:rsidRPr="00B92BDF">
        <w:rPr>
          <w:color w:val="000000" w:themeColor="text1"/>
          <w:lang w:val="en-GB"/>
        </w:rPr>
        <w:t xml:space="preserve"> – number of lags, </w:t>
      </w:r>
      <m:oMath>
        <m:r>
          <w:rPr>
            <w:rFonts w:ascii="Cambria Math"/>
            <w:color w:val="000000" w:themeColor="text1"/>
            <w:lang w:val="en-GB"/>
          </w:rPr>
          <m:t xml:space="preserve"> </m:t>
        </m:r>
        <m:sSub>
          <m:sSubPr>
            <m:ctrlPr>
              <w:rPr>
                <w:rFonts w:ascii="Cambria Math" w:hAnsi="Cambria Math"/>
                <w:i/>
                <w:color w:val="000000" w:themeColor="text1"/>
                <w:lang w:val="en-GB"/>
              </w:rPr>
            </m:ctrlPr>
          </m:sSubPr>
          <m:e>
            <m:r>
              <w:rPr>
                <w:rFonts w:ascii="Cambria Math"/>
                <w:color w:val="000000" w:themeColor="text1"/>
                <w:lang w:val="en-GB"/>
              </w:rPr>
              <m:t>u</m:t>
            </m:r>
          </m:e>
          <m:sub>
            <m:r>
              <w:rPr>
                <w:rFonts w:ascii="Cambria Math" w:hAnsi="Cambria Math"/>
                <w:color w:val="000000" w:themeColor="text1"/>
                <w:lang w:val="en-GB"/>
              </w:rPr>
              <m:t>d, t-1</m:t>
            </m:r>
          </m:sub>
        </m:sSub>
        <m:r>
          <w:rPr>
            <w:rFonts w:ascii="Cambria Math"/>
            <w:color w:val="000000" w:themeColor="text1"/>
            <w:lang w:val="en-GB"/>
          </w:rPr>
          <m:t>,</m:t>
        </m:r>
        <m:r>
          <w:rPr>
            <w:rFonts w:ascii="Cambria Math"/>
            <w:color w:val="000000" w:themeColor="text1"/>
            <w:lang w:val="en-GB"/>
          </w:rPr>
          <m:t>…</m:t>
        </m:r>
        <m:r>
          <w:rPr>
            <w:rFonts w:asci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u</m:t>
            </m:r>
          </m:e>
          <m:sub>
            <m:r>
              <w:rPr>
                <w:rFonts w:ascii="Cambria Math"/>
                <w:color w:val="000000" w:themeColor="text1"/>
                <w:lang w:val="en-GB"/>
              </w:rPr>
              <m:t>d, t</m:t>
            </m:r>
            <m:r>
              <w:rPr>
                <w:rFonts w:ascii="Cambria Math"/>
                <w:color w:val="000000" w:themeColor="text1"/>
                <w:lang w:val="en-GB"/>
              </w:rPr>
              <m:t>-</m:t>
            </m:r>
            <m:r>
              <w:rPr>
                <w:rFonts w:ascii="Cambria Math"/>
                <w:color w:val="000000" w:themeColor="text1"/>
                <w:lang w:val="en-GB"/>
              </w:rPr>
              <m:t>p</m:t>
            </m:r>
          </m:sub>
        </m:sSub>
        <m:r>
          <w:rPr>
            <w:rFonts w:ascii="Cambria Math"/>
            <w:color w:val="000000" w:themeColor="text1"/>
            <w:lang w:val="en-GB"/>
          </w:rPr>
          <m:t>-</m:t>
        </m:r>
      </m:oMath>
      <w:r w:rsidR="00A76009" w:rsidRPr="00B92BDF">
        <w:rPr>
          <w:rFonts w:eastAsiaTheme="minorEastAsia"/>
          <w:color w:val="000000" w:themeColor="text1"/>
          <w:lang w:val="en-GB"/>
        </w:rPr>
        <w:t xml:space="preserve"> lagged values of the stochastic component differentiated </w:t>
      </w:r>
      <w:r w:rsidR="00A76009" w:rsidRPr="00B92BDF">
        <w:rPr>
          <w:rFonts w:eastAsiaTheme="minorEastAsia"/>
          <w:i/>
          <w:color w:val="000000" w:themeColor="text1"/>
          <w:lang w:val="en-GB"/>
        </w:rPr>
        <w:t>d</w:t>
      </w:r>
      <w:r w:rsidR="00A76009" w:rsidRPr="00B92BDF">
        <w:rPr>
          <w:rFonts w:eastAsiaTheme="minorEastAsia"/>
          <w:color w:val="000000" w:themeColor="text1"/>
          <w:lang w:val="en-GB"/>
        </w:rPr>
        <w:t xml:space="preserve"> times, </w:t>
      </w:r>
      <m:oMath>
        <m:sSub>
          <m:sSubPr>
            <m:ctrlPr>
              <w:rPr>
                <w:rFonts w:ascii="Cambria Math" w:hAnsi="Cambria Math"/>
                <w:i/>
                <w:color w:val="000000" w:themeColor="text1"/>
                <w:lang w:val="en-GB"/>
              </w:rPr>
            </m:ctrlPr>
          </m:sSubPr>
          <m:e>
            <m:r>
              <w:rPr>
                <w:rFonts w:ascii="Cambria Math" w:hAnsi="Cambria Math"/>
                <w:color w:val="000000" w:themeColor="text1"/>
                <w:lang w:val="en-GB"/>
              </w:rPr>
              <m:t>ε</m:t>
            </m:r>
          </m:e>
          <m:sub>
            <m:r>
              <w:rPr>
                <w:rFonts w:ascii="Cambria Math"/>
                <w:color w:val="000000" w:themeColor="text1"/>
                <w:lang w:val="en-GB"/>
              </w:rPr>
              <m:t>t</m:t>
            </m:r>
          </m:sub>
        </m:sSub>
        <m:r>
          <w:rPr>
            <w:rFonts w:ascii="Cambria Math"/>
            <w:color w:val="000000" w:themeColor="text1"/>
            <w:lang w:val="en-GB"/>
          </w:rPr>
          <m:t>-</m:t>
        </m:r>
      </m:oMath>
      <w:r w:rsidR="00A76009" w:rsidRPr="00B92BDF">
        <w:rPr>
          <w:rFonts w:eastAsiaTheme="minorEastAsia"/>
          <w:color w:val="000000" w:themeColor="text1"/>
          <w:lang w:val="en-GB"/>
        </w:rPr>
        <w:t xml:space="preserve"> an error component,</w:t>
      </w:r>
      <w:r w:rsidR="00A76009" w:rsidRPr="00B92BDF">
        <w:rPr>
          <w:color w:val="000000" w:themeColor="text1"/>
          <w:lang w:val="en-GB"/>
        </w:rPr>
        <w:t xml:space="preserve"> </w:t>
      </w:r>
      <m:oMath>
        <m:sSub>
          <m:sSubPr>
            <m:ctrlPr>
              <w:rPr>
                <w:rFonts w:ascii="Cambria Math" w:hAnsi="Cambria Math"/>
                <w:i/>
                <w:color w:val="000000" w:themeColor="text1"/>
                <w:lang w:val="en-GB"/>
              </w:rPr>
            </m:ctrlPr>
          </m:sSubPr>
          <m:e>
            <m:r>
              <w:rPr>
                <w:rFonts w:ascii="Cambria Math" w:hAnsi="Cambria Math"/>
                <w:color w:val="000000" w:themeColor="text1"/>
                <w:lang w:val="en-GB"/>
              </w:rPr>
              <m:t>ε</m:t>
            </m:r>
          </m:e>
          <m:sub>
            <m:r>
              <w:rPr>
                <w:rFonts w:ascii="Cambria Math" w:hAnsi="Cambria Math"/>
                <w:color w:val="000000" w:themeColor="text1"/>
                <w:lang w:val="en-GB"/>
              </w:rPr>
              <m:t>t-q</m:t>
            </m:r>
          </m:sub>
        </m:sSub>
        <m:r>
          <w:rPr>
            <w:rFonts w:ascii="Cambria Math"/>
            <w:color w:val="000000" w:themeColor="text1"/>
            <w:lang w:val="en-GB"/>
          </w:rPr>
          <m:t>,</m:t>
        </m:r>
        <m:r>
          <w:rPr>
            <w:rFonts w:ascii="Cambria Math"/>
            <w:color w:val="000000" w:themeColor="text1"/>
            <w:lang w:val="en-GB"/>
          </w:rPr>
          <m:t>…</m:t>
        </m:r>
        <m:r>
          <w:rPr>
            <w:rFonts w:ascii="Cambria Math"/>
            <w:color w:val="000000" w:themeColor="text1"/>
            <w:lang w:val="en-GB"/>
          </w:rPr>
          <m:t>,</m:t>
        </m:r>
        <m:sSub>
          <m:sSubPr>
            <m:ctrlPr>
              <w:rPr>
                <w:rFonts w:ascii="Cambria Math" w:hAnsi="Cambria Math"/>
                <w:i/>
                <w:color w:val="000000" w:themeColor="text1"/>
                <w:lang w:val="en-GB"/>
              </w:rPr>
            </m:ctrlPr>
          </m:sSubPr>
          <m:e>
            <m:r>
              <w:rPr>
                <w:rFonts w:ascii="Cambria Math" w:hAnsi="Cambria Math"/>
                <w:color w:val="000000" w:themeColor="text1"/>
                <w:lang w:val="en-GB"/>
              </w:rPr>
              <m:t>ε</m:t>
            </m:r>
          </m:e>
          <m:sub>
            <m:r>
              <w:rPr>
                <w:rFonts w:ascii="Cambria Math"/>
                <w:color w:val="000000" w:themeColor="text1"/>
                <w:lang w:val="en-GB"/>
              </w:rPr>
              <m:t>t</m:t>
            </m:r>
            <m:r>
              <w:rPr>
                <w:rFonts w:ascii="Cambria Math"/>
                <w:color w:val="000000" w:themeColor="text1"/>
                <w:lang w:val="en-GB"/>
              </w:rPr>
              <m:t>-</m:t>
            </m:r>
            <m:r>
              <w:rPr>
                <w:rFonts w:ascii="Cambria Math"/>
                <w:color w:val="000000" w:themeColor="text1"/>
                <w:lang w:val="en-GB"/>
              </w:rPr>
              <m:t>1</m:t>
            </m:r>
          </m:sub>
        </m:sSub>
        <m:r>
          <w:rPr>
            <w:rFonts w:ascii="Cambria Math"/>
            <w:color w:val="000000" w:themeColor="text1"/>
            <w:lang w:val="en-GB"/>
          </w:rPr>
          <m:t>-</m:t>
        </m:r>
      </m:oMath>
      <w:r w:rsidR="00A76009" w:rsidRPr="00B92BDF">
        <w:rPr>
          <w:rFonts w:eastAsiaTheme="minorEastAsia"/>
          <w:color w:val="000000" w:themeColor="text1"/>
          <w:lang w:val="en-GB"/>
        </w:rPr>
        <w:t xml:space="preserve"> lagged</w:t>
      </w:r>
      <w:r w:rsidR="00C61C5A" w:rsidRPr="00B92BDF">
        <w:rPr>
          <w:rFonts w:eastAsiaTheme="minorEastAsia"/>
          <w:color w:val="000000" w:themeColor="text1"/>
          <w:lang w:val="en-GB"/>
        </w:rPr>
        <w:t xml:space="preserve"> values of the error component.</w:t>
      </w: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Before the estimation it is required to test the time series </w:t>
      </w:r>
      <w:r w:rsidRPr="00B92BDF">
        <w:rPr>
          <w:rFonts w:ascii="Times New Roman" w:hAnsi="Times New Roman" w:cs="Times New Roman"/>
          <w:color w:val="000000" w:themeColor="text1"/>
          <w:sz w:val="24"/>
          <w:szCs w:val="24"/>
        </w:rPr>
        <w:t>for</w:t>
      </w:r>
      <w:r w:rsidRPr="00B92BDF">
        <w:rPr>
          <w:rFonts w:ascii="Times New Roman" w:hAnsi="Times New Roman" w:cs="Times New Roman"/>
          <w:color w:val="000000" w:themeColor="text1"/>
          <w:sz w:val="24"/>
          <w:szCs w:val="24"/>
          <w:lang w:val="en-GB"/>
        </w:rPr>
        <w:t xml:space="preserve"> the presence of a unit root or, in other words, for stationarity. Two tests are suggested by the literature: augmented Dickey-Fuller (ADF) test and Kwiatkowski–Phillips–Schmidt–Shin (KPSS) test (Kwiatkowski et al., 1992</w:t>
      </w:r>
      <w:r w:rsidR="00F06614" w:rsidRPr="00B92BDF">
        <w:rPr>
          <w:rFonts w:ascii="Times New Roman" w:hAnsi="Times New Roman" w:cs="Times New Roman"/>
          <w:color w:val="000000" w:themeColor="text1"/>
          <w:sz w:val="24"/>
          <w:szCs w:val="24"/>
          <w:lang w:val="en-GB"/>
        </w:rPr>
        <w:t>;</w:t>
      </w:r>
      <w:r w:rsidRPr="00B92BDF">
        <w:rPr>
          <w:rFonts w:ascii="Times New Roman" w:hAnsi="Times New Roman" w:cs="Times New Roman"/>
          <w:color w:val="000000" w:themeColor="text1"/>
          <w:sz w:val="24"/>
          <w:szCs w:val="24"/>
          <w:lang w:val="en-GB"/>
        </w:rPr>
        <w:t xml:space="preserve"> Fuller, 1996).</w:t>
      </w:r>
    </w:p>
    <w:p w:rsidR="00A76009" w:rsidRPr="00B92BDF" w:rsidRDefault="00A76009" w:rsidP="00EA5EAB">
      <w:pPr>
        <w:spacing w:after="0" w:line="240" w:lineRule="auto"/>
        <w:jc w:val="both"/>
        <w:rPr>
          <w:rFonts w:ascii="Times New Roman" w:hAnsi="Times New Roman" w:cs="Times New Roman"/>
          <w:i/>
          <w:color w:val="000000" w:themeColor="text1"/>
          <w:sz w:val="24"/>
          <w:szCs w:val="24"/>
        </w:rPr>
      </w:pPr>
      <w:r w:rsidRPr="00B92BDF">
        <w:rPr>
          <w:rFonts w:ascii="Times New Roman" w:hAnsi="Times New Roman" w:cs="Times New Roman"/>
          <w:color w:val="000000" w:themeColor="text1"/>
          <w:sz w:val="24"/>
          <w:szCs w:val="24"/>
          <w:lang w:val="en-GB"/>
        </w:rPr>
        <w:tab/>
        <w:t xml:space="preserve">Additionally, it is advisable to calculate and plot the autocorrelation function (ACF) and the partial ACF (PACF) in order to determine the appropriate lags </w:t>
      </w:r>
      <w:r w:rsidRPr="00B92BDF">
        <w:rPr>
          <w:rFonts w:ascii="Times New Roman" w:hAnsi="Times New Roman" w:cs="Times New Roman"/>
          <w:i/>
          <w:color w:val="000000" w:themeColor="text1"/>
          <w:sz w:val="24"/>
          <w:szCs w:val="24"/>
          <w:lang w:val="en-GB"/>
        </w:rPr>
        <w:t>p</w:t>
      </w:r>
      <w:r w:rsidRPr="00B92BDF">
        <w:rPr>
          <w:rFonts w:ascii="Times New Roman" w:hAnsi="Times New Roman" w:cs="Times New Roman"/>
          <w:color w:val="000000" w:themeColor="text1"/>
          <w:sz w:val="24"/>
          <w:szCs w:val="24"/>
          <w:lang w:val="en-GB"/>
        </w:rPr>
        <w:t xml:space="preserve"> and </w:t>
      </w:r>
      <w:r w:rsidRPr="00B92BDF">
        <w:rPr>
          <w:rFonts w:ascii="Times New Roman" w:hAnsi="Times New Roman" w:cs="Times New Roman"/>
          <w:i/>
          <w:color w:val="000000" w:themeColor="text1"/>
          <w:sz w:val="24"/>
          <w:szCs w:val="24"/>
          <w:lang w:val="en-GB"/>
        </w:rPr>
        <w:t>q</w:t>
      </w:r>
      <w:r w:rsidRPr="00B92BDF">
        <w:rPr>
          <w:rFonts w:ascii="Times New Roman" w:hAnsi="Times New Roman" w:cs="Times New Roman"/>
          <w:color w:val="000000" w:themeColor="text1"/>
          <w:sz w:val="24"/>
          <w:szCs w:val="24"/>
          <w:lang w:val="en-GB"/>
        </w:rPr>
        <w:t xml:space="preserve"> in AR (</w:t>
      </w:r>
      <w:r w:rsidRPr="00B92BDF">
        <w:rPr>
          <w:rFonts w:ascii="Times New Roman" w:hAnsi="Times New Roman" w:cs="Times New Roman"/>
          <w:i/>
          <w:color w:val="000000" w:themeColor="text1"/>
          <w:sz w:val="24"/>
          <w:szCs w:val="24"/>
          <w:lang w:val="en-GB"/>
        </w:rPr>
        <w:t>p</w:t>
      </w:r>
      <w:r w:rsidRPr="00B92BDF">
        <w:rPr>
          <w:rFonts w:ascii="Times New Roman" w:hAnsi="Times New Roman" w:cs="Times New Roman"/>
          <w:color w:val="000000" w:themeColor="text1"/>
          <w:sz w:val="24"/>
          <w:szCs w:val="24"/>
          <w:lang w:val="en-GB"/>
        </w:rPr>
        <w:t>) and MA (</w:t>
      </w:r>
      <w:r w:rsidRPr="00B92BDF">
        <w:rPr>
          <w:rFonts w:ascii="Times New Roman" w:hAnsi="Times New Roman" w:cs="Times New Roman"/>
          <w:i/>
          <w:color w:val="000000" w:themeColor="text1"/>
          <w:sz w:val="24"/>
          <w:szCs w:val="24"/>
          <w:lang w:val="en-GB"/>
        </w:rPr>
        <w:t>q</w:t>
      </w:r>
      <w:r w:rsidRPr="00B92BDF">
        <w:rPr>
          <w:rFonts w:ascii="Times New Roman" w:hAnsi="Times New Roman" w:cs="Times New Roman"/>
          <w:color w:val="000000" w:themeColor="text1"/>
          <w:sz w:val="24"/>
          <w:szCs w:val="24"/>
          <w:lang w:val="en-GB"/>
        </w:rPr>
        <w:t>) components of an extended ARIMA (</w:t>
      </w:r>
      <w:r w:rsidRPr="00B92BDF">
        <w:rPr>
          <w:rFonts w:ascii="Times New Roman" w:hAnsi="Times New Roman" w:cs="Times New Roman"/>
          <w:i/>
          <w:color w:val="000000" w:themeColor="text1"/>
          <w:sz w:val="24"/>
          <w:szCs w:val="24"/>
          <w:lang w:val="en-GB"/>
        </w:rPr>
        <w:t>p, d, q</w:t>
      </w:r>
      <w:r w:rsidRPr="00B92BDF">
        <w:rPr>
          <w:rFonts w:ascii="Times New Roman" w:hAnsi="Times New Roman" w:cs="Times New Roman"/>
          <w:color w:val="000000" w:themeColor="text1"/>
          <w:sz w:val="24"/>
          <w:szCs w:val="24"/>
          <w:lang w:val="en-GB"/>
        </w:rPr>
        <w:t xml:space="preserve">) model. </w:t>
      </w:r>
      <w:r w:rsidRPr="00B92BDF">
        <w:rPr>
          <w:rFonts w:ascii="Times New Roman" w:hAnsi="Times New Roman" w:cs="Times New Roman"/>
          <w:bCs/>
          <w:color w:val="000000" w:themeColor="text1"/>
          <w:sz w:val="24"/>
          <w:szCs w:val="24"/>
          <w:shd w:val="clear" w:color="auto" w:fill="FFFFFF"/>
        </w:rPr>
        <w:t>Autocorrelation characterizes the</w:t>
      </w:r>
      <w:r w:rsidRPr="00B92BDF">
        <w:rPr>
          <w:rFonts w:ascii="Times New Roman" w:hAnsi="Times New Roman" w:cs="Times New Roman"/>
          <w:color w:val="000000" w:themeColor="text1"/>
          <w:sz w:val="24"/>
          <w:szCs w:val="24"/>
          <w:shd w:val="clear" w:color="auto" w:fill="FFFFFF"/>
        </w:rPr>
        <w:t xml:space="preserve"> similarity between observations as a function of the time lag between them. Partial autocorrelation gives the partial correlation of a time series with its own lagged values, controlling for the values of the time series at all shorter lags. The algorithm for estimating the ACF and PACF </w:t>
      </w:r>
      <w:proofErr w:type="gramStart"/>
      <w:r w:rsidRPr="00B92BDF">
        <w:rPr>
          <w:rFonts w:ascii="Times New Roman" w:hAnsi="Times New Roman" w:cs="Times New Roman"/>
          <w:color w:val="000000" w:themeColor="text1"/>
          <w:sz w:val="24"/>
          <w:szCs w:val="24"/>
          <w:shd w:val="clear" w:color="auto" w:fill="FFFFFF"/>
        </w:rPr>
        <w:t>is</w:t>
      </w:r>
      <w:proofErr w:type="gramEnd"/>
      <w:r w:rsidRPr="00B92BDF">
        <w:rPr>
          <w:rFonts w:ascii="Times New Roman" w:hAnsi="Times New Roman" w:cs="Times New Roman"/>
          <w:color w:val="000000" w:themeColor="text1"/>
          <w:sz w:val="24"/>
          <w:szCs w:val="24"/>
          <w:shd w:val="clear" w:color="auto" w:fill="FFFFFF"/>
        </w:rPr>
        <w:t xml:space="preserve"> introduced by </w:t>
      </w:r>
      <w:r w:rsidRPr="00B92BDF">
        <w:rPr>
          <w:rStyle w:val="HTMLCite"/>
          <w:rFonts w:ascii="Times New Roman" w:hAnsi="Times New Roman" w:cs="Times New Roman"/>
          <w:i w:val="0"/>
          <w:color w:val="000000" w:themeColor="text1"/>
          <w:sz w:val="24"/>
          <w:szCs w:val="24"/>
        </w:rPr>
        <w:t>Box, Jenkins and Reinsel (2008) and Brockwell and Davis (2009). General formula</w:t>
      </w:r>
      <w:r w:rsidR="00451C33" w:rsidRPr="00B92BDF">
        <w:rPr>
          <w:rStyle w:val="HTMLCite"/>
          <w:rFonts w:ascii="Times New Roman" w:hAnsi="Times New Roman" w:cs="Times New Roman"/>
          <w:i w:val="0"/>
          <w:color w:val="000000" w:themeColor="text1"/>
          <w:sz w:val="24"/>
          <w:szCs w:val="24"/>
        </w:rPr>
        <w:t>s</w:t>
      </w:r>
      <w:r w:rsidRPr="00B92BDF">
        <w:rPr>
          <w:rStyle w:val="HTMLCite"/>
          <w:rFonts w:ascii="Times New Roman" w:hAnsi="Times New Roman" w:cs="Times New Roman"/>
          <w:i w:val="0"/>
          <w:color w:val="000000" w:themeColor="text1"/>
          <w:sz w:val="24"/>
          <w:szCs w:val="24"/>
        </w:rPr>
        <w:t xml:space="preserve"> for calculations of the ACF and PACF of order k are presented below in equations (3) </w:t>
      </w:r>
      <w:r w:rsidRPr="00B92BDF">
        <w:rPr>
          <w:rFonts w:ascii="Times New Roman" w:hAnsi="Times New Roman" w:cs="Times New Roman"/>
          <w:i/>
          <w:color w:val="000000" w:themeColor="text1"/>
          <w:sz w:val="24"/>
          <w:szCs w:val="24"/>
          <w:lang w:val="en-GB"/>
        </w:rPr>
        <w:t>–</w:t>
      </w:r>
      <w:r w:rsidRPr="00B92BDF">
        <w:rPr>
          <w:rStyle w:val="HTMLCite"/>
          <w:rFonts w:ascii="Times New Roman" w:hAnsi="Times New Roman" w:cs="Times New Roman"/>
          <w:i w:val="0"/>
          <w:color w:val="000000" w:themeColor="text1"/>
          <w:sz w:val="24"/>
          <w:szCs w:val="24"/>
        </w:rPr>
        <w:t xml:space="preserve"> (5):</w:t>
      </w:r>
    </w:p>
    <w:p w:rsidR="00A76009" w:rsidRPr="00B92BDF" w:rsidRDefault="00A76009" w:rsidP="00EA5EAB">
      <w:pPr>
        <w:spacing w:after="0" w:line="240" w:lineRule="auto"/>
        <w:jc w:val="both"/>
        <w:rPr>
          <w:rFonts w:ascii="Times New Roman" w:hAnsi="Times New Roman" w:cs="Times New Roman"/>
          <w:color w:val="000000" w:themeColor="text1"/>
          <w:sz w:val="20"/>
          <w:szCs w:val="24"/>
        </w:rPr>
      </w:pPr>
    </w:p>
    <w:p w:rsidR="00A76009" w:rsidRPr="00B92BDF" w:rsidRDefault="00A76009" w:rsidP="00EA5EAB">
      <w:pPr>
        <w:spacing w:after="0" w:line="240" w:lineRule="auto"/>
        <w:jc w:val="both"/>
        <w:rPr>
          <w:rFonts w:ascii="Times New Roman"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m:t>ACF</m:t>
        </m:r>
        <m:d>
          <m:dPr>
            <m:ctrlPr>
              <w:rPr>
                <w:rFonts w:ascii="Cambria Math" w:hAnsi="Cambria Math" w:cs="Times New Roman"/>
                <w:i/>
                <w:color w:val="000000" w:themeColor="text1"/>
                <w:sz w:val="24"/>
                <w:szCs w:val="24"/>
                <w:shd w:val="clear" w:color="auto" w:fill="FFFFFF"/>
              </w:rPr>
            </m:ctrlPr>
          </m:dPr>
          <m:e>
            <m:r>
              <w:rPr>
                <w:rFonts w:ascii="Cambria Math" w:hAnsi="Cambria Math" w:cs="Times New Roman"/>
                <w:color w:val="000000" w:themeColor="text1"/>
                <w:sz w:val="24"/>
                <w:szCs w:val="24"/>
                <w:shd w:val="clear" w:color="auto" w:fill="FFFFFF"/>
              </w:rPr>
              <m:t>1</m:t>
            </m:r>
          </m:e>
        </m:d>
        <m:r>
          <w:rPr>
            <w:rFonts w:ascii="Cambria Math" w:hAnsi="Cambria Math" w:cs="Times New Roman"/>
            <w:color w:val="000000" w:themeColor="text1"/>
            <w:sz w:val="24"/>
            <w:szCs w:val="24"/>
            <w:shd w:val="clear" w:color="auto" w:fill="FFFFFF"/>
          </w:rPr>
          <m:t>= PACF</m:t>
        </m:r>
        <m:d>
          <m:dPr>
            <m:ctrlPr>
              <w:rPr>
                <w:rFonts w:ascii="Cambria Math" w:hAnsi="Cambria Math" w:cs="Times New Roman"/>
                <w:i/>
                <w:color w:val="000000" w:themeColor="text1"/>
                <w:sz w:val="24"/>
                <w:szCs w:val="24"/>
                <w:shd w:val="clear" w:color="auto" w:fill="FFFFFF"/>
              </w:rPr>
            </m:ctrlPr>
          </m:dPr>
          <m:e>
            <m:r>
              <w:rPr>
                <w:rFonts w:ascii="Cambria Math" w:hAnsi="Cambria Math" w:cs="Times New Roman"/>
                <w:color w:val="000000" w:themeColor="text1"/>
                <w:sz w:val="24"/>
                <w:szCs w:val="24"/>
                <w:shd w:val="clear" w:color="auto" w:fill="FFFFFF"/>
              </w:rPr>
              <m:t>1</m:t>
            </m:r>
          </m:e>
        </m:d>
        <m:r>
          <w:rPr>
            <w:rFonts w:ascii="Cambria Math" w:hAnsi="Cambria Math" w:cs="Times New Roman"/>
            <w:color w:val="000000" w:themeColor="text1"/>
            <w:sz w:val="24"/>
            <w:szCs w:val="24"/>
            <w:shd w:val="clear" w:color="auto" w:fill="FFFFFF"/>
          </w:rPr>
          <m:t>= corr(</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m:t>
            </m:r>
          </m:sub>
        </m:sSub>
        <m:r>
          <w:rPr>
            <w:rFonts w:ascii="Cambria Math" w:hAnsi="Cambria Math" w:cs="Times New Roman"/>
            <w:color w:val="000000" w:themeColor="text1"/>
            <w:sz w:val="24"/>
            <w:szCs w:val="24"/>
            <w:shd w:val="clear" w:color="auto" w:fill="FFFFFF"/>
          </w:rPr>
          <m:t xml:space="preserve">, </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t-1</m:t>
            </m:r>
          </m:sub>
        </m:sSub>
        <m:r>
          <w:rPr>
            <w:rFonts w:ascii="Cambria Math" w:hAnsi="Cambria Math" w:cs="Times New Roman"/>
            <w:color w:val="000000" w:themeColor="text1"/>
            <w:sz w:val="24"/>
            <w:szCs w:val="24"/>
            <w:shd w:val="clear" w:color="auto" w:fill="FFFFFF"/>
          </w:rPr>
          <m:t>)</m:t>
        </m:r>
      </m:oMath>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009A3454" w:rsidRPr="00B92BDF">
        <w:rPr>
          <w:rFonts w:ascii="Times New Roman" w:hAnsi="Times New Roman" w:cs="Times New Roman"/>
          <w:color w:val="000000" w:themeColor="text1"/>
          <w:sz w:val="24"/>
          <w:szCs w:val="24"/>
          <w:shd w:val="clear" w:color="auto" w:fill="FFFFFF"/>
        </w:rPr>
        <w:t xml:space="preserve">                                        </w:t>
      </w:r>
      <w:r w:rsidRPr="00B92BDF">
        <w:rPr>
          <w:rFonts w:ascii="Times New Roman" w:hAnsi="Times New Roman" w:cs="Times New Roman"/>
          <w:color w:val="000000" w:themeColor="text1"/>
          <w:sz w:val="24"/>
          <w:szCs w:val="24"/>
          <w:shd w:val="clear" w:color="auto" w:fill="FFFFFF"/>
        </w:rPr>
        <w:t>(3)</w:t>
      </w:r>
    </w:p>
    <w:p w:rsidR="00A76009" w:rsidRPr="00B92BDF" w:rsidRDefault="00A76009" w:rsidP="00EA5EAB">
      <w:pPr>
        <w:spacing w:after="0" w:line="240" w:lineRule="auto"/>
        <w:jc w:val="both"/>
        <w:rPr>
          <w:rFonts w:ascii="Times New Roman"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m:t>ACF</m:t>
        </m:r>
        <m:d>
          <m:dPr>
            <m:ctrlPr>
              <w:rPr>
                <w:rFonts w:ascii="Cambria Math" w:hAnsi="Cambria Math" w:cs="Times New Roman"/>
                <w:i/>
                <w:color w:val="000000" w:themeColor="text1"/>
                <w:sz w:val="24"/>
                <w:szCs w:val="24"/>
                <w:shd w:val="clear" w:color="auto" w:fill="FFFFFF"/>
              </w:rPr>
            </m:ctrlPr>
          </m:dPr>
          <m:e>
            <m:r>
              <w:rPr>
                <w:rFonts w:ascii="Cambria Math" w:hAnsi="Cambria Math" w:cs="Times New Roman"/>
                <w:color w:val="000000" w:themeColor="text1"/>
                <w:sz w:val="24"/>
                <w:szCs w:val="24"/>
                <w:shd w:val="clear" w:color="auto" w:fill="FFFFFF"/>
              </w:rPr>
              <m:t>k</m:t>
            </m:r>
          </m:e>
        </m:d>
        <m:r>
          <w:rPr>
            <w:rFonts w:ascii="Cambria Math" w:hAnsi="Cambria Math" w:cs="Times New Roman"/>
            <w:color w:val="000000" w:themeColor="text1"/>
            <w:sz w:val="24"/>
            <w:szCs w:val="24"/>
            <w:shd w:val="clear" w:color="auto" w:fill="FFFFFF"/>
          </w:rPr>
          <m:t>= corr(</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m:t>
            </m:r>
          </m:sub>
        </m:sSub>
        <m:r>
          <w:rPr>
            <w:rFonts w:ascii="Cambria Math" w:hAnsi="Cambria Math" w:cs="Times New Roman"/>
            <w:color w:val="000000" w:themeColor="text1"/>
            <w:sz w:val="24"/>
            <w:szCs w:val="24"/>
            <w:shd w:val="clear" w:color="auto" w:fill="FFFFFF"/>
          </w:rPr>
          <m:t xml:space="preserve">, </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t-k</m:t>
            </m:r>
          </m:sub>
        </m:sSub>
        <m:r>
          <w:rPr>
            <w:rFonts w:ascii="Cambria Math" w:hAnsi="Cambria Math" w:cs="Times New Roman"/>
            <w:color w:val="000000" w:themeColor="text1"/>
            <w:sz w:val="24"/>
            <w:szCs w:val="24"/>
            <w:shd w:val="clear" w:color="auto" w:fill="FFFFFF"/>
          </w:rPr>
          <m:t>)</m:t>
        </m:r>
      </m:oMath>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009A3454" w:rsidRPr="00B92BDF">
        <w:rPr>
          <w:rFonts w:ascii="Times New Roman" w:hAnsi="Times New Roman" w:cs="Times New Roman"/>
          <w:color w:val="000000" w:themeColor="text1"/>
          <w:sz w:val="24"/>
          <w:szCs w:val="24"/>
          <w:shd w:val="clear" w:color="auto" w:fill="FFFFFF"/>
        </w:rPr>
        <w:t xml:space="preserve">  </w:t>
      </w:r>
      <w:r w:rsidRPr="00B92BDF">
        <w:rPr>
          <w:rFonts w:ascii="Times New Roman" w:hAnsi="Times New Roman" w:cs="Times New Roman"/>
          <w:color w:val="000000" w:themeColor="text1"/>
          <w:sz w:val="24"/>
          <w:szCs w:val="24"/>
          <w:shd w:val="clear" w:color="auto" w:fill="FFFFFF"/>
        </w:rPr>
        <w:tab/>
      </w:r>
      <w:r w:rsidR="009A3454" w:rsidRPr="00B92BDF">
        <w:rPr>
          <w:rFonts w:ascii="Times New Roman" w:hAnsi="Times New Roman" w:cs="Times New Roman"/>
          <w:color w:val="000000" w:themeColor="text1"/>
          <w:sz w:val="24"/>
          <w:szCs w:val="24"/>
          <w:shd w:val="clear" w:color="auto" w:fill="FFFFFF"/>
        </w:rPr>
        <w:t xml:space="preserve">                                                    </w:t>
      </w:r>
      <w:r w:rsidRPr="00B92BDF">
        <w:rPr>
          <w:rFonts w:ascii="Times New Roman" w:hAnsi="Times New Roman" w:cs="Times New Roman"/>
          <w:color w:val="000000" w:themeColor="text1"/>
          <w:sz w:val="24"/>
          <w:szCs w:val="24"/>
          <w:shd w:val="clear" w:color="auto" w:fill="FFFFFF"/>
        </w:rPr>
        <w:t>(4)</w:t>
      </w:r>
    </w:p>
    <w:p w:rsidR="00A76009" w:rsidRPr="00B92BDF" w:rsidRDefault="00A76009" w:rsidP="00EA5EAB">
      <w:pPr>
        <w:spacing w:after="0" w:line="240" w:lineRule="auto"/>
        <w:jc w:val="both"/>
        <w:rPr>
          <w:rFonts w:ascii="Times New Roman"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m:t>PACF</m:t>
        </m:r>
        <m:d>
          <m:dPr>
            <m:ctrlPr>
              <w:rPr>
                <w:rFonts w:ascii="Cambria Math" w:hAnsi="Cambria Math" w:cs="Times New Roman"/>
                <w:i/>
                <w:color w:val="000000" w:themeColor="text1"/>
                <w:sz w:val="24"/>
                <w:szCs w:val="24"/>
                <w:shd w:val="clear" w:color="auto" w:fill="FFFFFF"/>
              </w:rPr>
            </m:ctrlPr>
          </m:dPr>
          <m:e>
            <m:r>
              <w:rPr>
                <w:rFonts w:ascii="Cambria Math" w:hAnsi="Cambria Math" w:cs="Times New Roman"/>
                <w:color w:val="000000" w:themeColor="text1"/>
                <w:sz w:val="24"/>
                <w:szCs w:val="24"/>
                <w:shd w:val="clear" w:color="auto" w:fill="FFFFFF"/>
              </w:rPr>
              <m:t>k</m:t>
            </m:r>
          </m:e>
        </m:d>
        <m:r>
          <w:rPr>
            <w:rFonts w:ascii="Cambria Math" w:hAnsi="Cambria Math" w:cs="Times New Roman"/>
            <w:color w:val="000000" w:themeColor="text1"/>
            <w:sz w:val="24"/>
            <w:szCs w:val="24"/>
            <w:shd w:val="clear" w:color="auto" w:fill="FFFFFF"/>
          </w:rPr>
          <m:t>= corr</m:t>
        </m:r>
        <m:d>
          <m:dPr>
            <m:ctrlPr>
              <w:rPr>
                <w:rFonts w:ascii="Cambria Math" w:hAnsi="Cambria Math" w:cs="Times New Roman"/>
                <w:i/>
                <w:color w:val="000000" w:themeColor="text1"/>
                <w:sz w:val="24"/>
                <w:szCs w:val="24"/>
                <w:shd w:val="clear" w:color="auto" w:fill="FFFFFF"/>
              </w:rPr>
            </m:ctrlPr>
          </m:dPr>
          <m:e>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m:t>
                </m:r>
              </m:sub>
            </m:sSub>
            <m:r>
              <w:rPr>
                <w:rFonts w:ascii="Cambria Math" w:hAnsi="Cambria Math" w:cs="Times New Roman"/>
                <w:color w:val="000000" w:themeColor="text1"/>
                <w:sz w:val="24"/>
                <w:szCs w:val="24"/>
                <w:shd w:val="clear" w:color="auto" w:fill="FFFFFF"/>
              </w:rPr>
              <m:t xml:space="preserve">- </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P</m:t>
                </m:r>
              </m:e>
              <m:sub>
                <m:r>
                  <w:rPr>
                    <w:rFonts w:ascii="Cambria Math" w:hAnsi="Cambria Math" w:cs="Times New Roman"/>
                    <w:color w:val="000000" w:themeColor="text1"/>
                    <w:sz w:val="24"/>
                    <w:szCs w:val="24"/>
                    <w:shd w:val="clear" w:color="auto" w:fill="FFFFFF"/>
                  </w:rPr>
                  <m:t>t, k</m:t>
                </m:r>
              </m:sub>
            </m:sSub>
            <m:r>
              <w:rPr>
                <w:rFonts w:ascii="Cambria Math" w:hAnsi="Cambria Math" w:cs="Times New Roman"/>
                <w:color w:val="000000" w:themeColor="text1"/>
                <w:sz w:val="24"/>
                <w:szCs w:val="24"/>
                <w:shd w:val="clear" w:color="auto" w:fill="FFFFFF"/>
              </w:rPr>
              <m:t>(</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m:t>
                </m:r>
              </m:sub>
            </m:sSub>
          </m:e>
        </m:d>
        <m:r>
          <w:rPr>
            <w:rFonts w:ascii="Cambria Math" w:hAnsi="Cambria Math" w:cs="Times New Roman"/>
            <w:color w:val="000000" w:themeColor="text1"/>
            <w:sz w:val="24"/>
            <w:szCs w:val="24"/>
            <w:shd w:val="clear" w:color="auto" w:fill="FFFFFF"/>
          </w:rPr>
          <m:t xml:space="preserve">, </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m:t>
            </m:r>
          </m:sub>
        </m:sSub>
        <m:r>
          <w:rPr>
            <w:rFonts w:ascii="Cambria Math" w:hAnsi="Cambria Math" w:cs="Times New Roman"/>
            <w:color w:val="000000" w:themeColor="text1"/>
            <w:sz w:val="24"/>
            <w:szCs w:val="24"/>
            <w:shd w:val="clear" w:color="auto" w:fill="FFFFFF"/>
          </w:rPr>
          <m:t xml:space="preserve">- </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P</m:t>
            </m:r>
          </m:e>
          <m:sub>
            <m:r>
              <w:rPr>
                <w:rFonts w:ascii="Cambria Math" w:hAnsi="Cambria Math" w:cs="Times New Roman"/>
                <w:color w:val="000000" w:themeColor="text1"/>
                <w:sz w:val="24"/>
                <w:szCs w:val="24"/>
                <w:shd w:val="clear" w:color="auto" w:fill="FFFFFF"/>
              </w:rPr>
              <m:t>t, k</m:t>
            </m:r>
          </m:sub>
        </m:sSub>
        <m:r>
          <w:rPr>
            <w:rFonts w:ascii="Cambria Math" w:hAnsi="Cambria Math" w:cs="Times New Roman"/>
            <w:color w:val="000000" w:themeColor="text1"/>
            <w:sz w:val="24"/>
            <w:szCs w:val="24"/>
            <w:shd w:val="clear" w:color="auto" w:fill="FFFFFF"/>
          </w:rPr>
          <m:t>(</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t-k</m:t>
            </m:r>
          </m:sub>
        </m:sSub>
        <m:r>
          <w:rPr>
            <w:rFonts w:ascii="Cambria Math" w:hAnsi="Cambria Math" w:cs="Times New Roman"/>
            <w:color w:val="000000" w:themeColor="text1"/>
            <w:sz w:val="24"/>
            <w:szCs w:val="24"/>
            <w:shd w:val="clear" w:color="auto" w:fill="FFFFFF"/>
          </w:rPr>
          <m:t>))</m:t>
        </m:r>
      </m:oMath>
      <w:r w:rsidRPr="00B92BDF">
        <w:rPr>
          <w:rFonts w:ascii="Times New Roman" w:hAnsi="Times New Roman" w:cs="Times New Roman"/>
          <w:color w:val="000000" w:themeColor="text1"/>
          <w:sz w:val="24"/>
          <w:szCs w:val="24"/>
          <w:shd w:val="clear" w:color="auto" w:fill="FFFFFF"/>
        </w:rPr>
        <w:t>,</w:t>
      </w:r>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Pr="00B92BDF">
        <w:rPr>
          <w:rFonts w:ascii="Times New Roman" w:hAnsi="Times New Roman" w:cs="Times New Roman"/>
          <w:color w:val="000000" w:themeColor="text1"/>
          <w:sz w:val="24"/>
          <w:szCs w:val="24"/>
          <w:shd w:val="clear" w:color="auto" w:fill="FFFFFF"/>
        </w:rPr>
        <w:tab/>
      </w:r>
      <w:r w:rsidR="009A3454" w:rsidRPr="00B92BDF">
        <w:rPr>
          <w:rFonts w:ascii="Times New Roman" w:hAnsi="Times New Roman" w:cs="Times New Roman"/>
          <w:color w:val="000000" w:themeColor="text1"/>
          <w:sz w:val="24"/>
          <w:szCs w:val="24"/>
          <w:shd w:val="clear" w:color="auto" w:fill="FFFFFF"/>
        </w:rPr>
        <w:t xml:space="preserve">                            </w:t>
      </w:r>
      <w:r w:rsidRPr="00B92BDF">
        <w:rPr>
          <w:rFonts w:ascii="Times New Roman" w:hAnsi="Times New Roman" w:cs="Times New Roman"/>
          <w:color w:val="000000" w:themeColor="text1"/>
          <w:sz w:val="24"/>
          <w:szCs w:val="24"/>
          <w:shd w:val="clear" w:color="auto" w:fill="FFFFFF"/>
        </w:rPr>
        <w:t>(5)</w:t>
      </w:r>
    </w:p>
    <w:p w:rsidR="00A76009" w:rsidRPr="00B92BDF" w:rsidRDefault="00A76009" w:rsidP="00EA5EAB">
      <w:pPr>
        <w:spacing w:after="0" w:line="240" w:lineRule="auto"/>
        <w:jc w:val="both"/>
        <w:rPr>
          <w:rFonts w:ascii="Times New Roman" w:hAnsi="Times New Roman" w:cs="Times New Roman"/>
          <w:color w:val="000000" w:themeColor="text1"/>
          <w:sz w:val="20"/>
          <w:szCs w:val="24"/>
          <w:shd w:val="clear" w:color="auto" w:fill="FFFFFF"/>
        </w:rPr>
      </w:pPr>
    </w:p>
    <w:p w:rsidR="00A76009" w:rsidRPr="00B92BDF" w:rsidRDefault="003E4D4F" w:rsidP="00EA5EAB">
      <w:pPr>
        <w:spacing w:after="0" w:line="240" w:lineRule="auto"/>
        <w:jc w:val="both"/>
        <w:rPr>
          <w:rFonts w:ascii="Times New Roman" w:hAnsi="Times New Roman" w:cs="Times New Roman"/>
          <w:color w:val="000000" w:themeColor="text1"/>
          <w:sz w:val="24"/>
          <w:szCs w:val="24"/>
          <w:shd w:val="clear" w:color="auto" w:fill="FFFFFF"/>
        </w:rPr>
      </w:pPr>
      <w:r w:rsidRPr="00B92BDF">
        <w:rPr>
          <w:rFonts w:ascii="Times New Roman" w:hAnsi="Times New Roman" w:cs="Times New Roman"/>
          <w:color w:val="000000" w:themeColor="text1"/>
          <w:sz w:val="24"/>
          <w:szCs w:val="24"/>
          <w:shd w:val="clear" w:color="auto" w:fill="FFFFFF"/>
        </w:rPr>
        <w:t>W</w:t>
      </w:r>
      <w:r w:rsidR="00A76009" w:rsidRPr="00B92BDF">
        <w:rPr>
          <w:rFonts w:ascii="Times New Roman" w:hAnsi="Times New Roman" w:cs="Times New Roman"/>
          <w:color w:val="000000" w:themeColor="text1"/>
          <w:sz w:val="24"/>
          <w:szCs w:val="24"/>
          <w:shd w:val="clear" w:color="auto" w:fill="FFFFFF"/>
        </w:rPr>
        <w:t xml:space="preserve">here </w:t>
      </w:r>
      <m:oMath>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P</m:t>
            </m:r>
          </m:e>
          <m:sub>
            <m:r>
              <w:rPr>
                <w:rFonts w:ascii="Cambria Math" w:hAnsi="Cambria Math" w:cs="Times New Roman"/>
                <w:color w:val="000000" w:themeColor="text1"/>
                <w:sz w:val="24"/>
                <w:szCs w:val="24"/>
                <w:shd w:val="clear" w:color="auto" w:fill="FFFFFF"/>
              </w:rPr>
              <m:t>t, k</m:t>
            </m:r>
          </m:sub>
        </m:sSub>
        <m:d>
          <m:dPr>
            <m:ctrlPr>
              <w:rPr>
                <w:rFonts w:ascii="Cambria Math" w:hAnsi="Cambria Math" w:cs="Times New Roman"/>
                <w:i/>
                <w:color w:val="000000" w:themeColor="text1"/>
                <w:sz w:val="24"/>
                <w:szCs w:val="24"/>
                <w:shd w:val="clear" w:color="auto" w:fill="FFFFFF"/>
              </w:rPr>
            </m:ctrlPr>
          </m:dPr>
          <m:e>
            <m:r>
              <w:rPr>
                <w:rFonts w:ascii="Cambria Math" w:hAnsi="Cambria Math" w:cs="Times New Roman"/>
                <w:color w:val="000000" w:themeColor="text1"/>
                <w:sz w:val="24"/>
                <w:szCs w:val="24"/>
                <w:shd w:val="clear" w:color="auto" w:fill="FFFFFF"/>
              </w:rPr>
              <m:t>y</m:t>
            </m:r>
          </m:e>
        </m:d>
        <m:r>
          <w:rPr>
            <w:rFonts w:ascii="Cambria Math" w:hAnsi="Cambria Math" w:cs="Times New Roman"/>
            <w:color w:val="000000" w:themeColor="text1"/>
            <w:sz w:val="24"/>
            <w:szCs w:val="24"/>
            <w:shd w:val="clear" w:color="auto" w:fill="FFFFFF"/>
          </w:rPr>
          <m:t xml:space="preserve">- </m:t>
        </m:r>
      </m:oMath>
      <w:r w:rsidR="00A76009" w:rsidRPr="00B92BDF">
        <w:rPr>
          <w:rFonts w:ascii="Times New Roman" w:hAnsi="Times New Roman" w:cs="Times New Roman"/>
          <w:color w:val="000000" w:themeColor="text1"/>
          <w:sz w:val="24"/>
          <w:szCs w:val="24"/>
          <w:shd w:val="clear" w:color="auto" w:fill="FFFFFF"/>
        </w:rPr>
        <w:t xml:space="preserve">the projection of the argument </w:t>
      </w:r>
      <m:oMath>
        <m:r>
          <w:rPr>
            <w:rFonts w:ascii="Cambria Math" w:hAnsi="Cambria Math" w:cs="Times New Roman"/>
            <w:color w:val="000000" w:themeColor="text1"/>
            <w:sz w:val="24"/>
            <w:szCs w:val="24"/>
            <w:shd w:val="clear" w:color="auto" w:fill="FFFFFF"/>
          </w:rPr>
          <m:t>y</m:t>
        </m:r>
      </m:oMath>
      <w:r w:rsidR="00A76009" w:rsidRPr="00B92BDF">
        <w:rPr>
          <w:rFonts w:ascii="Times New Roman" w:hAnsi="Times New Roman" w:cs="Times New Roman"/>
          <w:color w:val="000000" w:themeColor="text1"/>
          <w:sz w:val="24"/>
          <w:szCs w:val="24"/>
          <w:shd w:val="clear" w:color="auto" w:fill="FFFFFF"/>
        </w:rPr>
        <w:t xml:space="preserve"> onto the space spanned by </w:t>
      </w:r>
      <m:oMath>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t+1</m:t>
            </m:r>
          </m:sub>
        </m:sSub>
        <m:r>
          <w:rPr>
            <w:rFonts w:ascii="Cambria Math" w:hAnsi="Cambria Math" w:cs="Times New Roman"/>
            <w:color w:val="000000" w:themeColor="text1"/>
            <w:sz w:val="24"/>
            <w:szCs w:val="24"/>
            <w:shd w:val="clear" w:color="auto" w:fill="FFFFFF"/>
          </w:rPr>
          <m:t xml:space="preserve">, …, </m:t>
        </m:r>
        <m:sSub>
          <m:sSubPr>
            <m:ctrlPr>
              <w:rPr>
                <w:rFonts w:ascii="Cambria Math" w:hAnsi="Cambria Math" w:cs="Times New Roman"/>
                <w:i/>
                <w:color w:val="000000" w:themeColor="text1"/>
                <w:sz w:val="24"/>
                <w:szCs w:val="24"/>
                <w:shd w:val="clear" w:color="auto" w:fill="FFFFFF"/>
              </w:rPr>
            </m:ctrlPr>
          </m:sSubPr>
          <m:e>
            <m:r>
              <w:rPr>
                <w:rFonts w:ascii="Cambria Math" w:hAnsi="Cambria Math" w:cs="Times New Roman"/>
                <w:color w:val="000000" w:themeColor="text1"/>
                <w:sz w:val="24"/>
                <w:szCs w:val="24"/>
                <w:shd w:val="clear" w:color="auto" w:fill="FFFFFF"/>
              </w:rPr>
              <m:t>y</m:t>
            </m:r>
          </m:e>
          <m:sub>
            <m:r>
              <w:rPr>
                <w:rFonts w:ascii="Cambria Math" w:hAnsi="Cambria Math" w:cs="Times New Roman"/>
                <w:color w:val="000000" w:themeColor="text1"/>
                <w:sz w:val="24"/>
                <w:szCs w:val="24"/>
                <w:shd w:val="clear" w:color="auto" w:fill="FFFFFF"/>
              </w:rPr>
              <m:t>t+k-1</m:t>
            </m:r>
          </m:sub>
        </m:sSub>
        <m:r>
          <w:rPr>
            <w:rFonts w:ascii="Cambria Math" w:hAnsi="Cambria Math" w:cs="Times New Roman"/>
            <w:color w:val="000000" w:themeColor="text1"/>
            <w:sz w:val="24"/>
            <w:szCs w:val="24"/>
            <w:shd w:val="clear" w:color="auto" w:fill="FFFFFF"/>
          </w:rPr>
          <m:t xml:space="preserve">. </m:t>
        </m:r>
      </m:oMath>
    </w:p>
    <w:p w:rsidR="003E4D4F" w:rsidRPr="00B92BDF" w:rsidRDefault="003E4D4F" w:rsidP="00EA5EAB">
      <w:pPr>
        <w:spacing w:after="0" w:line="240" w:lineRule="auto"/>
        <w:ind w:firstLine="708"/>
        <w:jc w:val="both"/>
        <w:rPr>
          <w:rFonts w:ascii="Times New Roman" w:hAnsi="Times New Roman" w:cs="Times New Roman"/>
          <w:color w:val="000000" w:themeColor="text1"/>
          <w:sz w:val="24"/>
          <w:szCs w:val="24"/>
          <w:lang w:val="en-GB"/>
        </w:rPr>
      </w:pP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The final choice about the order of </w:t>
      </w:r>
      <w:r w:rsidR="00451C33"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ARIMA model is made on the basis of </w:t>
      </w:r>
      <w:r w:rsidR="00451C33"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Akaike information criterion (AIC) and </w:t>
      </w:r>
      <w:r w:rsidR="00451C33"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bCs/>
          <w:color w:val="000000" w:themeColor="text1"/>
          <w:sz w:val="24"/>
          <w:szCs w:val="24"/>
          <w:lang w:val="en-GB"/>
        </w:rPr>
        <w:t>Bayesian information criterion (BIC</w:t>
      </w:r>
      <w:r w:rsidRPr="00B92BDF">
        <w:rPr>
          <w:rFonts w:ascii="Times New Roman" w:hAnsi="Times New Roman" w:cs="Times New Roman"/>
          <w:color w:val="000000" w:themeColor="text1"/>
          <w:sz w:val="24"/>
          <w:szCs w:val="24"/>
          <w:lang w:val="en-GB"/>
        </w:rPr>
        <w:t xml:space="preserve">). The AIC and BIC are the estimators of the relative quality of statistical models for a given set of data. They provide the trade-off between the goodness of fit of the model and the simplicity of the model introducing a penalty term for the number of parameters in the model (Sakamoto et al., 1986; Schwarz, 1978). </w:t>
      </w:r>
      <w:proofErr w:type="gramStart"/>
      <w:r w:rsidRPr="00B92BDF">
        <w:rPr>
          <w:rFonts w:ascii="Times New Roman" w:hAnsi="Times New Roman" w:cs="Times New Roman"/>
          <w:color w:val="000000" w:themeColor="text1"/>
          <w:sz w:val="24"/>
          <w:szCs w:val="24"/>
          <w:lang w:val="en-GB"/>
        </w:rPr>
        <w:t>When comparing models fitted by maximum likelihood</w:t>
      </w:r>
      <w:r w:rsidR="00451C33" w:rsidRPr="00B92BDF">
        <w:rPr>
          <w:rFonts w:ascii="Times New Roman" w:hAnsi="Times New Roman" w:cs="Times New Roman"/>
          <w:color w:val="000000" w:themeColor="text1"/>
          <w:sz w:val="24"/>
          <w:szCs w:val="24"/>
          <w:lang w:val="en-GB"/>
        </w:rPr>
        <w:t xml:space="preserve"> to the same data, the smaller </w:t>
      </w:r>
      <w:r w:rsidRPr="00B92BDF">
        <w:rPr>
          <w:rFonts w:ascii="Times New Roman" w:hAnsi="Times New Roman" w:cs="Times New Roman"/>
          <w:color w:val="000000" w:themeColor="text1"/>
          <w:sz w:val="24"/>
          <w:szCs w:val="24"/>
          <w:lang w:val="en-GB"/>
        </w:rPr>
        <w:t>the AIC or BIC</w:t>
      </w:r>
      <w:r w:rsidR="00451C33" w:rsidRPr="00B92BDF">
        <w:rPr>
          <w:rFonts w:ascii="Times New Roman" w:hAnsi="Times New Roman" w:cs="Times New Roman"/>
          <w:color w:val="000000" w:themeColor="text1"/>
          <w:sz w:val="24"/>
          <w:szCs w:val="24"/>
          <w:lang w:val="en-GB"/>
        </w:rPr>
        <w:t xml:space="preserve"> is</w:t>
      </w:r>
      <w:r w:rsidRPr="00B92BDF">
        <w:rPr>
          <w:rFonts w:ascii="Times New Roman" w:hAnsi="Times New Roman" w:cs="Times New Roman"/>
          <w:color w:val="000000" w:themeColor="text1"/>
          <w:sz w:val="24"/>
          <w:szCs w:val="24"/>
          <w:lang w:val="en-GB"/>
        </w:rPr>
        <w:t>, the better</w:t>
      </w:r>
      <w:r w:rsidR="00451C33"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the model.</w:t>
      </w:r>
      <w:proofErr w:type="gramEnd"/>
      <w:r w:rsidRPr="00B92BDF">
        <w:rPr>
          <w:rFonts w:ascii="Times New Roman" w:hAnsi="Times New Roman" w:cs="Times New Roman"/>
          <w:color w:val="000000" w:themeColor="text1"/>
          <w:sz w:val="24"/>
          <w:szCs w:val="24"/>
          <w:lang w:val="en-GB"/>
        </w:rPr>
        <w:t xml:space="preserve"> AIC and BIC are formally defined as follows:</w:t>
      </w:r>
    </w:p>
    <w:p w:rsidR="00A76009" w:rsidRPr="00B92BDF" w:rsidRDefault="00A76009" w:rsidP="00EA5EAB">
      <w:pPr>
        <w:spacing w:after="0" w:line="240" w:lineRule="auto"/>
        <w:jc w:val="both"/>
        <w:rPr>
          <w:rFonts w:ascii="Times New Roman" w:hAnsi="Times New Roman" w:cs="Times New Roman"/>
          <w:color w:val="000000" w:themeColor="text1"/>
          <w:sz w:val="20"/>
          <w:szCs w:val="24"/>
          <w:lang w:val="en-GB"/>
        </w:rPr>
      </w:pPr>
    </w:p>
    <w:p w:rsidR="00A76009" w:rsidRPr="00B92BDF" w:rsidRDefault="00A76009" w:rsidP="00EA5EAB">
      <w:pPr>
        <w:pStyle w:val="NormalWeb"/>
        <w:spacing w:before="0" w:beforeAutospacing="0" w:after="0" w:afterAutospacing="0"/>
        <w:jc w:val="both"/>
        <w:rPr>
          <w:color w:val="000000" w:themeColor="text1"/>
          <w:lang w:val="en-GB"/>
        </w:rPr>
      </w:pPr>
      <m:oMath>
        <m:r>
          <w:rPr>
            <w:rFonts w:ascii="Cambria Math" w:hAnsi="Cambria Math"/>
            <w:color w:val="000000" w:themeColor="text1"/>
            <w:lang w:val="en-GB"/>
          </w:rPr>
          <m:t>AIC=2k-2</m:t>
        </m:r>
        <m:func>
          <m:funcPr>
            <m:ctrlPr>
              <w:rPr>
                <w:rFonts w:ascii="Cambria Math" w:hAnsi="Cambria Math"/>
                <w:i/>
                <w:color w:val="000000" w:themeColor="text1"/>
                <w:lang w:val="en-GB"/>
              </w:rPr>
            </m:ctrlPr>
          </m:funcPr>
          <m:fName>
            <m:r>
              <m:rPr>
                <m:sty m:val="p"/>
              </m:rPr>
              <w:rPr>
                <w:rFonts w:ascii="Cambria Math" w:hAnsi="Cambria Math"/>
                <w:color w:val="000000" w:themeColor="text1"/>
                <w:lang w:val="en-GB"/>
              </w:rPr>
              <m:t>ln</m:t>
            </m:r>
          </m:fName>
          <m:e>
            <m:r>
              <w:rPr>
                <w:rFonts w:ascii="Cambria Math" w:hAnsi="Cambria Math"/>
                <w:color w:val="000000" w:themeColor="text1"/>
                <w:lang w:val="en-GB"/>
              </w:rPr>
              <m:t>L</m:t>
            </m:r>
          </m:e>
        </m:func>
      </m:oMath>
      <w:r w:rsidRPr="00B92BDF">
        <w:rPr>
          <w:color w:val="000000" w:themeColor="text1"/>
          <w:lang w:val="en-GB"/>
        </w:rPr>
        <w:tab/>
      </w:r>
      <w:r w:rsidRPr="00B92BDF">
        <w:rPr>
          <w:color w:val="000000" w:themeColor="text1"/>
          <w:lang w:val="en-GB"/>
        </w:rPr>
        <w:tab/>
      </w:r>
      <w:r w:rsidRPr="00B92BDF">
        <w:rPr>
          <w:color w:val="000000" w:themeColor="text1"/>
          <w:lang w:val="en-GB"/>
        </w:rPr>
        <w:tab/>
      </w:r>
      <w:r w:rsidRPr="00B92BDF">
        <w:rPr>
          <w:color w:val="000000" w:themeColor="text1"/>
          <w:lang w:val="en-GB"/>
        </w:rPr>
        <w:tab/>
      </w:r>
      <w:r w:rsidRPr="00B92BDF">
        <w:rPr>
          <w:color w:val="000000" w:themeColor="text1"/>
          <w:lang w:val="en-GB"/>
        </w:rPr>
        <w:tab/>
      </w:r>
      <w:r w:rsidRPr="00B92BDF">
        <w:rPr>
          <w:color w:val="000000" w:themeColor="text1"/>
          <w:lang w:val="en-GB"/>
        </w:rPr>
        <w:tab/>
      </w:r>
      <w:r w:rsidR="009A3454" w:rsidRPr="00B92BDF">
        <w:rPr>
          <w:color w:val="000000" w:themeColor="text1"/>
          <w:lang w:val="en-GB"/>
        </w:rPr>
        <w:t xml:space="preserve">                                                    </w:t>
      </w:r>
      <w:r w:rsidRPr="00B92BDF">
        <w:rPr>
          <w:color w:val="000000" w:themeColor="text1"/>
          <w:lang w:val="en-GB"/>
        </w:rPr>
        <w:t>(6)</w:t>
      </w:r>
    </w:p>
    <w:p w:rsidR="00A76009" w:rsidRPr="00B92BDF" w:rsidRDefault="00A76009" w:rsidP="00EA5EAB">
      <w:pPr>
        <w:pStyle w:val="NormalWeb"/>
        <w:spacing w:before="0" w:beforeAutospacing="0" w:after="0" w:afterAutospacing="0"/>
        <w:jc w:val="both"/>
        <w:rPr>
          <w:color w:val="000000" w:themeColor="text1"/>
          <w:lang w:val="en-GB"/>
        </w:rPr>
      </w:pPr>
      <m:oMath>
        <m:r>
          <w:rPr>
            <w:rFonts w:ascii="Cambria Math" w:hAnsi="Cambria Math"/>
            <w:color w:val="000000" w:themeColor="text1"/>
            <w:lang w:val="en-GB"/>
          </w:rPr>
          <m:t>BIC=k×</m:t>
        </m:r>
        <m:func>
          <m:funcPr>
            <m:ctrlPr>
              <w:rPr>
                <w:rFonts w:ascii="Cambria Math" w:hAnsi="Cambria Math"/>
                <w:i/>
                <w:color w:val="000000" w:themeColor="text1"/>
                <w:lang w:val="en-GB"/>
              </w:rPr>
            </m:ctrlPr>
          </m:funcPr>
          <m:fName>
            <m:r>
              <m:rPr>
                <m:sty m:val="p"/>
              </m:rPr>
              <w:rPr>
                <w:rFonts w:ascii="Cambria Math" w:hAnsi="Cambria Math"/>
                <w:color w:val="000000" w:themeColor="text1"/>
                <w:lang w:val="en-GB"/>
              </w:rPr>
              <m:t>ln</m:t>
            </m:r>
          </m:fName>
          <m:e>
            <m:r>
              <w:rPr>
                <w:rFonts w:ascii="Cambria Math" w:hAnsi="Cambria Math"/>
                <w:color w:val="000000" w:themeColor="text1"/>
                <w:lang w:val="en-GB"/>
              </w:rPr>
              <m:t>n</m:t>
            </m:r>
          </m:e>
        </m:func>
        <m:r>
          <w:rPr>
            <w:rFonts w:ascii="Cambria Math" w:hAnsi="Cambria Math"/>
            <w:color w:val="000000" w:themeColor="text1"/>
            <w:lang w:val="en-GB"/>
          </w:rPr>
          <m:t>-2</m:t>
        </m:r>
        <m:func>
          <m:funcPr>
            <m:ctrlPr>
              <w:rPr>
                <w:rFonts w:ascii="Cambria Math" w:hAnsi="Cambria Math"/>
                <w:i/>
                <w:color w:val="000000" w:themeColor="text1"/>
                <w:lang w:val="en-GB"/>
              </w:rPr>
            </m:ctrlPr>
          </m:funcPr>
          <m:fName>
            <m:r>
              <m:rPr>
                <m:sty m:val="p"/>
              </m:rPr>
              <w:rPr>
                <w:rFonts w:ascii="Cambria Math" w:hAnsi="Cambria Math"/>
                <w:color w:val="000000" w:themeColor="text1"/>
                <w:lang w:val="en-GB"/>
              </w:rPr>
              <m:t>ln</m:t>
            </m:r>
          </m:fName>
          <m:e>
            <m:r>
              <w:rPr>
                <w:rFonts w:ascii="Cambria Math" w:hAnsi="Cambria Math"/>
                <w:color w:val="000000" w:themeColor="text1"/>
                <w:lang w:val="en-GB"/>
              </w:rPr>
              <m:t>L</m:t>
            </m:r>
          </m:e>
        </m:func>
      </m:oMath>
      <w:r w:rsidRPr="00B92BDF">
        <w:rPr>
          <w:color w:val="000000" w:themeColor="text1"/>
          <w:lang w:val="en-GB"/>
        </w:rPr>
        <w:t>,</w:t>
      </w:r>
      <w:r w:rsidRPr="00B92BDF">
        <w:rPr>
          <w:color w:val="000000" w:themeColor="text1"/>
          <w:lang w:val="en-GB"/>
        </w:rPr>
        <w:tab/>
      </w:r>
      <w:r w:rsidRPr="00B92BDF">
        <w:rPr>
          <w:color w:val="000000" w:themeColor="text1"/>
          <w:lang w:val="en-GB"/>
        </w:rPr>
        <w:tab/>
      </w:r>
      <w:r w:rsidRPr="00B92BDF">
        <w:rPr>
          <w:color w:val="000000" w:themeColor="text1"/>
          <w:lang w:val="en-GB"/>
        </w:rPr>
        <w:tab/>
      </w:r>
      <w:r w:rsidRPr="00B92BDF">
        <w:rPr>
          <w:color w:val="000000" w:themeColor="text1"/>
          <w:lang w:val="en-GB"/>
        </w:rPr>
        <w:tab/>
      </w:r>
      <w:r w:rsidRPr="00B92BDF">
        <w:rPr>
          <w:color w:val="000000" w:themeColor="text1"/>
          <w:lang w:val="en-GB"/>
        </w:rPr>
        <w:tab/>
      </w:r>
      <w:r w:rsidR="009A3454" w:rsidRPr="00B92BDF">
        <w:rPr>
          <w:color w:val="000000" w:themeColor="text1"/>
          <w:lang w:val="en-GB"/>
        </w:rPr>
        <w:t xml:space="preserve">                                                    </w:t>
      </w:r>
      <w:r w:rsidRPr="00B92BDF">
        <w:rPr>
          <w:color w:val="000000" w:themeColor="text1"/>
          <w:lang w:val="en-GB"/>
        </w:rPr>
        <w:t>(7)</w:t>
      </w:r>
    </w:p>
    <w:p w:rsidR="00A76009" w:rsidRPr="00B92BDF" w:rsidRDefault="00A76009" w:rsidP="00EA5EAB">
      <w:pPr>
        <w:pStyle w:val="NormalWeb"/>
        <w:spacing w:before="0" w:beforeAutospacing="0" w:after="0" w:afterAutospacing="0"/>
        <w:jc w:val="both"/>
        <w:rPr>
          <w:color w:val="000000" w:themeColor="text1"/>
          <w:sz w:val="20"/>
          <w:lang w:val="en-GB"/>
        </w:rPr>
      </w:pPr>
    </w:p>
    <w:p w:rsidR="001007AC" w:rsidRPr="00B92BDF" w:rsidRDefault="003E4D4F" w:rsidP="00EA5EAB">
      <w:pPr>
        <w:spacing w:after="0" w:line="240" w:lineRule="auto"/>
        <w:jc w:val="both"/>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szCs w:val="24"/>
          <w:lang w:val="en-GB"/>
        </w:rPr>
        <w:t>W</w:t>
      </w:r>
      <w:r w:rsidR="00A76009" w:rsidRPr="00B92BDF">
        <w:rPr>
          <w:rFonts w:ascii="Times New Roman" w:hAnsi="Times New Roman" w:cs="Times New Roman"/>
          <w:color w:val="000000" w:themeColor="text1"/>
          <w:sz w:val="24"/>
          <w:szCs w:val="24"/>
          <w:lang w:val="en-GB"/>
        </w:rPr>
        <w:t xml:space="preserve">here </w:t>
      </w:r>
      <m:oMath>
        <m:r>
          <w:rPr>
            <w:rFonts w:ascii="Cambria Math" w:hAnsi="Cambria Math" w:cs="Times New Roman"/>
            <w:color w:val="000000" w:themeColor="text1"/>
            <w:sz w:val="24"/>
            <w:szCs w:val="24"/>
            <w:lang w:val="en-GB"/>
          </w:rPr>
          <m:t>L-</m:t>
        </m:r>
      </m:oMath>
      <w:r w:rsidR="00A76009" w:rsidRPr="00B92BDF">
        <w:rPr>
          <w:rFonts w:ascii="Times New Roman" w:hAnsi="Times New Roman" w:cs="Times New Roman"/>
          <w:color w:val="000000" w:themeColor="text1"/>
          <w:sz w:val="24"/>
          <w:szCs w:val="24"/>
          <w:lang w:val="en-GB"/>
        </w:rPr>
        <w:t xml:space="preserve"> </w:t>
      </w:r>
      <w:r w:rsidR="00A76009" w:rsidRPr="00B92BDF">
        <w:rPr>
          <w:rFonts w:ascii="Times New Roman" w:hAnsi="Times New Roman" w:cs="Times New Roman"/>
          <w:color w:val="000000" w:themeColor="text1"/>
          <w:sz w:val="24"/>
          <w:szCs w:val="24"/>
          <w:shd w:val="clear" w:color="auto" w:fill="FFFFFF"/>
        </w:rPr>
        <w:t xml:space="preserve">the maximum value of the likelihood function for the model, </w:t>
      </w:r>
      <m:oMath>
        <m:r>
          <w:rPr>
            <w:rFonts w:ascii="Cambria Math" w:hAnsi="Cambria Math" w:cs="Times New Roman"/>
            <w:color w:val="000000" w:themeColor="text1"/>
            <w:sz w:val="24"/>
            <w:szCs w:val="24"/>
            <w:lang w:val="en-GB"/>
          </w:rPr>
          <m:t>k-</m:t>
        </m:r>
      </m:oMath>
      <w:r w:rsidR="00A76009" w:rsidRPr="00B92BDF">
        <w:rPr>
          <w:rFonts w:ascii="Times New Roman" w:hAnsi="Times New Roman" w:cs="Times New Roman"/>
          <w:color w:val="000000" w:themeColor="text1"/>
          <w:sz w:val="24"/>
          <w:szCs w:val="24"/>
          <w:lang w:val="en-GB"/>
        </w:rPr>
        <w:t xml:space="preserve"> number of parameters estimated, </w:t>
      </w:r>
      <m:oMath>
        <m:r>
          <w:rPr>
            <w:rFonts w:ascii="Cambria Math" w:hAnsi="Cambria Math" w:cs="Times New Roman"/>
            <w:color w:val="000000" w:themeColor="text1"/>
            <w:sz w:val="24"/>
            <w:szCs w:val="24"/>
            <w:lang w:val="en-GB"/>
          </w:rPr>
          <m:t>n-</m:t>
        </m:r>
      </m:oMath>
      <w:r w:rsidR="00A76009" w:rsidRPr="00B92BDF">
        <w:rPr>
          <w:rFonts w:ascii="Times New Roman" w:hAnsi="Times New Roman" w:cs="Times New Roman"/>
          <w:color w:val="000000" w:themeColor="text1"/>
          <w:sz w:val="24"/>
          <w:szCs w:val="24"/>
          <w:lang w:val="en-GB"/>
        </w:rPr>
        <w:t xml:space="preserve"> number of observations.</w:t>
      </w:r>
      <w:proofErr w:type="gramEnd"/>
    </w:p>
    <w:p w:rsidR="009A3454" w:rsidRPr="00B92BDF" w:rsidRDefault="009A3454" w:rsidP="00EA5EAB">
      <w:pPr>
        <w:spacing w:after="0" w:line="240" w:lineRule="auto"/>
        <w:jc w:val="both"/>
        <w:rPr>
          <w:rFonts w:ascii="Times New Roman" w:hAnsi="Times New Roman" w:cs="Times New Roman"/>
          <w:color w:val="000000" w:themeColor="text1"/>
          <w:sz w:val="24"/>
          <w:szCs w:val="24"/>
          <w:lang w:val="en-GB"/>
        </w:rPr>
      </w:pPr>
    </w:p>
    <w:p w:rsidR="00A76009" w:rsidRPr="00B92BDF" w:rsidRDefault="009A3454" w:rsidP="00EA5EAB">
      <w:pPr>
        <w:spacing w:line="240" w:lineRule="auto"/>
        <w:rPr>
          <w:rStyle w:val="comment-copy"/>
          <w:rFonts w:ascii="Times New Roman" w:hAnsi="Times New Roman" w:cs="Times New Roman"/>
          <w:b/>
          <w:color w:val="000000" w:themeColor="text1"/>
          <w:sz w:val="24"/>
          <w:lang w:val="en-GB"/>
        </w:rPr>
      </w:pPr>
      <w:r w:rsidRPr="00B92BDF">
        <w:rPr>
          <w:rStyle w:val="comment-copy"/>
          <w:rFonts w:ascii="Times New Roman" w:hAnsi="Times New Roman" w:cs="Times New Roman"/>
          <w:b/>
          <w:color w:val="000000" w:themeColor="text1"/>
          <w:sz w:val="24"/>
          <w:lang w:val="en-GB"/>
        </w:rPr>
        <w:t>3. Empirical results</w:t>
      </w:r>
      <w:r w:rsidR="00A76009" w:rsidRPr="00B92BDF">
        <w:rPr>
          <w:rStyle w:val="comment-copy"/>
          <w:rFonts w:ascii="Times New Roman" w:hAnsi="Times New Roman" w:cs="Times New Roman"/>
          <w:b/>
          <w:color w:val="000000" w:themeColor="text1"/>
          <w:sz w:val="24"/>
          <w:lang w:val="en-GB"/>
        </w:rPr>
        <w:t xml:space="preserve"> and Discussion</w:t>
      </w: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lastRenderedPageBreak/>
        <w:t xml:space="preserve">In this research </w:t>
      </w:r>
      <w:r w:rsidR="00451C33" w:rsidRPr="00B92BDF">
        <w:rPr>
          <w:rFonts w:ascii="Times New Roman" w:hAnsi="Times New Roman" w:cs="Times New Roman"/>
          <w:color w:val="000000" w:themeColor="text1"/>
          <w:sz w:val="24"/>
          <w:szCs w:val="24"/>
          <w:lang w:val="en-GB"/>
        </w:rPr>
        <w:t>t</w:t>
      </w:r>
      <w:r w:rsidRPr="00B92BDF">
        <w:rPr>
          <w:rFonts w:ascii="Times New Roman" w:hAnsi="Times New Roman" w:cs="Times New Roman"/>
          <w:color w:val="000000" w:themeColor="text1"/>
          <w:sz w:val="24"/>
          <w:szCs w:val="24"/>
          <w:lang w:val="en-GB"/>
        </w:rPr>
        <w:t xml:space="preserve">he real returns on the EMU bonds </w:t>
      </w:r>
      <w:r w:rsidR="00451C33" w:rsidRPr="00B92BDF">
        <w:rPr>
          <w:rFonts w:ascii="Times New Roman" w:hAnsi="Times New Roman" w:cs="Times New Roman"/>
          <w:color w:val="000000" w:themeColor="text1"/>
          <w:sz w:val="24"/>
          <w:szCs w:val="24"/>
          <w:lang w:val="en-GB"/>
        </w:rPr>
        <w:t xml:space="preserve">are analysed and </w:t>
      </w:r>
      <w:r w:rsidRPr="00B92BDF">
        <w:rPr>
          <w:rFonts w:ascii="Times New Roman" w:hAnsi="Times New Roman" w:cs="Times New Roman"/>
          <w:color w:val="000000" w:themeColor="text1"/>
          <w:sz w:val="24"/>
          <w:szCs w:val="24"/>
          <w:lang w:val="en-GB"/>
        </w:rPr>
        <w:t xml:space="preserve">calculated as nominal EMU bond yields reported by the ECB corrected by the harmonised index of consumer prices (HICP) for the Eurozone. </w:t>
      </w:r>
      <w:r w:rsidR="00451C33" w:rsidRPr="00B92BDF">
        <w:rPr>
          <w:rFonts w:ascii="Times New Roman" w:hAnsi="Times New Roman" w:cs="Times New Roman"/>
          <w:color w:val="000000" w:themeColor="text1"/>
          <w:sz w:val="24"/>
          <w:szCs w:val="24"/>
          <w:lang w:val="en-GB"/>
        </w:rPr>
        <w:t>The official statistics consist</w:t>
      </w:r>
      <w:r w:rsidRPr="00B92BDF">
        <w:rPr>
          <w:rFonts w:ascii="Times New Roman" w:hAnsi="Times New Roman" w:cs="Times New Roman"/>
          <w:color w:val="000000" w:themeColor="text1"/>
          <w:sz w:val="24"/>
          <w:szCs w:val="24"/>
          <w:lang w:val="en-GB"/>
        </w:rPr>
        <w:t xml:space="preserve"> of two separate datasets: returns on the AAA-rate</w:t>
      </w:r>
      <w:r w:rsidR="00451C33" w:rsidRPr="00B92BDF">
        <w:rPr>
          <w:rFonts w:ascii="Times New Roman" w:hAnsi="Times New Roman" w:cs="Times New Roman"/>
          <w:color w:val="000000" w:themeColor="text1"/>
          <w:sz w:val="24"/>
          <w:szCs w:val="24"/>
          <w:lang w:val="en-GB"/>
        </w:rPr>
        <w:t xml:space="preserve">d bonds and returns on </w:t>
      </w:r>
      <w:r w:rsidRPr="00B92BDF">
        <w:rPr>
          <w:rFonts w:ascii="Times New Roman" w:hAnsi="Times New Roman" w:cs="Times New Roman"/>
          <w:color w:val="000000" w:themeColor="text1"/>
          <w:sz w:val="24"/>
          <w:szCs w:val="24"/>
          <w:lang w:val="en-GB"/>
        </w:rPr>
        <w:t>bonds of all ratings. For better interpretation</w:t>
      </w:r>
      <w:r w:rsidR="00EB3D78" w:rsidRPr="00B92BDF">
        <w:rPr>
          <w:rFonts w:ascii="Times New Roman" w:hAnsi="Times New Roman" w:cs="Times New Roman"/>
          <w:color w:val="000000" w:themeColor="text1"/>
          <w:sz w:val="24"/>
          <w:szCs w:val="24"/>
          <w:lang w:val="en-GB"/>
        </w:rPr>
        <w:t>,</w:t>
      </w:r>
      <w:r w:rsidRPr="00B92BDF">
        <w:rPr>
          <w:rFonts w:ascii="Times New Roman" w:hAnsi="Times New Roman" w:cs="Times New Roman"/>
          <w:color w:val="000000" w:themeColor="text1"/>
          <w:sz w:val="24"/>
          <w:szCs w:val="24"/>
          <w:lang w:val="en-GB"/>
        </w:rPr>
        <w:t xml:space="preserve"> all bonds are divided into three categories in accordance with maturity: short-term bonds (3, 6 and 9 months), mid-term bonds (1, 3, 5 and 10 years) and </w:t>
      </w:r>
      <w:r w:rsidR="00451C33" w:rsidRPr="00B92BDF">
        <w:rPr>
          <w:rFonts w:ascii="Times New Roman" w:hAnsi="Times New Roman" w:cs="Times New Roman"/>
          <w:color w:val="000000" w:themeColor="text1"/>
          <w:sz w:val="24"/>
          <w:szCs w:val="24"/>
          <w:lang w:val="en-GB"/>
        </w:rPr>
        <w:t xml:space="preserve">long-term bonds (15, 20, 25 and </w:t>
      </w:r>
      <w:r w:rsidRPr="00B92BDF">
        <w:rPr>
          <w:rFonts w:ascii="Times New Roman" w:hAnsi="Times New Roman" w:cs="Times New Roman"/>
          <w:color w:val="000000" w:themeColor="text1"/>
          <w:sz w:val="24"/>
          <w:szCs w:val="24"/>
          <w:lang w:val="en-GB"/>
        </w:rPr>
        <w:t>30</w:t>
      </w:r>
      <w:r w:rsidR="00451C33" w:rsidRPr="00B92BDF">
        <w:rPr>
          <w:rFonts w:ascii="Times New Roman" w:hAnsi="Times New Roman" w:cs="Times New Roman"/>
          <w:color w:val="000000" w:themeColor="text1"/>
          <w:sz w:val="24"/>
          <w:szCs w:val="24"/>
          <w:lang w:val="en-GB"/>
        </w:rPr>
        <w:t xml:space="preserve"> years).  The return on 3-month</w:t>
      </w:r>
      <w:r w:rsidRPr="00B92BDF">
        <w:rPr>
          <w:rFonts w:ascii="Times New Roman" w:hAnsi="Times New Roman" w:cs="Times New Roman"/>
          <w:color w:val="000000" w:themeColor="text1"/>
          <w:sz w:val="24"/>
          <w:szCs w:val="24"/>
          <w:lang w:val="en-GB"/>
        </w:rPr>
        <w:t xml:space="preserve"> European T-bill</w:t>
      </w:r>
      <w:r w:rsidR="00451C33"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 xml:space="preserve"> is considered as a risk-free rate. The main focus of the analysis is the bond performance during the crisis years</w:t>
      </w:r>
      <w:r w:rsidR="00EB3D78" w:rsidRPr="00B92BDF">
        <w:rPr>
          <w:rFonts w:ascii="Times New Roman" w:hAnsi="Times New Roman" w:cs="Times New Roman"/>
          <w:color w:val="000000" w:themeColor="text1"/>
          <w:sz w:val="24"/>
          <w:szCs w:val="24"/>
          <w:lang w:val="en-GB"/>
        </w:rPr>
        <w:t>,</w:t>
      </w:r>
      <w:r w:rsidRPr="00B92BDF">
        <w:rPr>
          <w:rFonts w:ascii="Times New Roman" w:hAnsi="Times New Roman" w:cs="Times New Roman"/>
          <w:color w:val="000000" w:themeColor="text1"/>
          <w:sz w:val="24"/>
          <w:szCs w:val="24"/>
          <w:lang w:val="en-GB"/>
        </w:rPr>
        <w:t xml:space="preserve"> from 2008 to 2011 when European financial markets suffered from financial and sovereign crises. To ensure the time validity, the pre-crisis period from 2005 to 2007 and the post-crisis period from 2012 to 2017 should be considered, as well. The whole sample contains 3432 observations in total in the form of panel data with monthly statistics on EMU bond yields for 13 years.</w:t>
      </w:r>
    </w:p>
    <w:p w:rsidR="00A76009" w:rsidRPr="00B92BDF" w:rsidRDefault="00A76009" w:rsidP="00EA5EAB">
      <w:pPr>
        <w:spacing w:after="0" w:line="240" w:lineRule="auto"/>
        <w:ind w:firstLine="708"/>
        <w:jc w:val="both"/>
        <w:rPr>
          <w:rStyle w:val="comment-copy"/>
          <w:rFonts w:ascii="Times New Roman" w:hAnsi="Times New Roman" w:cs="Times New Roman"/>
          <w:color w:val="000000" w:themeColor="text1"/>
          <w:sz w:val="24"/>
          <w:lang w:val="en-GB"/>
        </w:rPr>
      </w:pPr>
      <w:r w:rsidRPr="00B92BDF">
        <w:rPr>
          <w:rStyle w:val="comment-copy"/>
          <w:rFonts w:ascii="Times New Roman" w:hAnsi="Times New Roman" w:cs="Times New Roman"/>
          <w:color w:val="000000" w:themeColor="text1"/>
          <w:sz w:val="24"/>
          <w:lang w:val="en-GB"/>
        </w:rPr>
        <w:t>At first, the average annual returns and risks for high-rated bonds and bonds of all ratings for the whole sample period from 2005 to 2017 are compared. The results are presented in Table 1 below.</w:t>
      </w:r>
    </w:p>
    <w:p w:rsidR="00A76009" w:rsidRPr="00B92BDF" w:rsidRDefault="00A76009" w:rsidP="00EA5EAB">
      <w:pPr>
        <w:spacing w:after="0" w:line="240" w:lineRule="auto"/>
        <w:jc w:val="both"/>
        <w:rPr>
          <w:rStyle w:val="comment-copy"/>
          <w:rFonts w:ascii="Times New Roman" w:hAnsi="Times New Roman" w:cs="Times New Roman"/>
          <w:color w:val="000000" w:themeColor="text1"/>
          <w:sz w:val="20"/>
          <w:lang w:val="en-GB"/>
        </w:rPr>
      </w:pPr>
    </w:p>
    <w:tbl>
      <w:tblPr>
        <w:tblStyle w:val="TableGrid"/>
        <w:tblW w:w="10127" w:type="dxa"/>
        <w:tblLook w:val="04A0"/>
      </w:tblPr>
      <w:tblGrid>
        <w:gridCol w:w="1701"/>
        <w:gridCol w:w="766"/>
        <w:gridCol w:w="766"/>
        <w:gridCol w:w="766"/>
        <w:gridCol w:w="766"/>
        <w:gridCol w:w="766"/>
        <w:gridCol w:w="766"/>
        <w:gridCol w:w="766"/>
        <w:gridCol w:w="766"/>
        <w:gridCol w:w="766"/>
        <w:gridCol w:w="766"/>
        <w:gridCol w:w="766"/>
      </w:tblGrid>
      <w:tr w:rsidR="00A76009" w:rsidRPr="00B92BDF" w:rsidTr="007F5122">
        <w:trPr>
          <w:trHeight w:val="300"/>
        </w:trPr>
        <w:tc>
          <w:tcPr>
            <w:tcW w:w="1701"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p>
        </w:tc>
        <w:tc>
          <w:tcPr>
            <w:tcW w:w="8426" w:type="dxa"/>
            <w:gridSpan w:val="11"/>
            <w:noWrap/>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Maturity</w:t>
            </w:r>
          </w:p>
        </w:tc>
      </w:tr>
      <w:tr w:rsidR="00A76009" w:rsidRPr="00B92BDF" w:rsidTr="007F5122">
        <w:trPr>
          <w:trHeight w:val="300"/>
        </w:trPr>
        <w:tc>
          <w:tcPr>
            <w:tcW w:w="1701"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AAA-rated Bonds</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3M</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6M</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9M</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1Y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3Y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5Y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10Y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15Y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20Y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25Y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30Y</w:t>
            </w:r>
          </w:p>
        </w:tc>
      </w:tr>
      <w:tr w:rsidR="00A76009" w:rsidRPr="00B92BDF" w:rsidTr="007F5122">
        <w:trPr>
          <w:trHeight w:val="300"/>
        </w:trPr>
        <w:tc>
          <w:tcPr>
            <w:tcW w:w="1701"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Average Return (2005–2017), %</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0.935</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0.969</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1.003</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1.037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1.356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1.717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2.441</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2.808</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2.957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3.001</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2.998</w:t>
            </w:r>
          </w:p>
        </w:tc>
      </w:tr>
      <w:tr w:rsidR="00A76009" w:rsidRPr="00B92BDF" w:rsidTr="007F5122">
        <w:trPr>
          <w:trHeight w:val="300"/>
        </w:trPr>
        <w:tc>
          <w:tcPr>
            <w:tcW w:w="1701"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SD, %</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1.506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1.543</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1.562</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1.571</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1.564</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1.520</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1.413</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1.349</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1.306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1.275</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1.252</w:t>
            </w:r>
          </w:p>
        </w:tc>
      </w:tr>
      <w:tr w:rsidR="00A76009" w:rsidRPr="00B92BDF" w:rsidTr="007F5122">
        <w:trPr>
          <w:trHeight w:val="300"/>
        </w:trPr>
        <w:tc>
          <w:tcPr>
            <w:tcW w:w="1701"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Bonds of All Ratings</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3M</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6M</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9M</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1Y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3Y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5Y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10Y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15Y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20Y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25Y</w:t>
            </w:r>
          </w:p>
        </w:tc>
        <w:tc>
          <w:tcPr>
            <w:tcW w:w="766" w:type="dxa"/>
            <w:noWrap/>
            <w:hideMark/>
          </w:tcPr>
          <w:p w:rsidR="00A76009" w:rsidRPr="00B92BDF" w:rsidRDefault="00A76009" w:rsidP="00EA5EAB">
            <w:pPr>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30Y</w:t>
            </w:r>
          </w:p>
        </w:tc>
      </w:tr>
      <w:tr w:rsidR="00A76009" w:rsidRPr="00B92BDF" w:rsidTr="007F5122">
        <w:trPr>
          <w:trHeight w:val="300"/>
        </w:trPr>
        <w:tc>
          <w:tcPr>
            <w:tcW w:w="1701"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Average Return</w:t>
            </w:r>
          </w:p>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(2005–2017), %</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1.097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1.206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1.296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1.370</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1.787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2.206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2.996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3.387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3.576</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3.668</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3.712</w:t>
            </w:r>
          </w:p>
        </w:tc>
      </w:tr>
      <w:tr w:rsidR="00A76009" w:rsidRPr="00B92BDF" w:rsidTr="007F5122">
        <w:trPr>
          <w:trHeight w:val="315"/>
        </w:trPr>
        <w:tc>
          <w:tcPr>
            <w:tcW w:w="1701"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SD, %</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1.424</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1.435</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1.445</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1.452</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1.437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1.382</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1.261</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1.190</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1.139</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1.097</w:t>
            </w:r>
          </w:p>
        </w:tc>
        <w:tc>
          <w:tcPr>
            <w:tcW w:w="766" w:type="dxa"/>
            <w:noWrap/>
            <w:hideMark/>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1.063</w:t>
            </w:r>
          </w:p>
        </w:tc>
      </w:tr>
      <w:tr w:rsidR="00A76009" w:rsidRPr="00B92BDF" w:rsidTr="007F5122">
        <w:trPr>
          <w:trHeight w:val="315"/>
        </w:trPr>
        <w:tc>
          <w:tcPr>
            <w:tcW w:w="1701"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Difference between groups in average return, %</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17.401</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24.520</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29.294</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32.112</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31.775</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28.458</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22.742</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20.651</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20.955</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22.247</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23.807</w:t>
            </w:r>
          </w:p>
        </w:tc>
      </w:tr>
      <w:tr w:rsidR="00A76009" w:rsidRPr="00B92BDF" w:rsidTr="007F5122">
        <w:trPr>
          <w:trHeight w:val="315"/>
        </w:trPr>
        <w:tc>
          <w:tcPr>
            <w:tcW w:w="1701"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Difference between groups</w:t>
            </w:r>
          </w:p>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in SD, %</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5.728</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7.550</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8.079</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8.231</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8.812</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10.004</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12.101</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13.394</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14.648</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16.182</w:t>
            </w:r>
          </w:p>
        </w:tc>
        <w:tc>
          <w:tcPr>
            <w:tcW w:w="766" w:type="dxa"/>
            <w:noWrap/>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17.847</w:t>
            </w:r>
          </w:p>
        </w:tc>
      </w:tr>
    </w:tbl>
    <w:p w:rsidR="00A76009" w:rsidRPr="00B92BDF" w:rsidRDefault="00A76009" w:rsidP="00EA5EAB">
      <w:pPr>
        <w:spacing w:before="240"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Table 1.</w:t>
      </w:r>
      <w:proofErr w:type="gramEnd"/>
      <w:r w:rsidRPr="00B92BDF">
        <w:rPr>
          <w:rFonts w:ascii="Times New Roman" w:hAnsi="Times New Roman" w:cs="Times New Roman"/>
          <w:color w:val="000000" w:themeColor="text1"/>
          <w:sz w:val="24"/>
          <w:lang w:val="en-GB"/>
        </w:rPr>
        <w:t xml:space="preserve"> </w:t>
      </w:r>
      <w:proofErr w:type="gramStart"/>
      <w:r w:rsidRPr="00B92BDF">
        <w:rPr>
          <w:rFonts w:ascii="Times New Roman" w:hAnsi="Times New Roman" w:cs="Times New Roman"/>
          <w:color w:val="000000" w:themeColor="text1"/>
          <w:sz w:val="24"/>
          <w:lang w:val="en-GB"/>
        </w:rPr>
        <w:t>Average annual returns and volatility of EMU bo</w:t>
      </w:r>
      <w:r w:rsidR="00C61C5A" w:rsidRPr="00B92BDF">
        <w:rPr>
          <w:rFonts w:ascii="Times New Roman" w:hAnsi="Times New Roman" w:cs="Times New Roman"/>
          <w:color w:val="000000" w:themeColor="text1"/>
          <w:sz w:val="24"/>
          <w:lang w:val="en-GB"/>
        </w:rPr>
        <w:t xml:space="preserve">nds </w:t>
      </w:r>
      <w:r w:rsidR="006F3BDB" w:rsidRPr="00B92BDF">
        <w:rPr>
          <w:rFonts w:ascii="Times New Roman" w:hAnsi="Times New Roman" w:cs="Times New Roman"/>
          <w:color w:val="000000" w:themeColor="text1"/>
          <w:sz w:val="24"/>
          <w:lang w:val="en-GB"/>
        </w:rPr>
        <w:t>with</w:t>
      </w:r>
      <w:r w:rsidR="00C61C5A" w:rsidRPr="00B92BDF">
        <w:rPr>
          <w:rFonts w:ascii="Times New Roman" w:hAnsi="Times New Roman" w:cs="Times New Roman"/>
          <w:color w:val="000000" w:themeColor="text1"/>
          <w:sz w:val="24"/>
          <w:lang w:val="en-GB"/>
        </w:rPr>
        <w:t xml:space="preserve"> different credit ratings </w:t>
      </w:r>
      <w:r w:rsidRPr="00B92BDF">
        <w:rPr>
          <w:rFonts w:ascii="Times New Roman" w:hAnsi="Times New Roman" w:cs="Times New Roman"/>
          <w:color w:val="000000" w:themeColor="text1"/>
          <w:sz w:val="24"/>
          <w:lang w:val="en-GB"/>
        </w:rPr>
        <w:t>depending on the term-to-maturity, 2005–2017.</w:t>
      </w:r>
      <w:proofErr w:type="gramEnd"/>
      <w:r w:rsidRPr="00B92BDF">
        <w:rPr>
          <w:rFonts w:ascii="Times New Roman" w:hAnsi="Times New Roman" w:cs="Times New Roman"/>
          <w:color w:val="000000" w:themeColor="text1"/>
          <w:sz w:val="24"/>
          <w:lang w:val="en-GB"/>
        </w:rPr>
        <w:t xml:space="preserve"> Source: calculated by the author</w:t>
      </w:r>
      <w:r w:rsidR="003E4D4F" w:rsidRPr="00B92BDF">
        <w:rPr>
          <w:rFonts w:ascii="Times New Roman" w:hAnsi="Times New Roman" w:cs="Times New Roman"/>
          <w:color w:val="000000" w:themeColor="text1"/>
          <w:sz w:val="24"/>
          <w:lang w:val="en-GB"/>
        </w:rPr>
        <w:t>s, based on ECB data</w:t>
      </w:r>
      <w:r w:rsidRPr="00B92BDF">
        <w:rPr>
          <w:rFonts w:ascii="Times New Roman" w:hAnsi="Times New Roman" w:cs="Times New Roman"/>
          <w:color w:val="000000" w:themeColor="text1"/>
          <w:sz w:val="24"/>
          <w:lang w:val="en-GB"/>
        </w:rPr>
        <w:t>.</w:t>
      </w:r>
    </w:p>
    <w:p w:rsidR="00A76009" w:rsidRPr="00B92BDF" w:rsidRDefault="00A76009" w:rsidP="00EA5EAB">
      <w:pPr>
        <w:spacing w:after="0" w:line="240" w:lineRule="auto"/>
        <w:jc w:val="both"/>
        <w:rPr>
          <w:rFonts w:ascii="Times New Roman" w:hAnsi="Times New Roman" w:cs="Times New Roman"/>
          <w:color w:val="000000" w:themeColor="text1"/>
          <w:sz w:val="20"/>
          <w:lang w:val="en-GB"/>
        </w:rPr>
      </w:pPr>
    </w:p>
    <w:p w:rsidR="00A76009" w:rsidRPr="00B92BDF" w:rsidRDefault="00A76009" w:rsidP="00EA5EAB">
      <w:pPr>
        <w:spacing w:after="0" w:line="240" w:lineRule="auto"/>
        <w:ind w:firstLine="708"/>
        <w:jc w:val="both"/>
        <w:rPr>
          <w:rStyle w:val="comment-copy"/>
          <w:rFonts w:ascii="Times New Roman" w:hAnsi="Times New Roman" w:cs="Times New Roman"/>
          <w:color w:val="000000" w:themeColor="text1"/>
          <w:sz w:val="24"/>
          <w:lang w:val="en-GB"/>
        </w:rPr>
      </w:pPr>
      <w:r w:rsidRPr="00B92BDF">
        <w:rPr>
          <w:rStyle w:val="comment-copy"/>
          <w:rFonts w:ascii="Times New Roman" w:hAnsi="Times New Roman" w:cs="Times New Roman"/>
          <w:color w:val="000000" w:themeColor="text1"/>
          <w:sz w:val="24"/>
          <w:lang w:val="en-GB"/>
        </w:rPr>
        <w:t xml:space="preserve">As expected, </w:t>
      </w:r>
      <w:r w:rsidR="00451C33" w:rsidRPr="00B92BDF">
        <w:rPr>
          <w:rStyle w:val="comment-copy"/>
          <w:rFonts w:ascii="Times New Roman" w:hAnsi="Times New Roman" w:cs="Times New Roman"/>
          <w:color w:val="000000" w:themeColor="text1"/>
          <w:sz w:val="24"/>
          <w:lang w:val="en-GB"/>
        </w:rPr>
        <w:t>the annual bond yields increase</w:t>
      </w:r>
      <w:r w:rsidRPr="00B92BDF">
        <w:rPr>
          <w:rStyle w:val="comment-copy"/>
          <w:rFonts w:ascii="Times New Roman" w:hAnsi="Times New Roman" w:cs="Times New Roman"/>
          <w:color w:val="000000" w:themeColor="text1"/>
          <w:sz w:val="24"/>
          <w:lang w:val="en-GB"/>
        </w:rPr>
        <w:t xml:space="preserve"> with maturity. According to the capital market theory, the bond volatility should increase with maturity, as well, because term-to-maturity is the main component of bond credit risk. Longer maturity causes higher level</w:t>
      </w:r>
      <w:r w:rsidR="00451C33" w:rsidRPr="00B92BDF">
        <w:rPr>
          <w:rStyle w:val="comment-copy"/>
          <w:rFonts w:ascii="Times New Roman" w:hAnsi="Times New Roman" w:cs="Times New Roman"/>
          <w:color w:val="000000" w:themeColor="text1"/>
          <w:sz w:val="24"/>
          <w:lang w:val="en-GB"/>
        </w:rPr>
        <w:t>s</w:t>
      </w:r>
      <w:r w:rsidRPr="00B92BDF">
        <w:rPr>
          <w:rStyle w:val="comment-copy"/>
          <w:rFonts w:ascii="Times New Roman" w:hAnsi="Times New Roman" w:cs="Times New Roman"/>
          <w:color w:val="000000" w:themeColor="text1"/>
          <w:sz w:val="24"/>
          <w:lang w:val="en-GB"/>
        </w:rPr>
        <w:t xml:space="preserve"> of uncertainty of future returns and, therefore, higher risks. </w:t>
      </w:r>
      <w:r w:rsidR="00451C33" w:rsidRPr="00B92BDF">
        <w:rPr>
          <w:rStyle w:val="comment-copy"/>
          <w:rFonts w:ascii="Times New Roman" w:hAnsi="Times New Roman" w:cs="Times New Roman"/>
          <w:color w:val="000000" w:themeColor="text1"/>
          <w:sz w:val="24"/>
          <w:lang w:val="en-GB"/>
        </w:rPr>
        <w:t>However, the statistics suggest</w:t>
      </w:r>
      <w:r w:rsidRPr="00B92BDF">
        <w:rPr>
          <w:rStyle w:val="comment-copy"/>
          <w:rFonts w:ascii="Times New Roman" w:hAnsi="Times New Roman" w:cs="Times New Roman"/>
          <w:color w:val="000000" w:themeColor="text1"/>
          <w:sz w:val="24"/>
          <w:lang w:val="en-GB"/>
        </w:rPr>
        <w:t xml:space="preserve"> that the annual volatility of bond returns decreases slightly from 1.5% to 1% </w:t>
      </w:r>
      <w:r w:rsidR="00C61C5A" w:rsidRPr="00B92BDF">
        <w:rPr>
          <w:rStyle w:val="comment-copy"/>
          <w:rFonts w:ascii="Times New Roman" w:hAnsi="Times New Roman" w:cs="Times New Roman"/>
          <w:color w:val="000000" w:themeColor="text1"/>
          <w:sz w:val="24"/>
          <w:lang w:val="en-GB"/>
        </w:rPr>
        <w:t>with maturity</w:t>
      </w:r>
      <w:r w:rsidRPr="00B92BDF">
        <w:rPr>
          <w:rStyle w:val="comment-copy"/>
          <w:rFonts w:ascii="Times New Roman" w:hAnsi="Times New Roman" w:cs="Times New Roman"/>
          <w:color w:val="000000" w:themeColor="text1"/>
          <w:sz w:val="24"/>
          <w:lang w:val="en-GB"/>
        </w:rPr>
        <w:t>.</w:t>
      </w:r>
    </w:p>
    <w:p w:rsidR="00A76009" w:rsidRPr="00B92BDF" w:rsidRDefault="00A76009" w:rsidP="00EA5EAB">
      <w:pPr>
        <w:spacing w:after="0" w:line="240" w:lineRule="auto"/>
        <w:ind w:firstLine="708"/>
        <w:jc w:val="both"/>
        <w:rPr>
          <w:rStyle w:val="comment-copy"/>
          <w:rFonts w:ascii="Times New Roman" w:hAnsi="Times New Roman" w:cs="Times New Roman"/>
          <w:color w:val="000000" w:themeColor="text1"/>
          <w:sz w:val="24"/>
          <w:lang w:val="en-GB"/>
        </w:rPr>
      </w:pPr>
      <w:r w:rsidRPr="00B92BDF">
        <w:rPr>
          <w:rStyle w:val="comment-copy"/>
          <w:rFonts w:ascii="Times New Roman" w:hAnsi="Times New Roman" w:cs="Times New Roman"/>
          <w:color w:val="000000" w:themeColor="text1"/>
          <w:sz w:val="24"/>
          <w:lang w:val="en-GB"/>
        </w:rPr>
        <w:t>Furthermore, by definition, high-rated bonds are more reliable, more investment-grade and less risky than low-rated bonds. Despite</w:t>
      </w:r>
      <w:r w:rsidR="00451C33" w:rsidRPr="00B92BDF">
        <w:rPr>
          <w:rStyle w:val="comment-copy"/>
          <w:rFonts w:ascii="Times New Roman" w:hAnsi="Times New Roman" w:cs="Times New Roman"/>
          <w:color w:val="000000" w:themeColor="text1"/>
          <w:sz w:val="24"/>
          <w:lang w:val="en-GB"/>
        </w:rPr>
        <w:t xml:space="preserve"> this fact, the statistics show</w:t>
      </w:r>
      <w:r w:rsidRPr="00B92BDF">
        <w:rPr>
          <w:rStyle w:val="comment-copy"/>
          <w:rFonts w:ascii="Times New Roman" w:hAnsi="Times New Roman" w:cs="Times New Roman"/>
          <w:color w:val="000000" w:themeColor="text1"/>
          <w:sz w:val="24"/>
          <w:lang w:val="en-GB"/>
        </w:rPr>
        <w:t xml:space="preserve"> that the average risk of the bonds of all ratings is smaller than the risk of AAA-rated bonds while those average returns are definitely higher than the average returns of AAA-rated bonds. That is illustrated clearly by Figure 1. From the graph, one may also deduce that the difference in absolute values between risks and returns of high-rated bonds and bonds of all ratings enlarges with maturity. In other word</w:t>
      </w:r>
      <w:r w:rsidR="00451C33" w:rsidRPr="00B92BDF">
        <w:rPr>
          <w:rStyle w:val="comment-copy"/>
          <w:rFonts w:ascii="Times New Roman" w:hAnsi="Times New Roman" w:cs="Times New Roman"/>
          <w:color w:val="000000" w:themeColor="text1"/>
          <w:sz w:val="24"/>
          <w:lang w:val="en-GB"/>
        </w:rPr>
        <w:t>s</w:t>
      </w:r>
      <w:r w:rsidRPr="00B92BDF">
        <w:rPr>
          <w:rStyle w:val="comment-copy"/>
          <w:rFonts w:ascii="Times New Roman" w:hAnsi="Times New Roman" w:cs="Times New Roman"/>
          <w:color w:val="000000" w:themeColor="text1"/>
          <w:sz w:val="24"/>
          <w:lang w:val="en-GB"/>
        </w:rPr>
        <w:t xml:space="preserve">, the investments in middle- or even low-quality bonds may become advantageous in the long-term perspective. </w:t>
      </w:r>
      <w:r w:rsidRPr="00B92BDF">
        <w:rPr>
          <w:rFonts w:ascii="Times New Roman" w:hAnsi="Times New Roman" w:cs="Times New Roman"/>
          <w:color w:val="000000" w:themeColor="text1"/>
          <w:sz w:val="24"/>
          <w:lang w:val="en-GB"/>
        </w:rPr>
        <w:t xml:space="preserve">For this reason, the subsequent analysis is devoted </w:t>
      </w:r>
      <w:r w:rsidRPr="00B92BDF">
        <w:rPr>
          <w:rFonts w:ascii="Times New Roman" w:hAnsi="Times New Roman" w:cs="Times New Roman"/>
          <w:color w:val="000000" w:themeColor="text1"/>
          <w:sz w:val="24"/>
          <w:lang w:val="en-GB"/>
        </w:rPr>
        <w:lastRenderedPageBreak/>
        <w:t>primarily to the description of common tendencies for all different kinds of bonds in the EMU bond market rather than to the dissection of the investment-grade bonds only.</w:t>
      </w:r>
    </w:p>
    <w:p w:rsidR="00A76009" w:rsidRPr="00B92BDF" w:rsidRDefault="00A76009" w:rsidP="00EA5EAB">
      <w:pPr>
        <w:spacing w:after="0" w:line="240" w:lineRule="auto"/>
        <w:jc w:val="both"/>
        <w:rPr>
          <w:rFonts w:ascii="Times New Roman" w:hAnsi="Times New Roman" w:cs="Times New Roman"/>
          <w:color w:val="000000" w:themeColor="text1"/>
          <w:sz w:val="20"/>
          <w:lang w:val="en-GB"/>
        </w:rPr>
      </w:pPr>
    </w:p>
    <w:p w:rsidR="00A76009" w:rsidRPr="00B92BDF" w:rsidRDefault="000F7770" w:rsidP="00EA5EAB">
      <w:pPr>
        <w:spacing w:after="0" w:line="240" w:lineRule="auto"/>
        <w:jc w:val="center"/>
        <w:rPr>
          <w:color w:val="000000" w:themeColor="text1"/>
          <w:lang w:val="en-GB"/>
        </w:rPr>
      </w:pPr>
      <w:r w:rsidRPr="00B92BDF">
        <w:rPr>
          <w:noProof/>
          <w:color w:val="000000" w:themeColor="text1"/>
        </w:rPr>
        <w:drawing>
          <wp:inline distT="0" distB="0" distL="0" distR="0">
            <wp:extent cx="5562600" cy="2924175"/>
            <wp:effectExtent l="0" t="0" r="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4D4F" w:rsidRPr="00B92BDF" w:rsidRDefault="00A76009" w:rsidP="00EA5EAB">
      <w:pPr>
        <w:spacing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Figure 1.</w:t>
      </w:r>
      <w:proofErr w:type="gramEnd"/>
      <w:r w:rsidRPr="00B92BDF">
        <w:rPr>
          <w:rFonts w:ascii="Times New Roman" w:hAnsi="Times New Roman" w:cs="Times New Roman"/>
          <w:color w:val="000000" w:themeColor="text1"/>
          <w:sz w:val="24"/>
          <w:lang w:val="en-GB"/>
        </w:rPr>
        <w:t xml:space="preserve"> </w:t>
      </w:r>
      <w:proofErr w:type="gramStart"/>
      <w:r w:rsidRPr="00B92BDF">
        <w:rPr>
          <w:rFonts w:ascii="Times New Roman" w:hAnsi="Times New Roman" w:cs="Times New Roman"/>
          <w:color w:val="000000" w:themeColor="text1"/>
          <w:sz w:val="24"/>
          <w:lang w:val="en-GB"/>
        </w:rPr>
        <w:t>Yield and volatility curves for bonds of different credit ratings, 2005–2017</w:t>
      </w:r>
      <w:r w:rsidR="00BD5D5F" w:rsidRPr="00B92BDF">
        <w:rPr>
          <w:rFonts w:ascii="Times New Roman" w:hAnsi="Times New Roman" w:cs="Times New Roman"/>
          <w:color w:val="000000" w:themeColor="text1"/>
          <w:sz w:val="24"/>
          <w:lang w:val="en-GB"/>
        </w:rPr>
        <w:t>.</w:t>
      </w:r>
      <w:proofErr w:type="gramEnd"/>
      <w:r w:rsidR="003E4D4F" w:rsidRPr="00B92BDF">
        <w:rPr>
          <w:rFonts w:ascii="Times New Roman" w:hAnsi="Times New Roman" w:cs="Times New Roman"/>
          <w:color w:val="000000" w:themeColor="text1"/>
          <w:sz w:val="24"/>
          <w:lang w:val="en-GB"/>
        </w:rPr>
        <w:t xml:space="preserve"> Source: calculated by the authors, based on ECB data.</w:t>
      </w:r>
    </w:p>
    <w:p w:rsidR="00A76009" w:rsidRPr="00B92BDF" w:rsidRDefault="00A76009" w:rsidP="00EA5EAB">
      <w:pPr>
        <w:spacing w:after="0" w:line="240" w:lineRule="auto"/>
        <w:jc w:val="both"/>
        <w:rPr>
          <w:rFonts w:ascii="Times New Roman" w:hAnsi="Times New Roman" w:cs="Times New Roman"/>
          <w:color w:val="000000" w:themeColor="text1"/>
          <w:sz w:val="20"/>
          <w:lang w:val="en-GB"/>
        </w:rPr>
      </w:pPr>
    </w:p>
    <w:p w:rsidR="00A76009" w:rsidRPr="00B92BDF" w:rsidRDefault="00A76009" w:rsidP="00EA5EAB">
      <w:pPr>
        <w:spacing w:after="0" w:line="240" w:lineRule="auto"/>
        <w:ind w:firstLine="708"/>
        <w:jc w:val="both"/>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Figure 2 illustrates the dynamics of average annual yields on the short-term, mid-term and long-term bonds during the analysed time period. In 2005-2008 the economic situation in Europe was improving and the positive trend in average yields during these years is observe</w:t>
      </w:r>
      <w:r w:rsidR="00451C33" w:rsidRPr="00B92BDF">
        <w:rPr>
          <w:rFonts w:ascii="Times New Roman" w:hAnsi="Times New Roman" w:cs="Times New Roman"/>
          <w:color w:val="000000" w:themeColor="text1"/>
          <w:sz w:val="24"/>
          <w:lang w:val="en-GB"/>
        </w:rPr>
        <w:t>d</w:t>
      </w:r>
      <w:r w:rsidRPr="00B92BDF">
        <w:rPr>
          <w:rFonts w:ascii="Times New Roman" w:hAnsi="Times New Roman" w:cs="Times New Roman"/>
          <w:color w:val="000000" w:themeColor="text1"/>
          <w:sz w:val="24"/>
          <w:lang w:val="en-GB"/>
        </w:rPr>
        <w:t xml:space="preserve">. In summer 2008 the returns on short-, mid- and long-term bonds were approximately the same; the returns on short- and mid-term bonds even reached the local maximum of more than 4% when the financial crisis occurred. Obviously, short-term securities were the most negatively affected by the crisis, and their yields dropped sharply while long-terms bonds were relatively stable. After the financial crisis, Europe experienced regional sovereign crises in 2011-2012 that are marked with frequent and considerable fluctuations in bond yields. Europe and the European financial markets seemed to recover from shocks, but the interest rates and bond returns have not reached the pre-crisis level. In light of crisis events, the European Monetary Union had to reconsider and to reset its monetary policy, and these actions resulted in declining bond returns. Interestingly, there were two events in the beginning of 2015 and in mid-2016 that caused rather significant falls in the long-term bond yields, but did not influence short-term rates at all. These events, made financial markets and investors feel uncertain about the future, were probably the decision about prolongation of sanctions against Russia and the referendum in </w:t>
      </w:r>
      <w:r w:rsidR="008E04DD" w:rsidRPr="00B92BDF">
        <w:rPr>
          <w:rFonts w:ascii="Times New Roman" w:hAnsi="Times New Roman" w:cs="Times New Roman"/>
          <w:color w:val="000000" w:themeColor="text1"/>
          <w:sz w:val="24"/>
          <w:lang w:val="en-GB"/>
        </w:rPr>
        <w:t>the United Kingdom</w:t>
      </w:r>
      <w:r w:rsidRPr="00B92BDF">
        <w:rPr>
          <w:rFonts w:ascii="Times New Roman" w:hAnsi="Times New Roman" w:cs="Times New Roman"/>
          <w:color w:val="000000" w:themeColor="text1"/>
          <w:sz w:val="24"/>
          <w:lang w:val="en-GB"/>
        </w:rPr>
        <w:t xml:space="preserve"> about exiting from the European Union. During 2017 bond yields re</w:t>
      </w:r>
      <w:r w:rsidR="008E04DD" w:rsidRPr="00B92BDF">
        <w:rPr>
          <w:rFonts w:ascii="Times New Roman" w:hAnsi="Times New Roman" w:cs="Times New Roman"/>
          <w:color w:val="000000" w:themeColor="text1"/>
          <w:sz w:val="24"/>
          <w:lang w:val="en-GB"/>
        </w:rPr>
        <w:t>m</w:t>
      </w:r>
      <w:r w:rsidRPr="00B92BDF">
        <w:rPr>
          <w:rFonts w:ascii="Times New Roman" w:hAnsi="Times New Roman" w:cs="Times New Roman"/>
          <w:color w:val="000000" w:themeColor="text1"/>
          <w:sz w:val="24"/>
          <w:lang w:val="en-GB"/>
        </w:rPr>
        <w:t>ained more or less stable cha</w:t>
      </w:r>
      <w:r w:rsidR="008E04DD" w:rsidRPr="00B92BDF">
        <w:rPr>
          <w:rFonts w:ascii="Times New Roman" w:hAnsi="Times New Roman" w:cs="Times New Roman"/>
          <w:color w:val="000000" w:themeColor="text1"/>
          <w:sz w:val="24"/>
          <w:lang w:val="en-GB"/>
        </w:rPr>
        <w:t>racterizing</w:t>
      </w:r>
      <w:r w:rsidRPr="00B92BDF">
        <w:rPr>
          <w:rFonts w:ascii="Times New Roman" w:hAnsi="Times New Roman" w:cs="Times New Roman"/>
          <w:color w:val="000000" w:themeColor="text1"/>
          <w:sz w:val="24"/>
          <w:lang w:val="en-GB"/>
        </w:rPr>
        <w:t xml:space="preserve"> </w:t>
      </w:r>
      <w:r w:rsidR="008E04DD" w:rsidRPr="00B92BDF">
        <w:rPr>
          <w:rFonts w:ascii="Times New Roman" w:hAnsi="Times New Roman" w:cs="Times New Roman"/>
          <w:color w:val="000000" w:themeColor="text1"/>
          <w:sz w:val="24"/>
          <w:lang w:val="en-GB"/>
        </w:rPr>
        <w:t xml:space="preserve">the </w:t>
      </w:r>
      <w:r w:rsidRPr="00B92BDF">
        <w:rPr>
          <w:rFonts w:ascii="Times New Roman" w:hAnsi="Times New Roman" w:cs="Times New Roman"/>
          <w:color w:val="000000" w:themeColor="text1"/>
          <w:sz w:val="24"/>
          <w:lang w:val="en-GB"/>
        </w:rPr>
        <w:t>current economic situation positive</w:t>
      </w:r>
      <w:r w:rsidR="008E04DD" w:rsidRPr="00B92BDF">
        <w:rPr>
          <w:rFonts w:ascii="Times New Roman" w:hAnsi="Times New Roman" w:cs="Times New Roman"/>
          <w:color w:val="000000" w:themeColor="text1"/>
          <w:sz w:val="24"/>
          <w:lang w:val="en-GB"/>
        </w:rPr>
        <w:t>ly</w:t>
      </w:r>
      <w:r w:rsidRPr="00B92BDF">
        <w:rPr>
          <w:rFonts w:ascii="Times New Roman" w:hAnsi="Times New Roman" w:cs="Times New Roman"/>
          <w:color w:val="000000" w:themeColor="text1"/>
          <w:sz w:val="24"/>
          <w:lang w:val="en-GB"/>
        </w:rPr>
        <w:t>.</w:t>
      </w:r>
    </w:p>
    <w:p w:rsidR="00A76009" w:rsidRPr="00B92BDF" w:rsidRDefault="00A76009" w:rsidP="00EA5EAB">
      <w:pPr>
        <w:spacing w:after="0" w:line="240" w:lineRule="auto"/>
        <w:jc w:val="both"/>
        <w:rPr>
          <w:rFonts w:ascii="Times New Roman" w:hAnsi="Times New Roman" w:cs="Times New Roman"/>
          <w:color w:val="000000" w:themeColor="text1"/>
          <w:sz w:val="20"/>
          <w:lang w:val="en-GB"/>
        </w:rPr>
      </w:pPr>
    </w:p>
    <w:p w:rsidR="00A76009" w:rsidRPr="00B92BDF" w:rsidRDefault="000F7770" w:rsidP="00EA5EAB">
      <w:pPr>
        <w:spacing w:after="0" w:line="240" w:lineRule="auto"/>
        <w:jc w:val="center"/>
        <w:rPr>
          <w:rFonts w:ascii="Times New Roman" w:hAnsi="Times New Roman" w:cs="Times New Roman"/>
          <w:color w:val="000000" w:themeColor="text1"/>
          <w:sz w:val="24"/>
          <w:lang w:val="en-GB"/>
        </w:rPr>
      </w:pPr>
      <w:r w:rsidRPr="00B92BDF">
        <w:rPr>
          <w:noProof/>
          <w:color w:val="000000" w:themeColor="text1"/>
        </w:rPr>
        <w:lastRenderedPageBreak/>
        <w:drawing>
          <wp:inline distT="0" distB="0" distL="0" distR="0">
            <wp:extent cx="5419725" cy="328612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6009" w:rsidRPr="00B92BDF" w:rsidRDefault="00A76009" w:rsidP="00EA5EAB">
      <w:pPr>
        <w:spacing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Figure 2.</w:t>
      </w:r>
      <w:proofErr w:type="gramEnd"/>
      <w:r w:rsidRPr="00B92BDF">
        <w:rPr>
          <w:rFonts w:ascii="Times New Roman" w:hAnsi="Times New Roman" w:cs="Times New Roman"/>
          <w:color w:val="000000" w:themeColor="text1"/>
          <w:sz w:val="24"/>
          <w:lang w:val="en-GB"/>
        </w:rPr>
        <w:t xml:space="preserve"> The dynamics of the average annual bond yields, 2005–2017.</w:t>
      </w:r>
      <w:r w:rsidR="003E4D4F" w:rsidRPr="00B92BDF">
        <w:rPr>
          <w:rFonts w:ascii="Times New Roman" w:hAnsi="Times New Roman" w:cs="Times New Roman"/>
          <w:color w:val="000000" w:themeColor="text1"/>
          <w:sz w:val="24"/>
          <w:lang w:val="en-GB"/>
        </w:rPr>
        <w:t xml:space="preserve"> Source: calculated by the authors, based on ECB data.</w:t>
      </w:r>
    </w:p>
    <w:p w:rsidR="003E4D4F" w:rsidRPr="00B92BDF" w:rsidRDefault="003E4D4F" w:rsidP="00EA5EAB">
      <w:pPr>
        <w:spacing w:after="0" w:line="240" w:lineRule="auto"/>
        <w:ind w:firstLine="708"/>
        <w:jc w:val="both"/>
        <w:rPr>
          <w:rFonts w:ascii="Times New Roman" w:hAnsi="Times New Roman" w:cs="Times New Roman"/>
          <w:color w:val="000000" w:themeColor="text1"/>
          <w:sz w:val="24"/>
          <w:lang w:val="en-GB"/>
        </w:rPr>
      </w:pPr>
    </w:p>
    <w:p w:rsidR="00A76009" w:rsidRPr="00B92BDF" w:rsidRDefault="00A76009" w:rsidP="00EA5EAB">
      <w:pPr>
        <w:spacing w:after="0" w:line="240" w:lineRule="auto"/>
        <w:ind w:firstLine="708"/>
        <w:jc w:val="both"/>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Then</w:t>
      </w:r>
      <w:r w:rsidR="001A1304" w:rsidRPr="00B92BDF">
        <w:rPr>
          <w:rFonts w:ascii="Times New Roman" w:hAnsi="Times New Roman" w:cs="Times New Roman"/>
          <w:color w:val="000000" w:themeColor="text1"/>
          <w:sz w:val="24"/>
          <w:lang w:val="en-GB"/>
        </w:rPr>
        <w:t>,</w:t>
      </w:r>
      <w:r w:rsidRPr="00B92BDF">
        <w:rPr>
          <w:rFonts w:ascii="Times New Roman" w:hAnsi="Times New Roman" w:cs="Times New Roman"/>
          <w:color w:val="000000" w:themeColor="text1"/>
          <w:sz w:val="24"/>
          <w:lang w:val="en-GB"/>
        </w:rPr>
        <w:t xml:space="preserve"> the descriptive statistics </w:t>
      </w:r>
      <w:r w:rsidR="008E04DD" w:rsidRPr="00B92BDF">
        <w:rPr>
          <w:rFonts w:ascii="Times New Roman" w:hAnsi="Times New Roman" w:cs="Times New Roman"/>
          <w:color w:val="000000" w:themeColor="text1"/>
          <w:sz w:val="24"/>
          <w:lang w:val="en-GB"/>
        </w:rPr>
        <w:t>are</w:t>
      </w:r>
      <w:r w:rsidRPr="00B92BDF">
        <w:rPr>
          <w:rFonts w:ascii="Times New Roman" w:hAnsi="Times New Roman" w:cs="Times New Roman"/>
          <w:color w:val="000000" w:themeColor="text1"/>
          <w:sz w:val="24"/>
          <w:lang w:val="en-GB"/>
        </w:rPr>
        <w:t xml:space="preserve"> calculated to analyse the distribution of bond yields and its statistical properties. From Table 2, it is true that the average return rises with maturity. In 2005–2007 the returns increase evenly with </w:t>
      </w:r>
      <w:r w:rsidR="008E04DD" w:rsidRPr="00B92BDF">
        <w:rPr>
          <w:rFonts w:ascii="Times New Roman" w:hAnsi="Times New Roman" w:cs="Times New Roman"/>
          <w:color w:val="000000" w:themeColor="text1"/>
          <w:sz w:val="24"/>
          <w:lang w:val="en-GB"/>
        </w:rPr>
        <w:t xml:space="preserve">a </w:t>
      </w:r>
      <w:r w:rsidRPr="00B92BDF">
        <w:rPr>
          <w:rFonts w:ascii="Times New Roman" w:hAnsi="Times New Roman" w:cs="Times New Roman"/>
          <w:color w:val="000000" w:themeColor="text1"/>
          <w:sz w:val="24"/>
          <w:lang w:val="en-GB"/>
        </w:rPr>
        <w:t>0.5 percentage point difference between short- and mid-term bond returns and mid- and long-term bond returns. In 2008–2011 the average returns on mid-term and long-term bonds seem to be almost equal and exceed short-term returns by 1.5 percentage points. On the contrary, in 2012–2017 the difference between mid- and long-term yields is almost 2 percentage points.</w:t>
      </w:r>
    </w:p>
    <w:p w:rsidR="00A76009" w:rsidRPr="00B92BDF" w:rsidRDefault="001A1304" w:rsidP="00EA5EAB">
      <w:pPr>
        <w:autoSpaceDE w:val="0"/>
        <w:autoSpaceDN w:val="0"/>
        <w:adjustRightInd w:val="0"/>
        <w:spacing w:after="0" w:line="240" w:lineRule="auto"/>
        <w:ind w:firstLine="708"/>
        <w:jc w:val="both"/>
        <w:rPr>
          <w:rFonts w:ascii="Times New Roman" w:eastAsia="TTE266F9A0t00" w:hAnsi="Times New Roman" w:cs="Times New Roman"/>
          <w:color w:val="000000" w:themeColor="text1"/>
          <w:sz w:val="24"/>
          <w:szCs w:val="24"/>
          <w:lang w:val="en-GB"/>
        </w:rPr>
      </w:pPr>
      <w:r w:rsidRPr="00B92BDF">
        <w:rPr>
          <w:rFonts w:ascii="Times New Roman" w:hAnsi="Times New Roman" w:cs="Times New Roman"/>
          <w:color w:val="000000" w:themeColor="text1"/>
          <w:sz w:val="24"/>
          <w:lang w:val="en-GB"/>
        </w:rPr>
        <w:t xml:space="preserve">The volatility </w:t>
      </w:r>
      <w:r w:rsidR="00A76009" w:rsidRPr="00B92BDF">
        <w:rPr>
          <w:rFonts w:ascii="Times New Roman" w:hAnsi="Times New Roman" w:cs="Times New Roman"/>
          <w:color w:val="000000" w:themeColor="text1"/>
          <w:sz w:val="24"/>
          <w:lang w:val="en-GB"/>
        </w:rPr>
        <w:t xml:space="preserve">from 2005 to 2011 </w:t>
      </w:r>
      <w:r w:rsidR="00A76009" w:rsidRPr="00B92BDF">
        <w:rPr>
          <w:rFonts w:ascii="Times New Roman" w:hAnsi="Times New Roman" w:cs="Times New Roman"/>
          <w:strike/>
          <w:color w:val="000000" w:themeColor="text1"/>
          <w:sz w:val="24"/>
          <w:lang w:val="en-GB"/>
        </w:rPr>
        <w:t>it</w:t>
      </w:r>
      <w:r w:rsidR="00A76009" w:rsidRPr="00B92BDF">
        <w:rPr>
          <w:rFonts w:ascii="Times New Roman" w:hAnsi="Times New Roman" w:cs="Times New Roman"/>
          <w:color w:val="000000" w:themeColor="text1"/>
          <w:sz w:val="24"/>
          <w:lang w:val="en-GB"/>
        </w:rPr>
        <w:t xml:space="preserve"> declines with maturity. </w:t>
      </w:r>
      <w:r w:rsidRPr="00B92BDF">
        <w:rPr>
          <w:rFonts w:ascii="Times New Roman" w:hAnsi="Times New Roman" w:cs="Times New Roman"/>
          <w:color w:val="000000" w:themeColor="text1"/>
          <w:sz w:val="24"/>
          <w:lang w:val="en-GB"/>
        </w:rPr>
        <w:t>Such situation is</w:t>
      </w:r>
      <w:r w:rsidR="00A76009" w:rsidRPr="00B92BDF">
        <w:rPr>
          <w:rFonts w:ascii="Times New Roman" w:hAnsi="Times New Roman" w:cs="Times New Roman"/>
          <w:color w:val="000000" w:themeColor="text1"/>
          <w:sz w:val="24"/>
          <w:lang w:val="en-GB"/>
        </w:rPr>
        <w:t xml:space="preserve"> consistent with the results of Ilmanen (1995) who claims that </w:t>
      </w:r>
      <w:r w:rsidR="00A76009" w:rsidRPr="00B92BDF">
        <w:rPr>
          <w:rFonts w:ascii="Times New Roman" w:hAnsi="Times New Roman" w:cs="Times New Roman"/>
          <w:bCs/>
          <w:color w:val="000000" w:themeColor="text1"/>
          <w:sz w:val="24"/>
          <w:szCs w:val="24"/>
          <w:lang w:val="en-GB"/>
        </w:rPr>
        <w:t>long-term government bonds are the least risky among all government securities because they are exposed only to the interest rate risk. I</w:t>
      </w:r>
      <w:r w:rsidR="00A76009" w:rsidRPr="00B92BDF">
        <w:rPr>
          <w:rFonts w:ascii="Times New Roman" w:hAnsi="Times New Roman" w:cs="Times New Roman"/>
          <w:color w:val="000000" w:themeColor="text1"/>
          <w:sz w:val="24"/>
          <w:lang w:val="en-GB"/>
        </w:rPr>
        <w:t xml:space="preserve">n 2012–2017 this trend unfolds in accordance with the capital market theory, and longer maturities associate with higher risks. Conversely, </w:t>
      </w:r>
      <w:r w:rsidR="00A76009" w:rsidRPr="00B92BDF">
        <w:rPr>
          <w:rFonts w:ascii="Times New Roman" w:eastAsia="Times New Roman" w:hAnsi="Times New Roman" w:cs="Times New Roman"/>
          <w:color w:val="000000" w:themeColor="text1"/>
          <w:sz w:val="24"/>
          <w:szCs w:val="24"/>
          <w:lang w:val="en-GB" w:eastAsia="ru-RU"/>
        </w:rPr>
        <w:t xml:space="preserve">Eling (2008) demonstrates that the </w:t>
      </w:r>
      <w:r w:rsidR="00A76009" w:rsidRPr="00B92BDF">
        <w:rPr>
          <w:rFonts w:ascii="Times New Roman" w:eastAsia="TTE266F9A0t00" w:hAnsi="Times New Roman" w:cs="Times New Roman"/>
          <w:color w:val="000000" w:themeColor="text1"/>
          <w:sz w:val="24"/>
          <w:szCs w:val="24"/>
          <w:lang w:val="en-GB"/>
        </w:rPr>
        <w:t>functional positive relationship between risk and return is generally true for different kind</w:t>
      </w:r>
      <w:r w:rsidR="008E04DD" w:rsidRPr="00B92BDF">
        <w:rPr>
          <w:rFonts w:ascii="Times New Roman" w:eastAsia="TTE266F9A0t00" w:hAnsi="Times New Roman" w:cs="Times New Roman"/>
          <w:color w:val="000000" w:themeColor="text1"/>
          <w:sz w:val="24"/>
          <w:szCs w:val="24"/>
          <w:lang w:val="en-GB"/>
        </w:rPr>
        <w:t>s</w:t>
      </w:r>
      <w:r w:rsidR="00A76009" w:rsidRPr="00B92BDF">
        <w:rPr>
          <w:rFonts w:ascii="Times New Roman" w:eastAsia="TTE266F9A0t00" w:hAnsi="Times New Roman" w:cs="Times New Roman"/>
          <w:color w:val="000000" w:themeColor="text1"/>
          <w:sz w:val="24"/>
          <w:szCs w:val="24"/>
          <w:lang w:val="en-GB"/>
        </w:rPr>
        <w:t xml:space="preserve"> of</w:t>
      </w:r>
      <w:r w:rsidR="008E04DD" w:rsidRPr="00B92BDF">
        <w:rPr>
          <w:rFonts w:ascii="Times New Roman" w:eastAsia="TTE266F9A0t00" w:hAnsi="Times New Roman" w:cs="Times New Roman"/>
          <w:color w:val="000000" w:themeColor="text1"/>
          <w:sz w:val="24"/>
          <w:szCs w:val="24"/>
          <w:lang w:val="en-GB"/>
        </w:rPr>
        <w:t xml:space="preserve"> financial assets independent of</w:t>
      </w:r>
      <w:r w:rsidR="00A76009" w:rsidRPr="00B92BDF">
        <w:rPr>
          <w:rFonts w:ascii="Times New Roman" w:eastAsia="TTE266F9A0t00" w:hAnsi="Times New Roman" w:cs="Times New Roman"/>
          <w:color w:val="000000" w:themeColor="text1"/>
          <w:sz w:val="24"/>
          <w:szCs w:val="24"/>
          <w:lang w:val="en-GB"/>
        </w:rPr>
        <w:t xml:space="preserve"> other statistical characteristics. </w:t>
      </w:r>
    </w:p>
    <w:p w:rsidR="00A76009" w:rsidRPr="00B92BDF" w:rsidRDefault="00A76009" w:rsidP="00EA5EAB">
      <w:pPr>
        <w:spacing w:after="0" w:line="240" w:lineRule="auto"/>
        <w:jc w:val="both"/>
        <w:rPr>
          <w:rStyle w:val="comment-copy"/>
          <w:rFonts w:ascii="Times New Roman" w:hAnsi="Times New Roman" w:cs="Times New Roman"/>
          <w:color w:val="000000" w:themeColor="text1"/>
          <w:sz w:val="20"/>
          <w:szCs w:val="24"/>
          <w:lang w:val="en-GB"/>
        </w:rPr>
      </w:pPr>
    </w:p>
    <w:tbl>
      <w:tblPr>
        <w:tblStyle w:val="TableGrid"/>
        <w:tblW w:w="10487" w:type="dxa"/>
        <w:jc w:val="center"/>
        <w:tblLook w:val="04A0"/>
      </w:tblPr>
      <w:tblGrid>
        <w:gridCol w:w="600"/>
        <w:gridCol w:w="794"/>
        <w:gridCol w:w="824"/>
        <w:gridCol w:w="829"/>
        <w:gridCol w:w="907"/>
        <w:gridCol w:w="883"/>
        <w:gridCol w:w="795"/>
        <w:gridCol w:w="867"/>
        <w:gridCol w:w="747"/>
        <w:gridCol w:w="851"/>
        <w:gridCol w:w="850"/>
        <w:gridCol w:w="1540"/>
      </w:tblGrid>
      <w:tr w:rsidR="00A76009" w:rsidRPr="00B92BDF" w:rsidTr="00C61C5A">
        <w:trPr>
          <w:trHeight w:val="283"/>
          <w:jc w:val="center"/>
        </w:trPr>
        <w:tc>
          <w:tcPr>
            <w:tcW w:w="600"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p>
        </w:tc>
        <w:tc>
          <w:tcPr>
            <w:tcW w:w="79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Min.</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w:t>
            </w:r>
            <w:r w:rsidRPr="00B92BDF">
              <w:rPr>
                <w:rFonts w:ascii="Times New Roman" w:hAnsi="Times New Roman" w:cs="Times New Roman"/>
                <w:color w:val="000000" w:themeColor="text1"/>
                <w:sz w:val="20"/>
                <w:szCs w:val="20"/>
                <w:vertAlign w:val="superscript"/>
                <w:lang w:val="en-GB"/>
              </w:rPr>
              <w:t>st</w:t>
            </w:r>
            <w:r w:rsidRPr="00B92BDF">
              <w:rPr>
                <w:rFonts w:ascii="Times New Roman" w:hAnsi="Times New Roman" w:cs="Times New Roman"/>
                <w:color w:val="000000" w:themeColor="text1"/>
                <w:sz w:val="20"/>
                <w:szCs w:val="20"/>
                <w:lang w:val="en-GB"/>
              </w:rPr>
              <w:t xml:space="preserve"> Qu.</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Mean</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Median</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3</w:t>
            </w:r>
            <w:r w:rsidRPr="00B92BDF">
              <w:rPr>
                <w:rFonts w:ascii="Times New Roman" w:hAnsi="Times New Roman" w:cs="Times New Roman"/>
                <w:color w:val="000000" w:themeColor="text1"/>
                <w:sz w:val="20"/>
                <w:szCs w:val="20"/>
                <w:vertAlign w:val="superscript"/>
                <w:lang w:val="en-GB"/>
              </w:rPr>
              <w:t>rd</w:t>
            </w:r>
            <w:r w:rsidRPr="00B92BDF">
              <w:rPr>
                <w:rFonts w:ascii="Times New Roman" w:hAnsi="Times New Roman" w:cs="Times New Roman"/>
                <w:color w:val="000000" w:themeColor="text1"/>
                <w:sz w:val="20"/>
                <w:szCs w:val="20"/>
                <w:lang w:val="en-GB"/>
              </w:rPr>
              <w:t xml:space="preserve"> Qu.</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Max.</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Var.</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SD.</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Skew.</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Kurt.</w:t>
            </w:r>
          </w:p>
        </w:tc>
        <w:tc>
          <w:tcPr>
            <w:tcW w:w="1535" w:type="dxa"/>
            <w:tcBorders>
              <w:lef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JB Test</w:t>
            </w:r>
          </w:p>
        </w:tc>
      </w:tr>
      <w:tr w:rsidR="00A76009" w:rsidRPr="00B92BDF" w:rsidTr="00C61C5A">
        <w:trPr>
          <w:trHeight w:val="283"/>
          <w:jc w:val="center"/>
        </w:trPr>
        <w:tc>
          <w:tcPr>
            <w:tcW w:w="10487" w:type="dxa"/>
            <w:gridSpan w:val="12"/>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Sample period 2005-2017</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-0.575</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0.099</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1.200</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0.703</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2.091</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4.145</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2.048</w:t>
            </w:r>
          </w:p>
        </w:tc>
        <w:tc>
          <w:tcPr>
            <w:tcW w:w="747" w:type="dxa"/>
            <w:tcBorders>
              <w:left w:val="nil"/>
              <w:righ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1.431</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0.703</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-0.766</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p-value = 0.004</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de-DE" w:eastAsia="ru-RU"/>
              </w:rPr>
              <w:t>-0.153</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0.657</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2.090</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s-ES_tradnl" w:eastAsia="ru-RU"/>
              </w:rPr>
              <w:t>2.350</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3.038</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4.513</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1.807</w:t>
            </w:r>
          </w:p>
        </w:tc>
        <w:tc>
          <w:tcPr>
            <w:tcW w:w="747" w:type="dxa"/>
            <w:tcBorders>
              <w:left w:val="nil"/>
              <w:righ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1.344</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-0.181</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-1.167</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0.011</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de-DE" w:eastAsia="ru-RU"/>
              </w:rPr>
              <w:t>1.088</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2.538</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3.586</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3.977</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4.492</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eastAsia="ru-RU"/>
              </w:rPr>
              <w:t>5.242</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1.254</w:t>
            </w:r>
          </w:p>
        </w:tc>
        <w:tc>
          <w:tcPr>
            <w:tcW w:w="747" w:type="dxa"/>
            <w:tcBorders>
              <w:left w:val="nil"/>
              <w:righ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1.120</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-0.803</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-0.774</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0.002</w:t>
            </w:r>
          </w:p>
        </w:tc>
      </w:tr>
      <w:tr w:rsidR="00A76009" w:rsidRPr="00B92BDF" w:rsidTr="00C61C5A">
        <w:trPr>
          <w:trHeight w:val="283"/>
          <w:jc w:val="center"/>
        </w:trPr>
        <w:tc>
          <w:tcPr>
            <w:tcW w:w="10487" w:type="dxa"/>
            <w:gridSpan w:val="12"/>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2005-2007</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de-DE"/>
              </w:rPr>
              <w:t>1.954</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2.168</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2.974</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s-ES_tradnl"/>
              </w:rPr>
              <w:t>2.984</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3.747</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4.023</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0.560</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0.748</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-0.071</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-1.621</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0.064</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de-DE"/>
              </w:rPr>
              <w:t>2.434</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2.881</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3.408</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s-ES_tradnl"/>
              </w:rPr>
              <w:t>3.514</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3.892</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4.335</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0.341</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0.584</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-0.182</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-1.306</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0.115</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3.575</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3.823</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4.095</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s-ES_tradnl"/>
              </w:rPr>
              <w:t>4.067</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4.310</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4.660</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0.107</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0.326</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0.190</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-1.076</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0.167</w:t>
            </w:r>
          </w:p>
        </w:tc>
      </w:tr>
      <w:tr w:rsidR="00A76009" w:rsidRPr="00B92BDF" w:rsidTr="00C61C5A">
        <w:trPr>
          <w:trHeight w:val="283"/>
          <w:jc w:val="center"/>
        </w:trPr>
        <w:tc>
          <w:tcPr>
            <w:tcW w:w="10487" w:type="dxa"/>
            <w:gridSpan w:val="12"/>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2008-2011</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de-DE"/>
              </w:rPr>
              <w:t>0.435</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0.695</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1.579</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s-ES_tradnl"/>
              </w:rPr>
              <w:t>1.135</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1.887</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4.145</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1.444</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1.202</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1.147</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-0.139</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0.015</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de-DE"/>
              </w:rPr>
              <w:t>1.962</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2.376</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2.899</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s-ES_tradnl"/>
              </w:rPr>
              <w:t>2.766</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3.146</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4.513</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0.432</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0.657</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0.769</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-0.230</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0.056</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2.073</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2.458</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2.997</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s-ES_tradnl"/>
              </w:rPr>
              <w:t>2.846</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3.208</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4.520</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0.081</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0.284</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-0.666</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1.721</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0.038</w:t>
            </w:r>
          </w:p>
        </w:tc>
      </w:tr>
      <w:tr w:rsidR="00A76009" w:rsidRPr="00B92BDF" w:rsidTr="00C61C5A">
        <w:trPr>
          <w:trHeight w:val="283"/>
          <w:jc w:val="center"/>
        </w:trPr>
        <w:tc>
          <w:tcPr>
            <w:tcW w:w="10487" w:type="dxa"/>
            <w:gridSpan w:val="12"/>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lastRenderedPageBreak/>
              <w:t>Subsample 2012-2017</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rPr>
              <w:t>-0.57</w:t>
            </w:r>
            <w:r w:rsidRPr="00B92BDF">
              <w:rPr>
                <w:rStyle w:val="gnkrckgcgsb"/>
                <w:rFonts w:ascii="Times New Roman" w:hAnsi="Times New Roman" w:cs="Times New Roman"/>
                <w:color w:val="000000" w:themeColor="text1"/>
                <w:bdr w:val="none" w:sz="0" w:space="0" w:color="auto" w:frame="1"/>
                <w:lang w:val="de-DE"/>
              </w:rPr>
              <w:t>5</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-0.399</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0.060</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0.050</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0.421</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1.329</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0.230</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0.480</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0.537</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-0.341</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0.095</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de-DE"/>
              </w:rPr>
              <w:t>-0.153</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0.168</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0.891</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s-ES_tradnl"/>
              </w:rPr>
              <w:t>0.539</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1.688</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2.671</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0.709</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0.842</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0.601</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-1.050</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0.029</w:t>
            </w:r>
          </w:p>
        </w:tc>
      </w:tr>
      <w:tr w:rsidR="00A76009" w:rsidRPr="00B92BDF" w:rsidTr="00C61C5A">
        <w:trPr>
          <w:trHeight w:val="283"/>
          <w:jc w:val="center"/>
        </w:trPr>
        <w:tc>
          <w:tcPr>
            <w:tcW w:w="600" w:type="dxa"/>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794" w:type="dxa"/>
            <w:tcBorders>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1.088</w:t>
            </w:r>
          </w:p>
        </w:tc>
        <w:tc>
          <w:tcPr>
            <w:tcW w:w="824"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1.871</w:t>
            </w:r>
          </w:p>
        </w:tc>
        <w:tc>
          <w:tcPr>
            <w:tcW w:w="829"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2.698</w:t>
            </w:r>
          </w:p>
        </w:tc>
        <w:tc>
          <w:tcPr>
            <w:tcW w:w="90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2.281</w:t>
            </w:r>
          </w:p>
        </w:tc>
        <w:tc>
          <w:tcPr>
            <w:tcW w:w="883"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de-DE"/>
              </w:rPr>
              <w:t>3.750</w:t>
            </w:r>
          </w:p>
        </w:tc>
        <w:tc>
          <w:tcPr>
            <w:tcW w:w="795"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rPr>
              <w:t>4.643</w:t>
            </w:r>
          </w:p>
        </w:tc>
        <w:tc>
          <w:tcPr>
            <w:tcW w:w="86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1.090</w:t>
            </w:r>
          </w:p>
        </w:tc>
        <w:tc>
          <w:tcPr>
            <w:tcW w:w="747"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1.044</w:t>
            </w:r>
          </w:p>
        </w:tc>
        <w:tc>
          <w:tcPr>
            <w:tcW w:w="851"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0.281</w:t>
            </w:r>
          </w:p>
        </w:tc>
        <w:tc>
          <w:tcPr>
            <w:tcW w:w="850" w:type="dxa"/>
            <w:tcBorders>
              <w:left w:val="nil"/>
              <w:right w:val="nil"/>
            </w:tcBorders>
            <w:vAlign w:val="center"/>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-1.386</w:t>
            </w:r>
          </w:p>
        </w:tc>
        <w:tc>
          <w:tcPr>
            <w:tcW w:w="1535" w:type="dxa"/>
            <w:tcBorders>
              <w:left w:val="nil"/>
            </w:tcBorders>
            <w:vAlign w:val="center"/>
          </w:tcPr>
          <w:p w:rsidR="00A76009" w:rsidRPr="00B92BDF" w:rsidRDefault="00A76009" w:rsidP="00EA5EAB">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0.042</w:t>
            </w:r>
          </w:p>
        </w:tc>
      </w:tr>
    </w:tbl>
    <w:p w:rsidR="00A76009" w:rsidRPr="00B92BDF" w:rsidRDefault="00A76009" w:rsidP="00EA5EAB">
      <w:pPr>
        <w:spacing w:before="240" w:after="0" w:line="240" w:lineRule="auto"/>
        <w:jc w:val="center"/>
        <w:rPr>
          <w:rFonts w:ascii="Times New Roman" w:eastAsia="Times New Roman" w:hAnsi="Times New Roman" w:cs="Times New Roman"/>
          <w:color w:val="000000" w:themeColor="text1"/>
          <w:sz w:val="24"/>
          <w:szCs w:val="24"/>
          <w:lang w:val="en-GB" w:eastAsia="ru-RU"/>
        </w:rPr>
      </w:pPr>
      <w:proofErr w:type="gramStart"/>
      <w:r w:rsidRPr="00B92BDF">
        <w:rPr>
          <w:rFonts w:ascii="Times New Roman" w:eastAsia="Times New Roman" w:hAnsi="Times New Roman" w:cs="Times New Roman"/>
          <w:color w:val="000000" w:themeColor="text1"/>
          <w:sz w:val="24"/>
          <w:szCs w:val="24"/>
          <w:lang w:val="en-GB" w:eastAsia="ru-RU"/>
        </w:rPr>
        <w:t>Table 2.</w:t>
      </w:r>
      <w:proofErr w:type="gramEnd"/>
      <w:r w:rsidRPr="00B92BDF">
        <w:rPr>
          <w:rFonts w:ascii="Times New Roman" w:eastAsia="Times New Roman" w:hAnsi="Times New Roman" w:cs="Times New Roman"/>
          <w:color w:val="000000" w:themeColor="text1"/>
          <w:sz w:val="24"/>
          <w:szCs w:val="24"/>
          <w:lang w:val="en-GB" w:eastAsia="ru-RU"/>
        </w:rPr>
        <w:t xml:space="preserve"> Summary statistics for the short-, mid- and long-term bond yields, 2005</w:t>
      </w:r>
      <w:r w:rsidRPr="00B92BDF">
        <w:rPr>
          <w:rFonts w:ascii="Times New Roman" w:hAnsi="Times New Roman" w:cs="Times New Roman"/>
          <w:color w:val="000000" w:themeColor="text1"/>
          <w:sz w:val="24"/>
          <w:szCs w:val="24"/>
          <w:lang w:val="en-GB"/>
        </w:rPr>
        <w:t>–</w:t>
      </w:r>
      <w:r w:rsidRPr="00B92BDF">
        <w:rPr>
          <w:rFonts w:ascii="Times New Roman" w:eastAsia="Times New Roman" w:hAnsi="Times New Roman" w:cs="Times New Roman"/>
          <w:color w:val="000000" w:themeColor="text1"/>
          <w:sz w:val="24"/>
          <w:szCs w:val="24"/>
          <w:lang w:val="en-GB" w:eastAsia="ru-RU"/>
        </w:rPr>
        <w:t>2017.</w:t>
      </w:r>
    </w:p>
    <w:p w:rsidR="00A76009" w:rsidRPr="00B92BDF" w:rsidRDefault="00A76009" w:rsidP="00EA5EAB">
      <w:pPr>
        <w:spacing w:after="0" w:line="240" w:lineRule="auto"/>
        <w:jc w:val="center"/>
        <w:rPr>
          <w:rFonts w:ascii="Times New Roman" w:hAnsi="Times New Roman" w:cs="Times New Roman"/>
          <w:color w:val="000000" w:themeColor="text1"/>
          <w:sz w:val="24"/>
          <w:lang w:val="en-GB"/>
        </w:rPr>
      </w:pPr>
      <w:r w:rsidRPr="00B92BDF">
        <w:rPr>
          <w:rFonts w:ascii="Times New Roman" w:eastAsia="Times New Roman" w:hAnsi="Times New Roman" w:cs="Times New Roman"/>
          <w:color w:val="000000" w:themeColor="text1"/>
          <w:sz w:val="24"/>
          <w:szCs w:val="24"/>
          <w:lang w:val="en-GB" w:eastAsia="ru-RU"/>
        </w:rPr>
        <w:t xml:space="preserve">The full table is in Appendix A. </w:t>
      </w:r>
      <w:r w:rsidRPr="00B92BDF">
        <w:rPr>
          <w:rFonts w:ascii="Times New Roman" w:hAnsi="Times New Roman" w:cs="Times New Roman"/>
          <w:color w:val="000000" w:themeColor="text1"/>
          <w:sz w:val="24"/>
          <w:lang w:val="en-GB"/>
        </w:rPr>
        <w:t>Source: calculated by the author</w:t>
      </w:r>
      <w:r w:rsidR="003E4D4F" w:rsidRPr="00B92BDF">
        <w:rPr>
          <w:rFonts w:ascii="Times New Roman" w:hAnsi="Times New Roman" w:cs="Times New Roman"/>
          <w:color w:val="000000" w:themeColor="text1"/>
          <w:sz w:val="24"/>
          <w:lang w:val="en-GB"/>
        </w:rPr>
        <w:t>s</w:t>
      </w:r>
      <w:r w:rsidRPr="00B92BDF">
        <w:rPr>
          <w:rFonts w:ascii="Times New Roman" w:hAnsi="Times New Roman" w:cs="Times New Roman"/>
          <w:color w:val="000000" w:themeColor="text1"/>
          <w:sz w:val="24"/>
          <w:lang w:val="en-GB"/>
        </w:rPr>
        <w:t>.</w:t>
      </w:r>
    </w:p>
    <w:p w:rsidR="00A76009" w:rsidRPr="00B92BDF" w:rsidRDefault="00A76009" w:rsidP="00EA5EAB">
      <w:pPr>
        <w:spacing w:after="0" w:line="240" w:lineRule="auto"/>
        <w:jc w:val="both"/>
        <w:rPr>
          <w:rFonts w:ascii="Times New Roman" w:eastAsia="Times New Roman" w:hAnsi="Times New Roman" w:cs="Times New Roman"/>
          <w:color w:val="000000" w:themeColor="text1"/>
          <w:sz w:val="20"/>
          <w:szCs w:val="24"/>
          <w:lang w:val="en-GB" w:eastAsia="ru-RU"/>
        </w:rPr>
      </w:pPr>
    </w:p>
    <w:p w:rsidR="00A76009" w:rsidRPr="00B92BDF" w:rsidRDefault="00A76009" w:rsidP="00EA5EAB">
      <w:pPr>
        <w:spacing w:after="0" w:line="240" w:lineRule="auto"/>
        <w:ind w:firstLine="708"/>
        <w:jc w:val="both"/>
        <w:rPr>
          <w:rFonts w:ascii="Times New Roman" w:eastAsia="Times New Roman" w:hAnsi="Times New Roman" w:cs="Times New Roman"/>
          <w:color w:val="000000" w:themeColor="text1"/>
          <w:sz w:val="24"/>
          <w:szCs w:val="24"/>
          <w:lang w:val="en-GB" w:eastAsia="ru-RU"/>
        </w:rPr>
      </w:pPr>
      <w:r w:rsidRPr="00B92BDF">
        <w:rPr>
          <w:rFonts w:ascii="Times New Roman" w:hAnsi="Times New Roman" w:cs="Times New Roman"/>
          <w:color w:val="000000" w:themeColor="text1"/>
          <w:sz w:val="24"/>
          <w:lang w:val="en-GB"/>
        </w:rPr>
        <w:t xml:space="preserve">In addition, higher central moments of distribution, particularly, </w:t>
      </w:r>
      <w:r w:rsidRPr="00B92BDF">
        <w:rPr>
          <w:rFonts w:ascii="Times New Roman" w:hAnsi="Times New Roman" w:cs="Times New Roman"/>
          <w:color w:val="000000" w:themeColor="text1"/>
          <w:sz w:val="24"/>
          <w:szCs w:val="24"/>
          <w:lang w:val="en-GB"/>
        </w:rPr>
        <w:t xml:space="preserve">skewness and kurtosis, are also taken into consideration. </w:t>
      </w:r>
      <w:r w:rsidR="00933D7B" w:rsidRPr="00B92BDF">
        <w:rPr>
          <w:rFonts w:ascii="Times New Roman" w:hAnsi="Times New Roman" w:cs="Times New Roman"/>
          <w:color w:val="000000" w:themeColor="text1"/>
          <w:sz w:val="24"/>
          <w:szCs w:val="24"/>
          <w:lang w:val="en-GB"/>
        </w:rPr>
        <w:t>T</w:t>
      </w:r>
      <w:r w:rsidRPr="00B92BDF">
        <w:rPr>
          <w:rFonts w:ascii="Times New Roman" w:hAnsi="Times New Roman" w:cs="Times New Roman"/>
          <w:color w:val="000000" w:themeColor="text1"/>
          <w:sz w:val="24"/>
          <w:szCs w:val="24"/>
          <w:lang w:val="en-GB"/>
        </w:rPr>
        <w:t xml:space="preserve">hey might play an important role </w:t>
      </w:r>
      <w:r w:rsidR="005815F2" w:rsidRPr="00B92BDF">
        <w:rPr>
          <w:rFonts w:ascii="Times New Roman" w:hAnsi="Times New Roman" w:cs="Times New Roman"/>
          <w:color w:val="000000" w:themeColor="text1"/>
          <w:sz w:val="24"/>
          <w:szCs w:val="24"/>
          <w:lang w:val="en-GB"/>
        </w:rPr>
        <w:t xml:space="preserve">during the analysis </w:t>
      </w:r>
      <w:r w:rsidR="00933D7B" w:rsidRPr="00B92BDF">
        <w:rPr>
          <w:rFonts w:ascii="Times New Roman" w:hAnsi="Times New Roman" w:cs="Times New Roman"/>
          <w:color w:val="000000" w:themeColor="text1"/>
          <w:sz w:val="24"/>
          <w:szCs w:val="24"/>
          <w:lang w:val="en-GB"/>
        </w:rPr>
        <w:t xml:space="preserve">of </w:t>
      </w:r>
      <w:r w:rsidRPr="00B92BDF">
        <w:rPr>
          <w:rFonts w:ascii="Times New Roman" w:hAnsi="Times New Roman" w:cs="Times New Roman"/>
          <w:color w:val="000000" w:themeColor="text1"/>
          <w:sz w:val="24"/>
          <w:szCs w:val="24"/>
          <w:lang w:val="en-GB"/>
        </w:rPr>
        <w:t xml:space="preserve">non-normal return distributions and investment </w:t>
      </w:r>
      <w:r w:rsidR="005815F2" w:rsidRPr="00B92BDF">
        <w:rPr>
          <w:rFonts w:ascii="Times New Roman" w:hAnsi="Times New Roman" w:cs="Times New Roman"/>
          <w:color w:val="000000" w:themeColor="text1"/>
          <w:sz w:val="24"/>
          <w:szCs w:val="24"/>
          <w:lang w:val="en-GB"/>
        </w:rPr>
        <w:t xml:space="preserve">making </w:t>
      </w:r>
      <w:r w:rsidRPr="00B92BDF">
        <w:rPr>
          <w:rFonts w:ascii="Times New Roman" w:hAnsi="Times New Roman" w:cs="Times New Roman"/>
          <w:color w:val="000000" w:themeColor="text1"/>
          <w:sz w:val="24"/>
          <w:szCs w:val="24"/>
          <w:lang w:val="en-GB"/>
        </w:rPr>
        <w:t xml:space="preserve">decisions. Skewness mainly describes how </w:t>
      </w:r>
      <w:r w:rsidR="005815F2" w:rsidRPr="00B92BDF">
        <w:rPr>
          <w:rFonts w:ascii="Times New Roman" w:hAnsi="Times New Roman" w:cs="Times New Roman"/>
          <w:color w:val="000000" w:themeColor="text1"/>
          <w:sz w:val="24"/>
          <w:szCs w:val="24"/>
          <w:lang w:val="en-GB"/>
        </w:rPr>
        <w:t xml:space="preserve">is </w:t>
      </w:r>
      <w:r w:rsidRPr="00B92BDF">
        <w:rPr>
          <w:rFonts w:ascii="Times New Roman" w:hAnsi="Times New Roman" w:cs="Times New Roman"/>
          <w:color w:val="000000" w:themeColor="text1"/>
          <w:sz w:val="24"/>
          <w:szCs w:val="24"/>
          <w:lang w:val="en-GB"/>
        </w:rPr>
        <w:t xml:space="preserve">asymmetric the distribution. A positive skewness indicates that more observations are found in the right tail of the distribution. </w:t>
      </w:r>
      <w:r w:rsidRPr="00B92BDF">
        <w:rPr>
          <w:rFonts w:ascii="Times New Roman" w:hAnsi="Times New Roman" w:cs="Times New Roman"/>
          <w:color w:val="000000" w:themeColor="text1"/>
          <w:sz w:val="24"/>
          <w:lang w:val="en-GB"/>
        </w:rPr>
        <w:t xml:space="preserve">Kurtosis measures the degree to which a distribution is more or less peaked than a normal distribution. A return distribution exhibiting high kurtosis tends to overestimate the </w:t>
      </w:r>
      <w:r w:rsidRPr="00B92BDF">
        <w:rPr>
          <w:rStyle w:val="Emphasis"/>
          <w:rFonts w:ascii="Times New Roman" w:hAnsi="Times New Roman" w:cs="Times New Roman"/>
          <w:i w:val="0"/>
          <w:color w:val="000000" w:themeColor="text1"/>
          <w:sz w:val="24"/>
          <w:lang w:val="en-GB"/>
        </w:rPr>
        <w:t>probability</w:t>
      </w:r>
      <w:r w:rsidRPr="00B92BDF">
        <w:rPr>
          <w:rStyle w:val="Emphasis"/>
          <w:rFonts w:ascii="Times New Roman" w:hAnsi="Times New Roman" w:cs="Times New Roman"/>
          <w:color w:val="000000" w:themeColor="text1"/>
          <w:sz w:val="24"/>
          <w:lang w:val="en-GB"/>
        </w:rPr>
        <w:t xml:space="preserve"> </w:t>
      </w:r>
      <w:r w:rsidRPr="00B92BDF">
        <w:rPr>
          <w:rFonts w:ascii="Times New Roman" w:hAnsi="Times New Roman" w:cs="Times New Roman"/>
          <w:color w:val="000000" w:themeColor="text1"/>
          <w:sz w:val="24"/>
          <w:lang w:val="en-GB"/>
        </w:rPr>
        <w:t>of achieving the average return. A</w:t>
      </w:r>
      <w:r w:rsidRPr="00B92BDF">
        <w:rPr>
          <w:rFonts w:ascii="Times New Roman" w:eastAsia="Times New Roman" w:hAnsi="Times New Roman" w:cs="Times New Roman"/>
          <w:color w:val="000000" w:themeColor="text1"/>
          <w:sz w:val="24"/>
          <w:szCs w:val="24"/>
          <w:lang w:val="en-GB" w:eastAsia="ru-RU"/>
        </w:rPr>
        <w:t xml:space="preserve">ssuming rationality and risk aversion, investors would prefer assets and portfolios with positive skewness and </w:t>
      </w:r>
      <w:r w:rsidRPr="00B92BDF">
        <w:rPr>
          <w:rFonts w:ascii="Times New Roman" w:hAnsi="Times New Roman" w:cs="Times New Roman"/>
          <w:color w:val="000000" w:themeColor="text1"/>
          <w:sz w:val="24"/>
          <w:lang w:val="en-GB"/>
        </w:rPr>
        <w:t>negative kurtosis (</w:t>
      </w:r>
      <w:proofErr w:type="spellStart"/>
      <w:r w:rsidRPr="00B92BDF">
        <w:rPr>
          <w:rFonts w:ascii="Times New Roman" w:eastAsia="Times New Roman" w:hAnsi="Times New Roman" w:cs="Times New Roman"/>
          <w:color w:val="000000" w:themeColor="text1"/>
          <w:sz w:val="24"/>
          <w:szCs w:val="24"/>
          <w:lang w:val="en-GB" w:eastAsia="ru-RU"/>
        </w:rPr>
        <w:t>Bacmann</w:t>
      </w:r>
      <w:proofErr w:type="spellEnd"/>
      <w:r w:rsidRPr="00B92BDF">
        <w:rPr>
          <w:rFonts w:ascii="Times New Roman" w:eastAsia="Times New Roman" w:hAnsi="Times New Roman" w:cs="Times New Roman"/>
          <w:color w:val="000000" w:themeColor="text1"/>
          <w:sz w:val="24"/>
          <w:szCs w:val="24"/>
          <w:lang w:val="en-GB" w:eastAsia="ru-RU"/>
        </w:rPr>
        <w:t xml:space="preserve"> </w:t>
      </w:r>
      <w:r w:rsidR="00F06614" w:rsidRPr="00B92BDF">
        <w:rPr>
          <w:rFonts w:ascii="Times New Roman" w:eastAsia="Times New Roman" w:hAnsi="Times New Roman" w:cs="Times New Roman"/>
          <w:color w:val="000000" w:themeColor="text1"/>
          <w:sz w:val="24"/>
          <w:szCs w:val="24"/>
          <w:lang w:val="en-GB" w:eastAsia="ru-RU"/>
        </w:rPr>
        <w:t>and</w:t>
      </w:r>
      <w:r w:rsidRPr="00B92BDF">
        <w:rPr>
          <w:rFonts w:ascii="Times New Roman" w:eastAsia="Times New Roman" w:hAnsi="Times New Roman" w:cs="Times New Roman"/>
          <w:color w:val="000000" w:themeColor="text1"/>
          <w:sz w:val="24"/>
          <w:szCs w:val="24"/>
          <w:lang w:val="en-GB" w:eastAsia="ru-RU"/>
        </w:rPr>
        <w:t xml:space="preserve"> </w:t>
      </w:r>
      <w:proofErr w:type="spellStart"/>
      <w:r w:rsidRPr="00B92BDF">
        <w:rPr>
          <w:rFonts w:ascii="Times New Roman" w:eastAsia="Times New Roman" w:hAnsi="Times New Roman" w:cs="Times New Roman"/>
          <w:color w:val="000000" w:themeColor="text1"/>
          <w:sz w:val="24"/>
          <w:szCs w:val="24"/>
          <w:lang w:val="en-GB" w:eastAsia="ru-RU"/>
        </w:rPr>
        <w:t>Scholz</w:t>
      </w:r>
      <w:proofErr w:type="spellEnd"/>
      <w:r w:rsidRPr="00B92BDF">
        <w:rPr>
          <w:rFonts w:ascii="Times New Roman" w:eastAsia="Times New Roman" w:hAnsi="Times New Roman" w:cs="Times New Roman"/>
          <w:color w:val="000000" w:themeColor="text1"/>
          <w:sz w:val="24"/>
          <w:szCs w:val="24"/>
          <w:lang w:val="en-GB" w:eastAsia="ru-RU"/>
        </w:rPr>
        <w:t xml:space="preserve">, 2003; </w:t>
      </w:r>
      <w:r w:rsidRPr="00B92BDF">
        <w:rPr>
          <w:rFonts w:ascii="Times New Roman" w:hAnsi="Times New Roman" w:cs="Times New Roman"/>
          <w:color w:val="000000" w:themeColor="text1"/>
          <w:sz w:val="24"/>
          <w:szCs w:val="24"/>
          <w:lang w:val="en-GB"/>
        </w:rPr>
        <w:t xml:space="preserve">Harvey </w:t>
      </w:r>
      <w:r w:rsidR="00F06614" w:rsidRPr="00B92BDF">
        <w:rPr>
          <w:rFonts w:ascii="Times New Roman" w:hAnsi="Times New Roman" w:cs="Times New Roman"/>
          <w:color w:val="000000" w:themeColor="text1"/>
          <w:sz w:val="24"/>
          <w:szCs w:val="24"/>
          <w:lang w:val="en-GB"/>
        </w:rPr>
        <w:t>and</w:t>
      </w:r>
      <w:r w:rsidRPr="00B92BDF">
        <w:rPr>
          <w:rFonts w:ascii="Times New Roman" w:hAnsi="Times New Roman" w:cs="Times New Roman"/>
          <w:color w:val="000000" w:themeColor="text1"/>
          <w:sz w:val="24"/>
          <w:szCs w:val="24"/>
          <w:lang w:val="en-GB"/>
        </w:rPr>
        <w:t xml:space="preserve"> Siddique, 2000</w:t>
      </w:r>
      <w:r w:rsidRPr="00B92BDF">
        <w:rPr>
          <w:rFonts w:ascii="Times New Roman" w:eastAsia="Times New Roman" w:hAnsi="Times New Roman" w:cs="Times New Roman"/>
          <w:color w:val="000000" w:themeColor="text1"/>
          <w:sz w:val="24"/>
          <w:szCs w:val="24"/>
          <w:lang w:val="en-GB" w:eastAsia="ru-RU"/>
        </w:rPr>
        <w:t>).</w:t>
      </w:r>
    </w:p>
    <w:p w:rsidR="0058410B" w:rsidRPr="00B92BDF" w:rsidRDefault="00A76009" w:rsidP="00251D28">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eastAsia="Times New Roman" w:hAnsi="Times New Roman" w:cs="Times New Roman"/>
          <w:color w:val="000000" w:themeColor="text1"/>
          <w:sz w:val="24"/>
          <w:szCs w:val="24"/>
          <w:lang w:val="en-GB" w:eastAsia="ru-RU"/>
        </w:rPr>
        <w:t xml:space="preserve">The results are, in general, consistent with the theory. </w:t>
      </w:r>
      <w:r w:rsidR="005F7D4B" w:rsidRPr="00B92BDF">
        <w:rPr>
          <w:rFonts w:ascii="Times New Roman" w:eastAsia="Times New Roman" w:hAnsi="Times New Roman" w:cs="Times New Roman"/>
          <w:color w:val="000000" w:themeColor="text1"/>
          <w:sz w:val="24"/>
          <w:szCs w:val="24"/>
          <w:lang w:val="en-GB" w:eastAsia="ru-RU"/>
        </w:rPr>
        <w:t>I</w:t>
      </w:r>
      <w:r w:rsidRPr="00B92BDF">
        <w:rPr>
          <w:rFonts w:ascii="Times New Roman" w:eastAsia="Times New Roman" w:hAnsi="Times New Roman" w:cs="Times New Roman"/>
          <w:color w:val="000000" w:themeColor="text1"/>
          <w:sz w:val="24"/>
          <w:szCs w:val="24"/>
          <w:lang w:val="en-GB" w:eastAsia="ru-RU"/>
        </w:rPr>
        <w:t>n the pre-crisis years the distributions of short- and mid-term bond returns are characterised with negative skewness while the returns on long-term bonds are positive</w:t>
      </w:r>
      <w:r w:rsidR="008E04DD" w:rsidRPr="00B92BDF">
        <w:rPr>
          <w:rFonts w:ascii="Times New Roman" w:eastAsia="Times New Roman" w:hAnsi="Times New Roman" w:cs="Times New Roman"/>
          <w:color w:val="000000" w:themeColor="text1"/>
          <w:sz w:val="24"/>
          <w:szCs w:val="24"/>
          <w:lang w:val="en-GB" w:eastAsia="ru-RU"/>
        </w:rPr>
        <w:t>ly</w:t>
      </w:r>
      <w:r w:rsidRPr="00B92BDF">
        <w:rPr>
          <w:rFonts w:ascii="Times New Roman" w:eastAsia="Times New Roman" w:hAnsi="Times New Roman" w:cs="Times New Roman"/>
          <w:color w:val="000000" w:themeColor="text1"/>
          <w:sz w:val="24"/>
          <w:szCs w:val="24"/>
          <w:lang w:val="en-GB" w:eastAsia="ru-RU"/>
        </w:rPr>
        <w:t xml:space="preserve"> skewed. During the crises the situation is </w:t>
      </w:r>
      <w:r w:rsidRPr="00B92BDF">
        <w:rPr>
          <w:rFonts w:ascii="Times New Roman" w:eastAsia="Times New Roman" w:hAnsi="Times New Roman" w:cs="Times New Roman"/>
          <w:i/>
          <w:color w:val="000000" w:themeColor="text1"/>
          <w:sz w:val="24"/>
          <w:szCs w:val="24"/>
          <w:lang w:val="en-GB" w:eastAsia="ru-RU"/>
        </w:rPr>
        <w:t>vice versa</w:t>
      </w:r>
      <w:r w:rsidRPr="00B92BDF">
        <w:rPr>
          <w:rFonts w:ascii="Times New Roman" w:eastAsia="Times New Roman" w:hAnsi="Times New Roman" w:cs="Times New Roman"/>
          <w:color w:val="000000" w:themeColor="text1"/>
          <w:sz w:val="24"/>
          <w:szCs w:val="24"/>
          <w:lang w:val="en-GB" w:eastAsia="ru-RU"/>
        </w:rPr>
        <w:t xml:space="preserve">: short- and mid-term returns have positive skewness, but the long-term returns – negative. In </w:t>
      </w:r>
      <w:r w:rsidR="005815F2" w:rsidRPr="00B92BDF">
        <w:rPr>
          <w:rFonts w:ascii="Times New Roman" w:eastAsia="Times New Roman" w:hAnsi="Times New Roman" w:cs="Times New Roman"/>
          <w:color w:val="000000" w:themeColor="text1"/>
          <w:sz w:val="24"/>
          <w:szCs w:val="24"/>
          <w:lang w:val="en-GB" w:eastAsia="ru-RU"/>
        </w:rPr>
        <w:t>2012–2017,</w:t>
      </w:r>
      <w:r w:rsidRPr="00B92BDF">
        <w:rPr>
          <w:rFonts w:ascii="Times New Roman" w:eastAsia="Times New Roman" w:hAnsi="Times New Roman" w:cs="Times New Roman"/>
          <w:color w:val="000000" w:themeColor="text1"/>
          <w:sz w:val="24"/>
          <w:szCs w:val="24"/>
          <w:lang w:val="en-GB" w:eastAsia="ru-RU"/>
        </w:rPr>
        <w:t xml:space="preserve"> the distributions of all bond returns appear to be positive</w:t>
      </w:r>
      <w:r w:rsidR="002E66E6" w:rsidRPr="00B92BDF">
        <w:rPr>
          <w:rFonts w:ascii="Times New Roman" w:eastAsia="Times New Roman" w:hAnsi="Times New Roman" w:cs="Times New Roman"/>
          <w:color w:val="000000" w:themeColor="text1"/>
          <w:sz w:val="24"/>
          <w:szCs w:val="24"/>
          <w:lang w:val="en-GB" w:eastAsia="ru-RU"/>
        </w:rPr>
        <w:t>ly</w:t>
      </w:r>
      <w:r w:rsidR="005815F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skewed. During the whole analysed time period</w:t>
      </w:r>
      <w:r w:rsidR="005815F2"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the returns on bond</w:t>
      </w:r>
      <w:r w:rsidR="002E66E6" w:rsidRPr="00B92BDF">
        <w:rPr>
          <w:rFonts w:ascii="Times New Roman" w:eastAsia="Times New Roman" w:hAnsi="Times New Roman" w:cs="Times New Roman"/>
          <w:color w:val="000000" w:themeColor="text1"/>
          <w:sz w:val="24"/>
          <w:szCs w:val="24"/>
          <w:lang w:val="en-GB" w:eastAsia="ru-RU"/>
        </w:rPr>
        <w:t>s</w:t>
      </w:r>
      <w:r w:rsidRPr="00B92BDF">
        <w:rPr>
          <w:rFonts w:ascii="Times New Roman" w:eastAsia="Times New Roman" w:hAnsi="Times New Roman" w:cs="Times New Roman"/>
          <w:color w:val="000000" w:themeColor="text1"/>
          <w:sz w:val="24"/>
          <w:szCs w:val="24"/>
          <w:lang w:val="en-GB" w:eastAsia="ru-RU"/>
        </w:rPr>
        <w:t xml:space="preserve"> of all maturities have negative kurtosis. However,</w:t>
      </w:r>
      <w:r w:rsidR="00C61C5A" w:rsidRPr="00B92BDF">
        <w:rPr>
          <w:rFonts w:ascii="Times New Roman" w:eastAsia="Times New Roman" w:hAnsi="Times New Roman" w:cs="Times New Roman"/>
          <w:color w:val="000000" w:themeColor="text1"/>
          <w:sz w:val="24"/>
          <w:szCs w:val="24"/>
          <w:lang w:val="en-GB" w:eastAsia="ru-RU"/>
        </w:rPr>
        <w:t xml:space="preserve"> these </w:t>
      </w:r>
      <w:r w:rsidRPr="00B92BDF">
        <w:rPr>
          <w:rFonts w:ascii="Times New Roman" w:eastAsia="Times New Roman" w:hAnsi="Times New Roman" w:cs="Times New Roman"/>
          <w:color w:val="000000" w:themeColor="text1"/>
          <w:sz w:val="24"/>
          <w:szCs w:val="24"/>
          <w:lang w:val="en-GB" w:eastAsia="ru-RU"/>
        </w:rPr>
        <w:t xml:space="preserve">findings contradict </w:t>
      </w:r>
      <w:r w:rsidRPr="00B92BDF">
        <w:rPr>
          <w:rFonts w:ascii="Times New Roman" w:hAnsi="Times New Roman" w:cs="Times New Roman"/>
          <w:color w:val="000000" w:themeColor="text1"/>
          <w:sz w:val="24"/>
          <w:szCs w:val="24"/>
          <w:lang w:val="en-GB"/>
        </w:rPr>
        <w:t xml:space="preserve">Campbell et al. (2001) who observe negative skewness and positive kurtosis analysing US </w:t>
      </w:r>
      <w:r w:rsidR="00C61C5A" w:rsidRPr="00B92BDF">
        <w:rPr>
          <w:rFonts w:ascii="Times New Roman" w:hAnsi="Times New Roman" w:cs="Times New Roman"/>
          <w:color w:val="000000" w:themeColor="text1"/>
          <w:sz w:val="24"/>
          <w:szCs w:val="24"/>
          <w:lang w:val="en-GB"/>
        </w:rPr>
        <w:t xml:space="preserve">Treasury </w:t>
      </w:r>
      <w:r w:rsidRPr="00B92BDF">
        <w:rPr>
          <w:rFonts w:ascii="Times New Roman" w:hAnsi="Times New Roman" w:cs="Times New Roman"/>
          <w:color w:val="000000" w:themeColor="text1"/>
          <w:sz w:val="24"/>
          <w:szCs w:val="24"/>
          <w:lang w:val="en-GB"/>
        </w:rPr>
        <w:t>bond returns.</w:t>
      </w:r>
      <w:r w:rsidR="00251D28" w:rsidRPr="00B92BDF">
        <w:rPr>
          <w:rFonts w:ascii="Times New Roman" w:hAnsi="Times New Roman" w:cs="Times New Roman"/>
          <w:color w:val="000000" w:themeColor="text1"/>
          <w:sz w:val="24"/>
          <w:szCs w:val="24"/>
          <w:lang w:val="en-GB"/>
        </w:rPr>
        <w:t xml:space="preserve"> </w:t>
      </w:r>
      <w:r w:rsidR="0058410B" w:rsidRPr="00B92BDF">
        <w:rPr>
          <w:rFonts w:ascii="Times New Roman" w:hAnsi="Times New Roman" w:cs="Times New Roman"/>
          <w:color w:val="000000" w:themeColor="text1"/>
          <w:sz w:val="24"/>
          <w:szCs w:val="24"/>
          <w:lang w:val="en-GB"/>
        </w:rPr>
        <w:t xml:space="preserve">Table 2(a) outlooks the quick visualisation of discussed </w:t>
      </w:r>
      <w:bookmarkStart w:id="0" w:name="_Hlk536810037"/>
      <w:r w:rsidR="0058410B" w:rsidRPr="00B92BDF">
        <w:rPr>
          <w:rFonts w:ascii="Times New Roman" w:hAnsi="Times New Roman" w:cs="Times New Roman"/>
          <w:color w:val="000000" w:themeColor="text1"/>
          <w:sz w:val="24"/>
          <w:szCs w:val="24"/>
          <w:lang w:val="en-GB"/>
        </w:rPr>
        <w:t>significance of summary statistics</w:t>
      </w:r>
      <w:bookmarkEnd w:id="0"/>
      <w:r w:rsidR="0058410B" w:rsidRPr="00B92BDF">
        <w:rPr>
          <w:rFonts w:ascii="Times New Roman" w:hAnsi="Times New Roman" w:cs="Times New Roman"/>
          <w:color w:val="000000" w:themeColor="text1"/>
          <w:sz w:val="24"/>
          <w:szCs w:val="24"/>
          <w:lang w:val="en-GB"/>
        </w:rPr>
        <w:t>.</w:t>
      </w:r>
    </w:p>
    <w:p w:rsidR="0058410B" w:rsidRPr="00B92BDF" w:rsidRDefault="0058410B" w:rsidP="0058410B">
      <w:pPr>
        <w:spacing w:after="0" w:line="240" w:lineRule="auto"/>
        <w:ind w:firstLine="708"/>
        <w:jc w:val="both"/>
        <w:rPr>
          <w:rFonts w:ascii="Times New Roman" w:hAnsi="Times New Roman" w:cs="Times New Roman"/>
          <w:color w:val="000000" w:themeColor="text1"/>
          <w:sz w:val="24"/>
          <w:szCs w:val="24"/>
          <w:lang w:val="en-GB"/>
        </w:rPr>
      </w:pPr>
    </w:p>
    <w:tbl>
      <w:tblPr>
        <w:tblStyle w:val="TableGrid"/>
        <w:tblW w:w="9249" w:type="dxa"/>
        <w:jc w:val="center"/>
        <w:tblLook w:val="04A0"/>
      </w:tblPr>
      <w:tblGrid>
        <w:gridCol w:w="795"/>
        <w:gridCol w:w="1325"/>
        <w:gridCol w:w="1105"/>
        <w:gridCol w:w="1124"/>
        <w:gridCol w:w="1112"/>
        <w:gridCol w:w="1572"/>
        <w:gridCol w:w="2216"/>
      </w:tblGrid>
      <w:tr w:rsidR="0058410B" w:rsidRPr="00B92BDF" w:rsidTr="00455599">
        <w:trPr>
          <w:trHeight w:val="273"/>
          <w:jc w:val="center"/>
        </w:trPr>
        <w:tc>
          <w:tcPr>
            <w:tcW w:w="795" w:type="dxa"/>
            <w:tcBorders>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bookmarkStart w:id="1" w:name="_Hlk536813143"/>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Mean</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SD.</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Skew.</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Kurt.</w:t>
            </w:r>
          </w:p>
        </w:tc>
        <w:tc>
          <w:tcPr>
            <w:tcW w:w="1572" w:type="dxa"/>
            <w:tcBorders>
              <w:lef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JB Test</w:t>
            </w:r>
          </w:p>
        </w:tc>
        <w:tc>
          <w:tcPr>
            <w:tcW w:w="2216" w:type="dxa"/>
            <w:tcBorders>
              <w:left w:val="nil"/>
            </w:tcBorders>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Key Notes</w:t>
            </w:r>
          </w:p>
        </w:tc>
      </w:tr>
      <w:tr w:rsidR="0058410B" w:rsidRPr="00B92BDF" w:rsidTr="00455599">
        <w:trPr>
          <w:trHeight w:val="273"/>
          <w:jc w:val="center"/>
        </w:trPr>
        <w:tc>
          <w:tcPr>
            <w:tcW w:w="7033" w:type="dxa"/>
            <w:gridSpan w:val="6"/>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r w:rsidRPr="00B92BDF">
              <w:rPr>
                <w:rFonts w:ascii="Times New Roman" w:hAnsi="Times New Roman" w:cs="Times New Roman"/>
                <w:color w:val="000000" w:themeColor="text1"/>
                <w:sz w:val="20"/>
                <w:szCs w:val="20"/>
                <w:lang w:val="en-GB"/>
              </w:rPr>
              <w:t>Sample period 2005-2017</w:t>
            </w:r>
          </w:p>
        </w:tc>
        <w:tc>
          <w:tcPr>
            <w:tcW w:w="2216" w:type="dxa"/>
            <w:vMerge w:val="restart"/>
          </w:tcPr>
          <w:p w:rsidR="0058410B" w:rsidRPr="00B92BDF" w:rsidRDefault="0058410B" w:rsidP="00455599">
            <w:pPr>
              <w:jc w:val="both"/>
              <w:rPr>
                <w:rFonts w:ascii="Times New Roman" w:hAnsi="Times New Roman" w:cs="Times New Roman"/>
                <w:color w:val="000000" w:themeColor="text1"/>
                <w:sz w:val="16"/>
                <w:szCs w:val="16"/>
                <w:lang w:val="en-GB"/>
              </w:rPr>
            </w:pPr>
          </w:p>
          <w:p w:rsidR="0058410B" w:rsidRPr="00B92BDF" w:rsidRDefault="0058410B" w:rsidP="00455599">
            <w:pPr>
              <w:jc w:val="both"/>
              <w:rPr>
                <w:rFonts w:ascii="Times New Roman" w:hAnsi="Times New Roman" w:cs="Times New Roman"/>
                <w:color w:val="000000" w:themeColor="text1"/>
                <w:sz w:val="16"/>
                <w:szCs w:val="16"/>
                <w:lang w:val="en-GB"/>
              </w:rPr>
            </w:pPr>
            <w:r w:rsidRPr="00B92BDF">
              <w:rPr>
                <w:rFonts w:ascii="Times New Roman" w:hAnsi="Times New Roman" w:cs="Times New Roman"/>
                <w:color w:val="000000" w:themeColor="text1"/>
                <w:sz w:val="16"/>
                <w:szCs w:val="16"/>
                <w:lang w:val="en-GB"/>
              </w:rPr>
              <w:t xml:space="preserve">--Average return rises with maturity for all periods </w:t>
            </w:r>
          </w:p>
          <w:p w:rsidR="0058410B" w:rsidRPr="00B92BDF" w:rsidRDefault="0058410B" w:rsidP="00455599">
            <w:pPr>
              <w:jc w:val="both"/>
              <w:rPr>
                <w:rFonts w:ascii="Times New Roman" w:hAnsi="Times New Roman" w:cs="Times New Roman"/>
                <w:color w:val="000000" w:themeColor="text1"/>
                <w:sz w:val="16"/>
                <w:szCs w:val="16"/>
                <w:lang w:val="en-GB"/>
              </w:rPr>
            </w:pPr>
            <w:r w:rsidRPr="00B92BDF">
              <w:rPr>
                <w:rFonts w:ascii="Times New Roman" w:hAnsi="Times New Roman" w:cs="Times New Roman"/>
                <w:color w:val="000000" w:themeColor="text1"/>
                <w:sz w:val="16"/>
                <w:szCs w:val="16"/>
                <w:lang w:val="en-GB"/>
              </w:rPr>
              <w:t xml:space="preserve">--Volatility from 2005 to 2011 declines with maturity whereas it reverses for 2012-17 in accordance with the capital market theory. </w:t>
            </w:r>
          </w:p>
          <w:p w:rsidR="0058410B" w:rsidRPr="00B92BDF" w:rsidRDefault="0058410B" w:rsidP="00455599">
            <w:pPr>
              <w:jc w:val="both"/>
              <w:rPr>
                <w:rFonts w:ascii="Times New Roman" w:eastAsia="Times New Roman" w:hAnsi="Times New Roman" w:cs="Times New Roman"/>
                <w:color w:val="000000" w:themeColor="text1"/>
                <w:sz w:val="16"/>
                <w:szCs w:val="16"/>
                <w:lang w:val="en-GB" w:eastAsia="ru-RU"/>
              </w:rPr>
            </w:pPr>
            <w:r w:rsidRPr="00B92BDF">
              <w:rPr>
                <w:rFonts w:ascii="Times New Roman" w:eastAsia="Times New Roman" w:hAnsi="Times New Roman" w:cs="Times New Roman"/>
                <w:color w:val="000000" w:themeColor="text1"/>
                <w:sz w:val="16"/>
                <w:szCs w:val="16"/>
                <w:lang w:val="en-GB" w:eastAsia="ru-RU"/>
              </w:rPr>
              <w:t xml:space="preserve">--Pre-crisis years the distributions of short- and mid-term bond returns are characterised with negative </w:t>
            </w:r>
            <w:proofErr w:type="spellStart"/>
            <w:r w:rsidRPr="00B92BDF">
              <w:rPr>
                <w:rFonts w:ascii="Times New Roman" w:eastAsia="Times New Roman" w:hAnsi="Times New Roman" w:cs="Times New Roman"/>
                <w:color w:val="000000" w:themeColor="text1"/>
                <w:sz w:val="16"/>
                <w:szCs w:val="16"/>
                <w:lang w:val="en-GB" w:eastAsia="ru-RU"/>
              </w:rPr>
              <w:t>skewness</w:t>
            </w:r>
            <w:proofErr w:type="spellEnd"/>
            <w:r w:rsidRPr="00B92BDF">
              <w:rPr>
                <w:rFonts w:ascii="Times New Roman" w:eastAsia="Times New Roman" w:hAnsi="Times New Roman" w:cs="Times New Roman"/>
                <w:color w:val="000000" w:themeColor="text1"/>
                <w:sz w:val="16"/>
                <w:szCs w:val="16"/>
                <w:lang w:val="en-GB" w:eastAsia="ru-RU"/>
              </w:rPr>
              <w:t xml:space="preserve"> while the returns on long-term bonds are positively skewed. During the crises the situation is vice versa and after crisis</w:t>
            </w:r>
            <w:r w:rsidRPr="00B92BDF">
              <w:rPr>
                <w:rFonts w:ascii="Times New Roman" w:eastAsia="Times New Roman" w:hAnsi="Times New Roman" w:cs="Times New Roman"/>
                <w:i/>
                <w:color w:val="000000" w:themeColor="text1"/>
                <w:sz w:val="16"/>
                <w:szCs w:val="16"/>
                <w:lang w:val="en-GB" w:eastAsia="ru-RU"/>
              </w:rPr>
              <w:t xml:space="preserve"> </w:t>
            </w:r>
            <w:r w:rsidRPr="00B92BDF">
              <w:rPr>
                <w:rFonts w:ascii="Times New Roman" w:eastAsia="Times New Roman" w:hAnsi="Times New Roman" w:cs="Times New Roman"/>
                <w:color w:val="000000" w:themeColor="text1"/>
                <w:sz w:val="16"/>
                <w:szCs w:val="16"/>
                <w:lang w:val="en-GB" w:eastAsia="ru-RU"/>
              </w:rPr>
              <w:t>the distributions of all bond returns appear to be positively skewed.</w:t>
            </w:r>
          </w:p>
          <w:p w:rsidR="0058410B" w:rsidRPr="00B92BDF" w:rsidRDefault="0058410B" w:rsidP="00455599">
            <w:pPr>
              <w:jc w:val="both"/>
              <w:rPr>
                <w:rFonts w:ascii="Times New Roman" w:hAnsi="Times New Roman" w:cs="Times New Roman"/>
                <w:color w:val="000000" w:themeColor="text1"/>
                <w:sz w:val="16"/>
                <w:szCs w:val="16"/>
                <w:lang w:val="en-GB"/>
              </w:rPr>
            </w:pPr>
            <w:r w:rsidRPr="00B92BDF">
              <w:rPr>
                <w:rFonts w:ascii="Times New Roman" w:hAnsi="Times New Roman" w:cs="Times New Roman"/>
                <w:color w:val="000000" w:themeColor="text1"/>
                <w:sz w:val="16"/>
                <w:szCs w:val="16"/>
                <w:lang w:val="en-GB"/>
              </w:rPr>
              <w:t>--</w:t>
            </w:r>
            <w:r w:rsidRPr="00B92BDF">
              <w:rPr>
                <w:rFonts w:ascii="Times New Roman" w:hAnsi="Times New Roman" w:cs="Times New Roman"/>
                <w:color w:val="000000" w:themeColor="text1"/>
                <w:sz w:val="24"/>
                <w:lang w:val="en-GB"/>
              </w:rPr>
              <w:t xml:space="preserve"> </w:t>
            </w:r>
            <w:r w:rsidRPr="00B92BDF">
              <w:rPr>
                <w:rFonts w:ascii="Times New Roman" w:hAnsi="Times New Roman" w:cs="Times New Roman"/>
                <w:color w:val="000000" w:themeColor="text1"/>
                <w:sz w:val="16"/>
                <w:szCs w:val="16"/>
                <w:lang w:val="en-GB"/>
              </w:rPr>
              <w:t>A</w:t>
            </w:r>
            <w:r w:rsidRPr="00B92BDF">
              <w:rPr>
                <w:rFonts w:ascii="Times New Roman" w:eastAsia="Times New Roman" w:hAnsi="Times New Roman" w:cs="Times New Roman"/>
                <w:color w:val="000000" w:themeColor="text1"/>
                <w:sz w:val="16"/>
                <w:szCs w:val="16"/>
                <w:lang w:val="en-GB" w:eastAsia="ru-RU"/>
              </w:rPr>
              <w:t xml:space="preserve">ssuming rationality and risk aversion, investors would prefer assets and portfolios with positive </w:t>
            </w:r>
            <w:proofErr w:type="spellStart"/>
            <w:r w:rsidRPr="00B92BDF">
              <w:rPr>
                <w:rFonts w:ascii="Times New Roman" w:eastAsia="Times New Roman" w:hAnsi="Times New Roman" w:cs="Times New Roman"/>
                <w:color w:val="000000" w:themeColor="text1"/>
                <w:sz w:val="16"/>
                <w:szCs w:val="16"/>
                <w:lang w:val="en-GB" w:eastAsia="ru-RU"/>
              </w:rPr>
              <w:t>skewness</w:t>
            </w:r>
            <w:proofErr w:type="spellEnd"/>
            <w:r w:rsidRPr="00B92BDF">
              <w:rPr>
                <w:rFonts w:ascii="Times New Roman" w:eastAsia="Times New Roman" w:hAnsi="Times New Roman" w:cs="Times New Roman"/>
                <w:color w:val="000000" w:themeColor="text1"/>
                <w:sz w:val="16"/>
                <w:szCs w:val="16"/>
                <w:lang w:val="en-GB" w:eastAsia="ru-RU"/>
              </w:rPr>
              <w:t xml:space="preserve"> and </w:t>
            </w:r>
            <w:r w:rsidRPr="00B92BDF">
              <w:rPr>
                <w:rFonts w:ascii="Times New Roman" w:hAnsi="Times New Roman" w:cs="Times New Roman"/>
                <w:color w:val="000000" w:themeColor="text1"/>
                <w:sz w:val="16"/>
                <w:szCs w:val="16"/>
                <w:lang w:val="en-GB"/>
              </w:rPr>
              <w:t>negative kurtosis</w:t>
            </w:r>
          </w:p>
          <w:p w:rsidR="0058410B" w:rsidRPr="00B92BDF" w:rsidRDefault="0058410B" w:rsidP="00455599">
            <w:pPr>
              <w:jc w:val="center"/>
              <w:rPr>
                <w:rFonts w:ascii="Times New Roman" w:hAnsi="Times New Roman" w:cs="Times New Roman"/>
                <w:color w:val="000000" w:themeColor="text1"/>
                <w:sz w:val="20"/>
                <w:szCs w:val="20"/>
                <w:lang w:val="en-GB"/>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1.200</w:t>
            </w:r>
          </w:p>
        </w:tc>
        <w:tc>
          <w:tcPr>
            <w:tcW w:w="1105" w:type="dxa"/>
            <w:tcBorders>
              <w:left w:val="nil"/>
              <w:righ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1.431</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p-value = 0.004</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2.090(↑)</w:t>
            </w:r>
          </w:p>
        </w:tc>
        <w:tc>
          <w:tcPr>
            <w:tcW w:w="1105" w:type="dxa"/>
            <w:tcBorders>
              <w:left w:val="nil"/>
              <w:righ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1.344(↓)</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0.011</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3.586(↑)</w:t>
            </w:r>
          </w:p>
        </w:tc>
        <w:tc>
          <w:tcPr>
            <w:tcW w:w="1105" w:type="dxa"/>
            <w:tcBorders>
              <w:left w:val="nil"/>
              <w:righ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1.120(↓)</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Style w:val="gnkrckgcgsb"/>
                <w:rFonts w:ascii="Times New Roman" w:hAnsi="Times New Roman" w:cs="Times New Roman"/>
                <w:color w:val="000000" w:themeColor="text1"/>
                <w:bdr w:val="none" w:sz="0" w:space="0" w:color="auto" w:frame="1"/>
                <w:lang w:val="en-GB"/>
              </w:rPr>
              <w:t>(</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0.002</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033" w:type="dxa"/>
            <w:gridSpan w:val="6"/>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r w:rsidRPr="00B92BDF">
              <w:rPr>
                <w:rFonts w:ascii="Times New Roman" w:hAnsi="Times New Roman" w:cs="Times New Roman"/>
                <w:color w:val="000000" w:themeColor="text1"/>
                <w:sz w:val="20"/>
                <w:szCs w:val="20"/>
                <w:lang w:val="en-GB"/>
              </w:rPr>
              <w:t>Subsample 2005-2007</w:t>
            </w:r>
          </w:p>
        </w:tc>
        <w:tc>
          <w:tcPr>
            <w:tcW w:w="2216" w:type="dxa"/>
            <w:vMerge/>
          </w:tcPr>
          <w:p w:rsidR="0058410B" w:rsidRPr="00B92BDF" w:rsidRDefault="0058410B" w:rsidP="00455599">
            <w:pPr>
              <w:jc w:val="center"/>
              <w:rPr>
                <w:rFonts w:ascii="Times New Roman" w:hAnsi="Times New Roman" w:cs="Times New Roman"/>
                <w:color w:val="000000" w:themeColor="text1"/>
                <w:sz w:val="20"/>
                <w:szCs w:val="20"/>
                <w:lang w:val="en-GB"/>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2.974</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0.748</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0.064</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3.408(</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0.584(↓)</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Style w:val="gnkrckgcgsb"/>
                <w:rFonts w:ascii="Times New Roman" w:hAnsi="Times New Roman" w:cs="Times New Roman"/>
                <w:color w:val="000000" w:themeColor="text1"/>
                <w:bdr w:val="none" w:sz="0" w:space="0" w:color="auto" w:frame="1"/>
                <w:lang w:val="en-GB"/>
              </w:rPr>
              <w:t>(</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0.115</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4.095(</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0.326(↓)</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Style w:val="gnkrckgcgsb"/>
                <w:rFonts w:ascii="Times New Roman" w:hAnsi="Times New Roman" w:cs="Times New Roman"/>
                <w:color w:val="000000" w:themeColor="text1"/>
                <w:bdr w:val="none" w:sz="0" w:space="0" w:color="auto" w:frame="1"/>
                <w:lang w:val="en-GB"/>
              </w:rPr>
              <w:t>(</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Style w:val="gnkrckgcgsb"/>
                <w:rFonts w:ascii="Times New Roman" w:hAnsi="Times New Roman" w:cs="Times New Roman"/>
                <w:color w:val="000000" w:themeColor="text1"/>
                <w:bdr w:val="none" w:sz="0" w:space="0" w:color="auto" w:frame="1"/>
                <w:lang w:val="en-GB"/>
              </w:rPr>
              <w:t>(</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0.167</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033" w:type="dxa"/>
            <w:gridSpan w:val="6"/>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r w:rsidRPr="00B92BDF">
              <w:rPr>
                <w:rFonts w:ascii="Times New Roman" w:hAnsi="Times New Roman" w:cs="Times New Roman"/>
                <w:color w:val="000000" w:themeColor="text1"/>
                <w:sz w:val="20"/>
                <w:szCs w:val="20"/>
                <w:lang w:val="en-GB"/>
              </w:rPr>
              <w:t>Subsample 2008-2011</w:t>
            </w:r>
          </w:p>
        </w:tc>
        <w:tc>
          <w:tcPr>
            <w:tcW w:w="2216" w:type="dxa"/>
            <w:vMerge/>
          </w:tcPr>
          <w:p w:rsidR="0058410B" w:rsidRPr="00B92BDF" w:rsidRDefault="0058410B" w:rsidP="00455599">
            <w:pPr>
              <w:jc w:val="center"/>
              <w:rPr>
                <w:rFonts w:ascii="Times New Roman" w:hAnsi="Times New Roman" w:cs="Times New Roman"/>
                <w:color w:val="000000" w:themeColor="text1"/>
                <w:sz w:val="20"/>
                <w:szCs w:val="20"/>
                <w:lang w:val="en-GB"/>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1.579</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1.202</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0.015</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2.899(</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0.657(</w:t>
            </w:r>
            <w:r w:rsidRPr="00B92BDF">
              <w:rPr>
                <w:rFonts w:ascii="Times New Roman" w:eastAsia="Times New Roman" w:hAnsi="Times New Roman" w:cs="Times New Roman"/>
                <w:color w:val="000000" w:themeColor="text1"/>
                <w:sz w:val="20"/>
                <w:szCs w:val="20"/>
                <w:lang w:eastAsia="ru-RU"/>
              </w:rPr>
              <w:t>↓</w:t>
            </w:r>
            <w:r w:rsidRPr="00B92BDF">
              <w:rPr>
                <w:rFonts w:ascii="Times New Roman" w:eastAsia="Times New Roman" w:hAnsi="Times New Roman" w:cs="Times New Roman"/>
                <w:bCs/>
                <w:color w:val="000000" w:themeColor="text1"/>
                <w:sz w:val="20"/>
                <w:szCs w:val="20"/>
                <w:lang w:eastAsia="ru-RU"/>
              </w:rPr>
              <w:t>)</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0.056</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2.997(~</w:t>
            </w:r>
            <w:r w:rsidRPr="00B92BDF">
              <w:rPr>
                <w:rStyle w:val="gnkrckgcgsb"/>
                <w:color w:val="000000" w:themeColor="text1"/>
                <w:bdr w:val="none" w:sz="0" w:space="0" w:color="auto" w:frame="1"/>
              </w:rPr>
              <w:t>)</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0.284(</w:t>
            </w:r>
            <w:r w:rsidRPr="00B92BDF">
              <w:rPr>
                <w:rFonts w:ascii="Times New Roman" w:eastAsia="Times New Roman" w:hAnsi="Times New Roman" w:cs="Times New Roman"/>
                <w:color w:val="000000" w:themeColor="text1"/>
                <w:sz w:val="20"/>
                <w:szCs w:val="20"/>
                <w:lang w:eastAsia="ru-RU"/>
              </w:rPr>
              <w:t>↓</w:t>
            </w:r>
            <w:r w:rsidRPr="00B92BDF">
              <w:rPr>
                <w:rFonts w:ascii="Times New Roman" w:eastAsia="Times New Roman" w:hAnsi="Times New Roman" w:cs="Times New Roman"/>
                <w:bCs/>
                <w:color w:val="000000" w:themeColor="text1"/>
                <w:sz w:val="20"/>
                <w:szCs w:val="20"/>
                <w:lang w:eastAsia="ru-RU"/>
              </w:rPr>
              <w:t>)</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Style w:val="gnkrckgcgsb"/>
                <w:rFonts w:ascii="Times New Roman" w:hAnsi="Times New Roman" w:cs="Times New Roman"/>
                <w:color w:val="000000" w:themeColor="text1"/>
                <w:bdr w:val="none" w:sz="0" w:space="0" w:color="auto" w:frame="1"/>
                <w:lang w:val="en-GB"/>
              </w:rPr>
              <w:t>(</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0.038</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033" w:type="dxa"/>
            <w:gridSpan w:val="6"/>
            <w:vAlign w:val="center"/>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r w:rsidRPr="00B92BDF">
              <w:rPr>
                <w:rFonts w:ascii="Times New Roman" w:hAnsi="Times New Roman" w:cs="Times New Roman"/>
                <w:color w:val="000000" w:themeColor="text1"/>
                <w:sz w:val="20"/>
                <w:szCs w:val="20"/>
                <w:lang w:val="en-GB"/>
              </w:rPr>
              <w:t>Subsample 2012-2017</w:t>
            </w:r>
          </w:p>
        </w:tc>
        <w:tc>
          <w:tcPr>
            <w:tcW w:w="2216" w:type="dxa"/>
            <w:vMerge/>
          </w:tcPr>
          <w:p w:rsidR="0058410B" w:rsidRPr="00B92BDF" w:rsidRDefault="0058410B" w:rsidP="00455599">
            <w:pPr>
              <w:jc w:val="center"/>
              <w:rPr>
                <w:rFonts w:ascii="Times New Roman" w:hAnsi="Times New Roman" w:cs="Times New Roman"/>
                <w:color w:val="000000" w:themeColor="text1"/>
                <w:sz w:val="20"/>
                <w:szCs w:val="20"/>
                <w:lang w:val="en-GB"/>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0.060</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0.480</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w:t>
            </w: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0.095</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0.891(</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0.842(</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Fonts w:ascii="Times New Roman" w:eastAsia="Times New Roman" w:hAnsi="Times New Roman" w:cs="Times New Roman"/>
                <w:bCs/>
                <w:color w:val="000000" w:themeColor="text1"/>
                <w:sz w:val="20"/>
                <w:szCs w:val="20"/>
                <w:lang w:eastAsia="ru-RU"/>
              </w:rPr>
              <w:t>)</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Style w:val="gnkrckgcgsb"/>
                <w:rFonts w:ascii="Times New Roman" w:hAnsi="Times New Roman" w:cs="Times New Roman"/>
                <w:color w:val="000000" w:themeColor="text1"/>
                <w:bdr w:val="none" w:sz="0" w:space="0" w:color="auto" w:frame="1"/>
                <w:lang w:val="en-GB"/>
              </w:rPr>
              <w:t>(</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w:t>
            </w: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0.029</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r w:rsidR="0058410B" w:rsidRPr="00B92BDF" w:rsidTr="00455599">
        <w:trPr>
          <w:trHeight w:val="273"/>
          <w:jc w:val="center"/>
        </w:trPr>
        <w:tc>
          <w:tcPr>
            <w:tcW w:w="795" w:type="dxa"/>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132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bdr w:val="none" w:sz="0" w:space="0" w:color="auto" w:frame="1"/>
                <w:lang w:val="en-GB"/>
              </w:rPr>
              <w:t>2.698(</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Style w:val="gnkrckgcgsb"/>
                <w:color w:val="000000" w:themeColor="text1"/>
                <w:bdr w:val="none" w:sz="0" w:space="0" w:color="auto" w:frame="1"/>
              </w:rPr>
              <w:t>)</w:t>
            </w:r>
          </w:p>
        </w:tc>
        <w:tc>
          <w:tcPr>
            <w:tcW w:w="1105"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1.044(</w:t>
            </w:r>
            <w:r w:rsidRPr="00B92BDF">
              <w:rPr>
                <w:rFonts w:ascii="Times New Roman" w:eastAsia="Times New Roman" w:hAnsi="Times New Roman" w:cs="Times New Roman"/>
                <w:color w:val="000000" w:themeColor="text1"/>
                <w:sz w:val="20"/>
                <w:szCs w:val="20"/>
                <w:bdr w:val="none" w:sz="0" w:space="0" w:color="auto" w:frame="1"/>
                <w:lang w:val="en-GB" w:eastAsia="ru-RU"/>
              </w:rPr>
              <w:t>↑</w:t>
            </w:r>
            <w:r w:rsidRPr="00B92BDF">
              <w:rPr>
                <w:rFonts w:ascii="Times New Roman" w:eastAsia="Times New Roman" w:hAnsi="Times New Roman" w:cs="Times New Roman"/>
                <w:bCs/>
                <w:color w:val="000000" w:themeColor="text1"/>
                <w:sz w:val="20"/>
                <w:szCs w:val="20"/>
                <w:lang w:eastAsia="ru-RU"/>
              </w:rPr>
              <w:t>)</w:t>
            </w:r>
          </w:p>
        </w:tc>
        <w:tc>
          <w:tcPr>
            <w:tcW w:w="1124"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112" w:type="dxa"/>
            <w:tcBorders>
              <w:left w:val="nil"/>
              <w:right w:val="nil"/>
            </w:tcBorders>
            <w:vAlign w:val="center"/>
          </w:tcPr>
          <w:p w:rsidR="0058410B" w:rsidRPr="00B92BDF" w:rsidRDefault="0058410B" w:rsidP="00455599">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w:t>
            </w:r>
            <w:r w:rsidRPr="00B92BDF">
              <w:rPr>
                <w:rFonts w:ascii="Times New Roman" w:hAnsi="Times New Roman" w:cs="Times New Roman"/>
                <w:color w:val="000000" w:themeColor="text1"/>
                <w:sz w:val="20"/>
                <w:szCs w:val="20"/>
                <w:lang w:val="en-GB"/>
              </w:rPr>
              <w:t xml:space="preserve"> </w:t>
            </w:r>
            <w:proofErr w:type="spellStart"/>
            <w:r w:rsidRPr="00B92BDF">
              <w:rPr>
                <w:rFonts w:ascii="Times New Roman" w:hAnsi="Times New Roman" w:cs="Times New Roman"/>
                <w:color w:val="000000" w:themeColor="text1"/>
                <w:sz w:val="20"/>
                <w:szCs w:val="20"/>
                <w:lang w:val="en-GB"/>
              </w:rPr>
              <w:t>tive</w:t>
            </w:r>
            <w:proofErr w:type="spellEnd"/>
            <w:r w:rsidRPr="00B92BDF">
              <w:rPr>
                <w:rFonts w:ascii="Times New Roman" w:hAnsi="Times New Roman" w:cs="Times New Roman"/>
                <w:color w:val="000000" w:themeColor="text1"/>
                <w:sz w:val="20"/>
                <w:szCs w:val="20"/>
                <w:lang w:val="en-GB"/>
              </w:rPr>
              <w:t xml:space="preserve"> </w:t>
            </w:r>
            <w:r w:rsidRPr="00B92BDF">
              <w:rPr>
                <w:rFonts w:ascii="Times New Roman" w:eastAsia="Times New Roman" w:hAnsi="Times New Roman" w:cs="Times New Roman"/>
                <w:color w:val="000000" w:themeColor="text1"/>
                <w:sz w:val="20"/>
                <w:szCs w:val="20"/>
                <w:lang w:eastAsia="ru-RU"/>
              </w:rPr>
              <w:t>(↓)</w:t>
            </w:r>
          </w:p>
        </w:tc>
        <w:tc>
          <w:tcPr>
            <w:tcW w:w="1572" w:type="dxa"/>
            <w:tcBorders>
              <w:left w:val="nil"/>
            </w:tcBorders>
            <w:vAlign w:val="center"/>
          </w:tcPr>
          <w:p w:rsidR="0058410B" w:rsidRPr="00B92BDF" w:rsidRDefault="0058410B" w:rsidP="00455599">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p-value = 0.042</w:t>
            </w:r>
          </w:p>
        </w:tc>
        <w:tc>
          <w:tcPr>
            <w:tcW w:w="2216" w:type="dxa"/>
            <w:vMerge/>
          </w:tcPr>
          <w:p w:rsidR="0058410B" w:rsidRPr="00B92BDF" w:rsidRDefault="0058410B" w:rsidP="00455599">
            <w:pPr>
              <w:jc w:val="center"/>
              <w:rPr>
                <w:rFonts w:ascii="Times New Roman" w:eastAsia="Times New Roman" w:hAnsi="Times New Roman" w:cs="Times New Roman"/>
                <w:color w:val="000000" w:themeColor="text1"/>
                <w:sz w:val="20"/>
                <w:szCs w:val="20"/>
                <w:lang w:val="en-GB" w:eastAsia="ru-RU"/>
              </w:rPr>
            </w:pPr>
          </w:p>
        </w:tc>
      </w:tr>
    </w:tbl>
    <w:bookmarkEnd w:id="1"/>
    <w:p w:rsidR="0058410B" w:rsidRPr="00B92BDF" w:rsidRDefault="0058410B" w:rsidP="0058410B">
      <w:pPr>
        <w:spacing w:before="240" w:after="0" w:line="240" w:lineRule="auto"/>
        <w:jc w:val="center"/>
        <w:rPr>
          <w:rFonts w:ascii="Times New Roman" w:eastAsia="Times New Roman" w:hAnsi="Times New Roman" w:cs="Times New Roman"/>
          <w:color w:val="000000" w:themeColor="text1"/>
          <w:sz w:val="24"/>
          <w:szCs w:val="24"/>
          <w:lang w:val="en-GB" w:eastAsia="ru-RU"/>
        </w:rPr>
      </w:pPr>
      <w:proofErr w:type="gramStart"/>
      <w:r w:rsidRPr="00B92BDF">
        <w:rPr>
          <w:rFonts w:ascii="Times New Roman" w:eastAsia="Times New Roman" w:hAnsi="Times New Roman" w:cs="Times New Roman"/>
          <w:color w:val="000000" w:themeColor="text1"/>
          <w:sz w:val="24"/>
          <w:szCs w:val="24"/>
          <w:lang w:val="en-GB" w:eastAsia="ru-RU"/>
        </w:rPr>
        <w:t>Table 2 (a).</w:t>
      </w:r>
      <w:proofErr w:type="gramEnd"/>
      <w:r w:rsidRPr="00B92BDF">
        <w:rPr>
          <w:rFonts w:ascii="Times New Roman" w:eastAsia="Times New Roman" w:hAnsi="Times New Roman" w:cs="Times New Roman"/>
          <w:color w:val="000000" w:themeColor="text1"/>
          <w:sz w:val="24"/>
          <w:szCs w:val="24"/>
          <w:lang w:val="en-GB" w:eastAsia="ru-RU"/>
        </w:rPr>
        <w:t xml:space="preserve"> Moment</w:t>
      </w:r>
      <w:r w:rsidRPr="00B92BDF">
        <w:rPr>
          <w:rFonts w:ascii="Times New Roman" w:hAnsi="Times New Roman" w:cs="Times New Roman"/>
          <w:color w:val="000000" w:themeColor="text1"/>
          <w:sz w:val="24"/>
          <w:szCs w:val="24"/>
          <w:lang w:val="en-GB"/>
        </w:rPr>
        <w:t xml:space="preserve"> of summary statistics</w:t>
      </w:r>
      <w:r w:rsidRPr="00B92BDF">
        <w:rPr>
          <w:rFonts w:ascii="Times New Roman" w:eastAsia="Times New Roman" w:hAnsi="Times New Roman" w:cs="Times New Roman"/>
          <w:color w:val="000000" w:themeColor="text1"/>
          <w:sz w:val="24"/>
          <w:szCs w:val="24"/>
          <w:lang w:val="en-GB" w:eastAsia="ru-RU"/>
        </w:rPr>
        <w:t xml:space="preserve"> </w:t>
      </w:r>
      <w:r w:rsidR="00251D28" w:rsidRPr="00B92BDF">
        <w:rPr>
          <w:rFonts w:ascii="Times New Roman" w:eastAsia="Times New Roman" w:hAnsi="Times New Roman" w:cs="Times New Roman"/>
          <w:color w:val="000000" w:themeColor="text1"/>
          <w:sz w:val="24"/>
          <w:szCs w:val="24"/>
          <w:lang w:val="en-GB" w:eastAsia="ru-RU"/>
        </w:rPr>
        <w:t>Source: calculated by the authors.</w:t>
      </w:r>
    </w:p>
    <w:p w:rsidR="0058410B" w:rsidRPr="00B92BDF" w:rsidRDefault="0058410B" w:rsidP="0058410B">
      <w:pPr>
        <w:spacing w:after="0" w:line="240" w:lineRule="auto"/>
        <w:jc w:val="both"/>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4"/>
          <w:szCs w:val="24"/>
          <w:lang w:val="en-GB" w:eastAsia="ru-RU"/>
        </w:rPr>
        <w:t>Note:</w:t>
      </w: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 </w:t>
      </w:r>
    </w:p>
    <w:p w:rsidR="0058410B" w:rsidRPr="00B92BDF" w:rsidRDefault="0058410B" w:rsidP="0058410B">
      <w:pPr>
        <w:spacing w:after="0" w:line="240" w:lineRule="auto"/>
        <w:jc w:val="both"/>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 Represents there is a increases in the value </w:t>
      </w:r>
      <w:r w:rsidRPr="00B92BDF">
        <w:rPr>
          <w:rFonts w:ascii="Times New Roman" w:hAnsi="Times New Roman" w:cs="Times New Roman"/>
          <w:color w:val="000000" w:themeColor="text1"/>
          <w:sz w:val="20"/>
          <w:szCs w:val="20"/>
          <w:lang w:val="en-GB"/>
        </w:rPr>
        <w:t>between short- and mid-term bond or mid- and long-term bond</w:t>
      </w:r>
      <w:r w:rsidRPr="00B92BDF">
        <w:rPr>
          <w:rFonts w:ascii="Times New Roman" w:eastAsia="Times New Roman" w:hAnsi="Times New Roman" w:cs="Times New Roman"/>
          <w:color w:val="000000" w:themeColor="text1"/>
          <w:sz w:val="20"/>
          <w:szCs w:val="20"/>
          <w:lang w:val="en-GB" w:eastAsia="ru-RU"/>
        </w:rPr>
        <w:t xml:space="preserve"> </w:t>
      </w:r>
    </w:p>
    <w:p w:rsidR="0058410B" w:rsidRPr="00B92BDF" w:rsidRDefault="0058410B" w:rsidP="0058410B">
      <w:pPr>
        <w:spacing w:after="0" w:line="240" w:lineRule="auto"/>
        <w:jc w:val="both"/>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w:t>
      </w: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 Represents there is a increases in the value </w:t>
      </w:r>
      <w:r w:rsidRPr="00B92BDF">
        <w:rPr>
          <w:rFonts w:ascii="Times New Roman" w:hAnsi="Times New Roman" w:cs="Times New Roman"/>
          <w:color w:val="000000" w:themeColor="text1"/>
          <w:sz w:val="20"/>
          <w:szCs w:val="20"/>
          <w:lang w:val="en-GB"/>
        </w:rPr>
        <w:t>between short- and mid-term bond or mid- and long-term bond</w:t>
      </w:r>
    </w:p>
    <w:p w:rsidR="0058410B" w:rsidRPr="00B92BDF" w:rsidRDefault="0058410B" w:rsidP="0058410B">
      <w:pPr>
        <w:spacing w:after="0" w:line="240" w:lineRule="auto"/>
        <w:jc w:val="both"/>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lastRenderedPageBreak/>
        <w:t>(~</w:t>
      </w:r>
      <w:r w:rsidRPr="00B92BDF">
        <w:rPr>
          <w:rStyle w:val="gnkrckgcgsb"/>
          <w:rFonts w:ascii="Times New Roman" w:hAnsi="Times New Roman" w:cs="Times New Roman"/>
          <w:color w:val="000000" w:themeColor="text1"/>
          <w:sz w:val="20"/>
          <w:szCs w:val="20"/>
          <w:bdr w:val="none" w:sz="0" w:space="0" w:color="auto" w:frame="1"/>
        </w:rPr>
        <w:t xml:space="preserve">) </w:t>
      </w: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Represents the value </w:t>
      </w:r>
      <w:r w:rsidRPr="00B92BDF">
        <w:rPr>
          <w:rFonts w:ascii="Times New Roman" w:hAnsi="Times New Roman" w:cs="Times New Roman"/>
          <w:color w:val="000000" w:themeColor="text1"/>
          <w:sz w:val="20"/>
          <w:szCs w:val="20"/>
          <w:lang w:val="en-GB"/>
        </w:rPr>
        <w:t xml:space="preserve">between short- and mid-term bond </w:t>
      </w:r>
      <w:proofErr w:type="gramStart"/>
      <w:r w:rsidRPr="00B92BDF">
        <w:rPr>
          <w:rFonts w:ascii="Times New Roman" w:hAnsi="Times New Roman" w:cs="Times New Roman"/>
          <w:color w:val="000000" w:themeColor="text1"/>
          <w:sz w:val="20"/>
          <w:szCs w:val="20"/>
          <w:lang w:val="en-GB"/>
        </w:rPr>
        <w:t>or</w:t>
      </w:r>
      <w:proofErr w:type="gramEnd"/>
      <w:r w:rsidRPr="00B92BDF">
        <w:rPr>
          <w:rFonts w:ascii="Times New Roman" w:hAnsi="Times New Roman" w:cs="Times New Roman"/>
          <w:color w:val="000000" w:themeColor="text1"/>
          <w:sz w:val="20"/>
          <w:szCs w:val="20"/>
          <w:lang w:val="en-GB"/>
        </w:rPr>
        <w:t xml:space="preserve"> mid- and long-term bond are almost similar or equal</w:t>
      </w:r>
    </w:p>
    <w:p w:rsidR="0058410B" w:rsidRPr="00B92BDF" w:rsidRDefault="0058410B" w:rsidP="0058410B">
      <w:pPr>
        <w:spacing w:after="0" w:line="240" w:lineRule="auto"/>
        <w:jc w:val="both"/>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proofErr w:type="gramStart"/>
      <w:r w:rsidRPr="00B92BDF">
        <w:rPr>
          <w:rFonts w:ascii="Times New Roman" w:hAnsi="Times New Roman" w:cs="Times New Roman"/>
          <w:color w:val="000000" w:themeColor="text1"/>
          <w:sz w:val="20"/>
          <w:szCs w:val="20"/>
          <w:lang w:val="en-GB"/>
        </w:rPr>
        <w:t>tive</w:t>
      </w:r>
      <w:proofErr w:type="spellEnd"/>
      <w:proofErr w:type="gramEnd"/>
      <w:r w:rsidRPr="00B92BDF">
        <w:rPr>
          <w:rFonts w:ascii="Times New Roman" w:hAnsi="Times New Roman" w:cs="Times New Roman"/>
          <w:color w:val="000000" w:themeColor="text1"/>
          <w:sz w:val="20"/>
          <w:szCs w:val="20"/>
          <w:lang w:val="en-GB"/>
        </w:rPr>
        <w:t xml:space="preserve"> Represents the positive coefficient of </w:t>
      </w:r>
      <w:proofErr w:type="spellStart"/>
      <w:r w:rsidRPr="00B92BDF">
        <w:rPr>
          <w:rFonts w:ascii="Times New Roman" w:hAnsi="Times New Roman" w:cs="Times New Roman"/>
          <w:color w:val="000000" w:themeColor="text1"/>
          <w:sz w:val="20"/>
          <w:szCs w:val="20"/>
          <w:lang w:val="en-GB"/>
        </w:rPr>
        <w:t>Skewness</w:t>
      </w:r>
      <w:proofErr w:type="spellEnd"/>
      <w:r w:rsidRPr="00B92BDF">
        <w:rPr>
          <w:rFonts w:ascii="Times New Roman" w:hAnsi="Times New Roman" w:cs="Times New Roman"/>
          <w:color w:val="000000" w:themeColor="text1"/>
          <w:sz w:val="20"/>
          <w:szCs w:val="20"/>
          <w:lang w:val="en-GB"/>
        </w:rPr>
        <w:t xml:space="preserve"> and Kurtosis coefficients</w:t>
      </w:r>
    </w:p>
    <w:p w:rsidR="0058410B" w:rsidRPr="00B92BDF" w:rsidRDefault="0058410B" w:rsidP="0058410B">
      <w:pPr>
        <w:spacing w:after="0" w:line="240" w:lineRule="auto"/>
        <w:jc w:val="both"/>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 xml:space="preserve">- </w:t>
      </w:r>
      <w:proofErr w:type="spellStart"/>
      <w:proofErr w:type="gramStart"/>
      <w:r w:rsidRPr="00B92BDF">
        <w:rPr>
          <w:rFonts w:ascii="Times New Roman" w:hAnsi="Times New Roman" w:cs="Times New Roman"/>
          <w:color w:val="000000" w:themeColor="text1"/>
          <w:sz w:val="20"/>
          <w:szCs w:val="20"/>
          <w:lang w:val="en-GB"/>
        </w:rPr>
        <w:t>tive</w:t>
      </w:r>
      <w:proofErr w:type="spellEnd"/>
      <w:proofErr w:type="gramEnd"/>
      <w:r w:rsidRPr="00B92BDF">
        <w:rPr>
          <w:rFonts w:ascii="Times New Roman" w:hAnsi="Times New Roman" w:cs="Times New Roman"/>
          <w:color w:val="000000" w:themeColor="text1"/>
          <w:sz w:val="20"/>
          <w:szCs w:val="20"/>
          <w:lang w:val="en-GB"/>
        </w:rPr>
        <w:t xml:space="preserve"> Represents the negative coefficient of </w:t>
      </w:r>
      <w:proofErr w:type="spellStart"/>
      <w:r w:rsidRPr="00B92BDF">
        <w:rPr>
          <w:rFonts w:ascii="Times New Roman" w:hAnsi="Times New Roman" w:cs="Times New Roman"/>
          <w:color w:val="000000" w:themeColor="text1"/>
          <w:sz w:val="20"/>
          <w:szCs w:val="20"/>
          <w:lang w:val="en-GB"/>
        </w:rPr>
        <w:t>Skewness</w:t>
      </w:r>
      <w:proofErr w:type="spellEnd"/>
      <w:r w:rsidRPr="00B92BDF">
        <w:rPr>
          <w:rFonts w:ascii="Times New Roman" w:hAnsi="Times New Roman" w:cs="Times New Roman"/>
          <w:color w:val="000000" w:themeColor="text1"/>
          <w:sz w:val="20"/>
          <w:szCs w:val="20"/>
          <w:lang w:val="en-GB"/>
        </w:rPr>
        <w:t xml:space="preserve"> and Kurtosis coefficients</w:t>
      </w:r>
    </w:p>
    <w:p w:rsidR="0058410B" w:rsidRPr="00B92BDF" w:rsidRDefault="0058410B" w:rsidP="00EA5EAB">
      <w:pPr>
        <w:spacing w:after="0" w:line="240" w:lineRule="auto"/>
        <w:ind w:firstLine="708"/>
        <w:jc w:val="both"/>
        <w:rPr>
          <w:rFonts w:ascii="Times New Roman" w:eastAsia="Times New Roman" w:hAnsi="Times New Roman" w:cs="Times New Roman"/>
          <w:color w:val="000000" w:themeColor="text1"/>
          <w:sz w:val="24"/>
          <w:szCs w:val="24"/>
          <w:lang w:val="en-GB" w:eastAsia="ru-RU"/>
        </w:rPr>
      </w:pPr>
    </w:p>
    <w:p w:rsidR="00A76009" w:rsidRPr="00B92BDF" w:rsidRDefault="00A76009" w:rsidP="00EA5EAB">
      <w:pPr>
        <w:spacing w:after="0" w:line="240" w:lineRule="auto"/>
        <w:ind w:firstLine="708"/>
        <w:jc w:val="both"/>
        <w:rPr>
          <w:rFonts w:ascii="Times New Roman" w:eastAsia="TTE266F9A0t00" w:hAnsi="Times New Roman" w:cs="Times New Roman"/>
          <w:color w:val="000000" w:themeColor="text1"/>
          <w:sz w:val="24"/>
          <w:szCs w:val="24"/>
          <w:lang w:val="en-GB"/>
        </w:rPr>
      </w:pPr>
      <w:r w:rsidRPr="00B92BDF">
        <w:rPr>
          <w:rFonts w:ascii="Times New Roman" w:eastAsia="Times New Roman" w:hAnsi="Times New Roman" w:cs="Times New Roman"/>
          <w:color w:val="000000" w:themeColor="text1"/>
          <w:sz w:val="24"/>
          <w:szCs w:val="24"/>
          <w:lang w:val="en-GB" w:eastAsia="ru-RU"/>
        </w:rPr>
        <w:t xml:space="preserve">For visualisation purposes, the values of standard deviation and skewness of analysed bond returns </w:t>
      </w:r>
      <w:r w:rsidR="002E66E6" w:rsidRPr="00B92BDF">
        <w:rPr>
          <w:rFonts w:ascii="Times New Roman" w:eastAsia="Times New Roman" w:hAnsi="Times New Roman" w:cs="Times New Roman"/>
          <w:color w:val="000000" w:themeColor="text1"/>
          <w:sz w:val="24"/>
          <w:szCs w:val="24"/>
          <w:lang w:val="en-GB" w:eastAsia="ru-RU"/>
        </w:rPr>
        <w:t xml:space="preserve">are plotted </w:t>
      </w:r>
      <w:r w:rsidRPr="00B92BDF">
        <w:rPr>
          <w:rFonts w:ascii="Times New Roman" w:eastAsia="Times New Roman" w:hAnsi="Times New Roman" w:cs="Times New Roman"/>
          <w:color w:val="000000" w:themeColor="text1"/>
          <w:sz w:val="24"/>
          <w:szCs w:val="24"/>
          <w:lang w:val="en-GB" w:eastAsia="ru-RU"/>
        </w:rPr>
        <w:t xml:space="preserve">against term-to-maturity for different time periods. First, </w:t>
      </w:r>
      <w:r w:rsidR="002E66E6" w:rsidRPr="00B92BDF">
        <w:rPr>
          <w:rFonts w:ascii="Times New Roman" w:eastAsia="Times New Roman" w:hAnsi="Times New Roman" w:cs="Times New Roman"/>
          <w:color w:val="000000" w:themeColor="text1"/>
          <w:sz w:val="24"/>
          <w:szCs w:val="24"/>
          <w:lang w:val="en-GB" w:eastAsia="ru-RU"/>
        </w:rPr>
        <w:t>F</w:t>
      </w:r>
      <w:r w:rsidRPr="00B92BDF">
        <w:rPr>
          <w:rFonts w:ascii="Times New Roman" w:eastAsia="Times New Roman" w:hAnsi="Times New Roman" w:cs="Times New Roman"/>
          <w:color w:val="000000" w:themeColor="text1"/>
          <w:sz w:val="24"/>
          <w:szCs w:val="24"/>
          <w:lang w:val="en-GB" w:eastAsia="ru-RU"/>
        </w:rPr>
        <w:t xml:space="preserve">igures 3 and 4 show the evidence that the volatility and skewness of returns are not consistent over time. Second, the relationships risk – maturity and skewness – maturity are non-linear. Third, both standard deviation and skewness vary significantly during the crises 2008–2011 compared to pre-crisis and post-crisis years. </w:t>
      </w:r>
      <w:r w:rsidRPr="00B92BDF">
        <w:rPr>
          <w:rFonts w:ascii="Times New Roman" w:eastAsia="TTE266F9A0t00" w:hAnsi="Times New Roman" w:cs="Times New Roman"/>
          <w:color w:val="000000" w:themeColor="text1"/>
          <w:sz w:val="24"/>
          <w:szCs w:val="24"/>
          <w:lang w:val="en-GB"/>
        </w:rPr>
        <w:t xml:space="preserve">Before 2012 the correlation between risks and term-to-maturity appears to be negative, so risk </w:t>
      </w:r>
      <w:proofErr w:type="gramStart"/>
      <w:r w:rsidRPr="00B92BDF">
        <w:rPr>
          <w:rFonts w:ascii="Times New Roman" w:eastAsia="TTE266F9A0t00" w:hAnsi="Times New Roman" w:cs="Times New Roman"/>
          <w:color w:val="000000" w:themeColor="text1"/>
          <w:sz w:val="24"/>
          <w:szCs w:val="24"/>
          <w:lang w:val="en-GB"/>
        </w:rPr>
        <w:t>averse</w:t>
      </w:r>
      <w:proofErr w:type="gramEnd"/>
      <w:r w:rsidRPr="00B92BDF">
        <w:rPr>
          <w:rFonts w:ascii="Times New Roman" w:eastAsia="TTE266F9A0t00" w:hAnsi="Times New Roman" w:cs="Times New Roman"/>
          <w:color w:val="000000" w:themeColor="text1"/>
          <w:sz w:val="24"/>
          <w:szCs w:val="24"/>
          <w:lang w:val="en-GB"/>
        </w:rPr>
        <w:t xml:space="preserve"> investors may use such a discrepancy as an investment opportunity and invest in long-term bonds to obtain higher returns for lower risk.</w:t>
      </w:r>
    </w:p>
    <w:p w:rsidR="00A76009" w:rsidRPr="00B92BDF" w:rsidRDefault="00A76009" w:rsidP="00EA5EAB">
      <w:pPr>
        <w:spacing w:after="0" w:line="240" w:lineRule="auto"/>
        <w:jc w:val="both"/>
        <w:rPr>
          <w:rFonts w:ascii="Times New Roman" w:eastAsia="Times New Roman" w:hAnsi="Times New Roman" w:cs="Times New Roman"/>
          <w:color w:val="000000" w:themeColor="text1"/>
          <w:sz w:val="20"/>
          <w:szCs w:val="24"/>
          <w:lang w:val="en-GB" w:eastAsia="ru-RU"/>
        </w:rPr>
      </w:pPr>
    </w:p>
    <w:p w:rsidR="00A76009" w:rsidRPr="00B92BDF" w:rsidRDefault="00D97E0C" w:rsidP="00EA5EAB">
      <w:pPr>
        <w:spacing w:after="0" w:line="240" w:lineRule="auto"/>
        <w:jc w:val="center"/>
        <w:rPr>
          <w:rFonts w:ascii="Times New Roman" w:eastAsia="Times New Roman" w:hAnsi="Times New Roman" w:cs="Times New Roman"/>
          <w:color w:val="000000" w:themeColor="text1"/>
          <w:sz w:val="24"/>
          <w:szCs w:val="24"/>
          <w:lang w:val="en-GB" w:eastAsia="ru-RU"/>
        </w:rPr>
      </w:pPr>
      <w:r w:rsidRPr="00B92BDF">
        <w:rPr>
          <w:noProof/>
          <w:color w:val="000000" w:themeColor="text1"/>
        </w:rPr>
        <w:drawing>
          <wp:inline distT="0" distB="0" distL="0" distR="0">
            <wp:extent cx="4703038" cy="2600491"/>
            <wp:effectExtent l="19050" t="0" r="21362" b="9359"/>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4D4F" w:rsidRPr="00B92BDF" w:rsidRDefault="00A76009" w:rsidP="00EA5EAB">
      <w:pPr>
        <w:spacing w:after="0" w:line="240" w:lineRule="auto"/>
        <w:jc w:val="center"/>
        <w:rPr>
          <w:rFonts w:ascii="Times New Roman" w:hAnsi="Times New Roman" w:cs="Times New Roman"/>
          <w:color w:val="000000" w:themeColor="text1"/>
          <w:sz w:val="24"/>
          <w:lang w:val="en-GB"/>
        </w:rPr>
      </w:pPr>
      <w:proofErr w:type="gramStart"/>
      <w:r w:rsidRPr="00B92BDF">
        <w:rPr>
          <w:rFonts w:ascii="Times New Roman" w:eastAsia="Times New Roman" w:hAnsi="Times New Roman" w:cs="Times New Roman"/>
          <w:color w:val="000000" w:themeColor="text1"/>
          <w:sz w:val="24"/>
          <w:szCs w:val="24"/>
          <w:lang w:val="en-GB" w:eastAsia="ru-RU"/>
        </w:rPr>
        <w:t>Figure 3.</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hAnsi="Times New Roman" w:cs="Times New Roman"/>
          <w:color w:val="000000" w:themeColor="text1"/>
          <w:sz w:val="24"/>
          <w:lang w:val="en-GB"/>
        </w:rPr>
        <w:t>Volatility curves for EMU bonds, 2005–2017.</w:t>
      </w:r>
      <w:r w:rsidR="003E4D4F" w:rsidRPr="00B92BDF">
        <w:rPr>
          <w:rFonts w:ascii="Times New Roman" w:hAnsi="Times New Roman" w:cs="Times New Roman"/>
          <w:color w:val="000000" w:themeColor="text1"/>
          <w:sz w:val="24"/>
          <w:lang w:val="en-GB"/>
        </w:rPr>
        <w:t xml:space="preserve"> Source: calculated by the authors, based on ECB data.</w:t>
      </w:r>
    </w:p>
    <w:p w:rsidR="003E4D4F" w:rsidRPr="00B92BDF" w:rsidRDefault="003E4D4F" w:rsidP="00EA5EAB">
      <w:pPr>
        <w:spacing w:after="0" w:line="240" w:lineRule="auto"/>
        <w:jc w:val="center"/>
        <w:rPr>
          <w:rFonts w:ascii="Times New Roman" w:hAnsi="Times New Roman" w:cs="Times New Roman"/>
          <w:color w:val="000000" w:themeColor="text1"/>
          <w:sz w:val="24"/>
          <w:lang w:val="en-GB"/>
        </w:rPr>
      </w:pPr>
    </w:p>
    <w:p w:rsidR="00A76009" w:rsidRPr="00B92BDF" w:rsidRDefault="00A76009" w:rsidP="00EA5EAB">
      <w:pPr>
        <w:spacing w:after="0" w:line="240" w:lineRule="auto"/>
        <w:ind w:firstLine="708"/>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 xml:space="preserve">From the other point of view, analysing the behaviour of </w:t>
      </w:r>
      <w:r w:rsidR="002E66E6" w:rsidRPr="00B92BDF">
        <w:rPr>
          <w:rFonts w:ascii="Times New Roman" w:eastAsia="Times New Roman" w:hAnsi="Times New Roman" w:cs="Times New Roman"/>
          <w:color w:val="000000" w:themeColor="text1"/>
          <w:sz w:val="24"/>
          <w:szCs w:val="24"/>
          <w:lang w:val="en-GB" w:eastAsia="ru-RU"/>
        </w:rPr>
        <w:t xml:space="preserve">the </w:t>
      </w:r>
      <w:r w:rsidRPr="00B92BDF">
        <w:rPr>
          <w:rFonts w:ascii="Times New Roman" w:eastAsia="Times New Roman" w:hAnsi="Times New Roman" w:cs="Times New Roman"/>
          <w:color w:val="000000" w:themeColor="text1"/>
          <w:sz w:val="24"/>
          <w:szCs w:val="24"/>
          <w:lang w:val="en-GB" w:eastAsia="ru-RU"/>
        </w:rPr>
        <w:t xml:space="preserve">skewness curve, one may conclude that in periods of economic and financial stability it is preferable to invest in long-term assets, but during crises and slight recessions the investments with short maturities are more beneficial and have rational basis. </w:t>
      </w:r>
      <w:r w:rsidR="002E66E6" w:rsidRPr="00B92BDF">
        <w:rPr>
          <w:rFonts w:ascii="Times New Roman" w:eastAsia="Times New Roman" w:hAnsi="Times New Roman" w:cs="Times New Roman"/>
          <w:color w:val="000000" w:themeColor="text1"/>
          <w:sz w:val="24"/>
          <w:szCs w:val="24"/>
          <w:lang w:val="en-GB" w:eastAsia="ru-RU"/>
        </w:rPr>
        <w:t xml:space="preserve">In any case, </w:t>
      </w:r>
      <w:r w:rsidRPr="00B92BDF">
        <w:rPr>
          <w:rFonts w:ascii="Times New Roman" w:eastAsia="Times New Roman" w:hAnsi="Times New Roman" w:cs="Times New Roman"/>
          <w:color w:val="000000" w:themeColor="text1"/>
          <w:sz w:val="24"/>
          <w:szCs w:val="24"/>
          <w:lang w:val="en-GB" w:eastAsia="ru-RU"/>
        </w:rPr>
        <w:t>it is necessary to take into account more than one measure characterising the return distribution to make the correct and balanced investment decision.</w:t>
      </w:r>
    </w:p>
    <w:p w:rsidR="00A76009" w:rsidRPr="00B92BDF" w:rsidRDefault="00A76009" w:rsidP="00EA5EAB">
      <w:pPr>
        <w:spacing w:after="0" w:line="240" w:lineRule="auto"/>
        <w:jc w:val="both"/>
        <w:rPr>
          <w:rFonts w:ascii="Times New Roman" w:eastAsia="Times New Roman" w:hAnsi="Times New Roman" w:cs="Times New Roman"/>
          <w:color w:val="000000" w:themeColor="text1"/>
          <w:sz w:val="20"/>
          <w:szCs w:val="24"/>
          <w:lang w:val="en-GB" w:eastAsia="ru-RU"/>
        </w:rPr>
      </w:pPr>
    </w:p>
    <w:p w:rsidR="00A76009" w:rsidRPr="00B92BDF" w:rsidRDefault="00D97E0C" w:rsidP="00EA5EAB">
      <w:pPr>
        <w:spacing w:after="0" w:line="240" w:lineRule="auto"/>
        <w:jc w:val="center"/>
        <w:rPr>
          <w:rFonts w:ascii="Times New Roman" w:eastAsia="Times New Roman" w:hAnsi="Times New Roman" w:cs="Times New Roman"/>
          <w:color w:val="000000" w:themeColor="text1"/>
          <w:sz w:val="24"/>
          <w:szCs w:val="24"/>
          <w:lang w:val="en-GB" w:eastAsia="ru-RU"/>
        </w:rPr>
      </w:pPr>
      <w:r w:rsidRPr="00B92BDF">
        <w:rPr>
          <w:noProof/>
          <w:color w:val="000000" w:themeColor="text1"/>
        </w:rPr>
        <w:lastRenderedPageBreak/>
        <w:drawing>
          <wp:inline distT="0" distB="0" distL="0" distR="0">
            <wp:extent cx="4800600" cy="26670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009" w:rsidRPr="00B92BDF" w:rsidRDefault="00A76009" w:rsidP="00EA5EAB">
      <w:pPr>
        <w:spacing w:after="0" w:line="240" w:lineRule="auto"/>
        <w:jc w:val="center"/>
        <w:rPr>
          <w:rFonts w:ascii="Times New Roman" w:hAnsi="Times New Roman" w:cs="Times New Roman"/>
          <w:color w:val="000000" w:themeColor="text1"/>
          <w:sz w:val="24"/>
          <w:lang w:val="en-GB"/>
        </w:rPr>
      </w:pPr>
      <w:proofErr w:type="gramStart"/>
      <w:r w:rsidRPr="00B92BDF">
        <w:rPr>
          <w:rFonts w:ascii="Times New Roman" w:eastAsia="Times New Roman" w:hAnsi="Times New Roman" w:cs="Times New Roman"/>
          <w:color w:val="000000" w:themeColor="text1"/>
          <w:sz w:val="24"/>
          <w:szCs w:val="24"/>
          <w:lang w:val="en-GB" w:eastAsia="ru-RU"/>
        </w:rPr>
        <w:t>Figure 4.</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hAnsi="Times New Roman" w:cs="Times New Roman"/>
          <w:color w:val="000000" w:themeColor="text1"/>
          <w:sz w:val="24"/>
          <w:lang w:val="en-GB"/>
        </w:rPr>
        <w:t>Skewness curves for EMU bonds, 2005–2017.</w:t>
      </w:r>
      <w:r w:rsidR="003E4D4F" w:rsidRPr="00B92BDF">
        <w:rPr>
          <w:rFonts w:ascii="Times New Roman" w:hAnsi="Times New Roman" w:cs="Times New Roman"/>
          <w:color w:val="000000" w:themeColor="text1"/>
          <w:sz w:val="24"/>
          <w:lang w:val="en-GB"/>
        </w:rPr>
        <w:t xml:space="preserve"> Source: calculated by the authors, based on ECB data.</w:t>
      </w:r>
    </w:p>
    <w:p w:rsidR="003E4D4F" w:rsidRPr="00B92BDF" w:rsidRDefault="003E4D4F" w:rsidP="00EA5EAB">
      <w:pPr>
        <w:spacing w:after="0" w:line="240" w:lineRule="auto"/>
        <w:jc w:val="center"/>
        <w:rPr>
          <w:rFonts w:ascii="Times New Roman" w:hAnsi="Times New Roman" w:cs="Times New Roman"/>
          <w:color w:val="000000" w:themeColor="text1"/>
          <w:sz w:val="24"/>
          <w:lang w:val="en-GB"/>
        </w:rPr>
      </w:pPr>
    </w:p>
    <w:p w:rsidR="00A76009" w:rsidRPr="00B92BDF" w:rsidRDefault="00A76009" w:rsidP="00EA5EAB">
      <w:pPr>
        <w:spacing w:after="0" w:line="240" w:lineRule="auto"/>
        <w:ind w:firstLine="708"/>
        <w:jc w:val="both"/>
        <w:rPr>
          <w:rFonts w:ascii="Times New Roman" w:eastAsia="Times New Roman" w:hAnsi="Times New Roman" w:cs="Times New Roman"/>
          <w:color w:val="000000" w:themeColor="text1"/>
          <w:sz w:val="24"/>
          <w:szCs w:val="24"/>
          <w:lang w:val="en-GB" w:eastAsia="ru-RU"/>
        </w:rPr>
      </w:pPr>
      <w:r w:rsidRPr="00B92BDF">
        <w:rPr>
          <w:rFonts w:ascii="Times New Roman" w:hAnsi="Times New Roman" w:cs="Times New Roman"/>
          <w:color w:val="000000" w:themeColor="text1"/>
          <w:sz w:val="24"/>
          <w:szCs w:val="24"/>
          <w:bdr w:val="none" w:sz="0" w:space="0" w:color="auto" w:frame="1"/>
          <w:lang w:val="en-GB" w:eastAsia="ru-RU"/>
        </w:rPr>
        <w:t xml:space="preserve">In order to test whether bond returns are normally distributed, the Jarque-Bera test of normality is implemented. </w:t>
      </w:r>
      <w:r w:rsidRPr="00B92BDF">
        <w:rPr>
          <w:rStyle w:val="comment-copy"/>
          <w:rFonts w:ascii="Times New Roman" w:hAnsi="Times New Roman" w:cs="Times New Roman"/>
          <w:color w:val="000000" w:themeColor="text1"/>
          <w:sz w:val="24"/>
          <w:szCs w:val="24"/>
          <w:lang w:val="en-GB"/>
        </w:rPr>
        <w:t>The calculations suggest that during the whole sample time period from 2005 to 2017 the return distributions are non-normal because the returns are affected by the large number of events within 12 years and, therefore, exhibit considerable fluctuations. In 2005–2007</w:t>
      </w:r>
      <w:r w:rsidR="002D208D" w:rsidRPr="00B92BDF">
        <w:rPr>
          <w:rStyle w:val="comment-copy"/>
          <w:rFonts w:ascii="Times New Roman" w:hAnsi="Times New Roman" w:cs="Times New Roman"/>
          <w:color w:val="000000" w:themeColor="text1"/>
          <w:sz w:val="24"/>
          <w:szCs w:val="24"/>
          <w:lang w:val="en-GB"/>
        </w:rPr>
        <w:t>,</w:t>
      </w:r>
      <w:r w:rsidRPr="00B92BDF">
        <w:rPr>
          <w:rStyle w:val="comment-copy"/>
          <w:rFonts w:ascii="Times New Roman" w:hAnsi="Times New Roman" w:cs="Times New Roman"/>
          <w:color w:val="000000" w:themeColor="text1"/>
          <w:sz w:val="24"/>
          <w:szCs w:val="24"/>
          <w:lang w:val="en-GB"/>
        </w:rPr>
        <w:t xml:space="preserve"> yields on all bonds follow the normal distribution at </w:t>
      </w:r>
      <w:r w:rsidR="002E66E6" w:rsidRPr="00B92BDF">
        <w:rPr>
          <w:rStyle w:val="comment-copy"/>
          <w:rFonts w:ascii="Times New Roman" w:hAnsi="Times New Roman" w:cs="Times New Roman"/>
          <w:color w:val="000000" w:themeColor="text1"/>
          <w:sz w:val="24"/>
          <w:szCs w:val="24"/>
          <w:lang w:val="en-GB"/>
        </w:rPr>
        <w:t xml:space="preserve">a </w:t>
      </w:r>
      <w:r w:rsidRPr="00B92BDF">
        <w:rPr>
          <w:rStyle w:val="comment-copy"/>
          <w:rFonts w:ascii="Times New Roman" w:hAnsi="Times New Roman" w:cs="Times New Roman"/>
          <w:color w:val="000000" w:themeColor="text1"/>
          <w:sz w:val="24"/>
          <w:szCs w:val="24"/>
          <w:lang w:val="en-GB"/>
        </w:rPr>
        <w:t>5% significance level. During the crises in 2008–2011</w:t>
      </w:r>
      <w:r w:rsidR="002D208D" w:rsidRPr="00B92BDF">
        <w:rPr>
          <w:rStyle w:val="comment-copy"/>
          <w:rFonts w:ascii="Times New Roman" w:hAnsi="Times New Roman" w:cs="Times New Roman"/>
          <w:color w:val="000000" w:themeColor="text1"/>
          <w:sz w:val="24"/>
          <w:szCs w:val="24"/>
          <w:lang w:val="en-GB"/>
        </w:rPr>
        <w:t>,</w:t>
      </w:r>
      <w:r w:rsidRPr="00B92BDF">
        <w:rPr>
          <w:rStyle w:val="comment-copy"/>
          <w:rFonts w:ascii="Times New Roman" w:hAnsi="Times New Roman" w:cs="Times New Roman"/>
          <w:color w:val="000000" w:themeColor="text1"/>
          <w:sz w:val="24"/>
          <w:szCs w:val="24"/>
          <w:lang w:val="en-GB"/>
        </w:rPr>
        <w:t xml:space="preserve"> only mid-term bond returns are consistent with the normal distribution. In 2012–2017</w:t>
      </w:r>
      <w:r w:rsidR="002D208D" w:rsidRPr="00B92BDF">
        <w:rPr>
          <w:rStyle w:val="comment-copy"/>
          <w:rFonts w:ascii="Times New Roman" w:hAnsi="Times New Roman" w:cs="Times New Roman"/>
          <w:color w:val="000000" w:themeColor="text1"/>
          <w:sz w:val="24"/>
          <w:szCs w:val="24"/>
          <w:lang w:val="en-GB"/>
        </w:rPr>
        <w:t>,</w:t>
      </w:r>
      <w:r w:rsidRPr="00B92BDF">
        <w:rPr>
          <w:rStyle w:val="comment-copy"/>
          <w:rFonts w:ascii="Times New Roman" w:hAnsi="Times New Roman" w:cs="Times New Roman"/>
          <w:color w:val="000000" w:themeColor="text1"/>
          <w:sz w:val="24"/>
          <w:szCs w:val="24"/>
          <w:lang w:val="en-GB"/>
        </w:rPr>
        <w:t xml:space="preserve"> only the return distribution of short-term bonds can be considered as normal. To sum up, the normality test </w:t>
      </w:r>
      <w:r w:rsidRPr="00B92BDF">
        <w:rPr>
          <w:rFonts w:ascii="Times New Roman" w:hAnsi="Times New Roman" w:cs="Times New Roman"/>
          <w:color w:val="000000" w:themeColor="text1"/>
          <w:sz w:val="24"/>
          <w:szCs w:val="24"/>
          <w:lang w:val="en-GB"/>
        </w:rPr>
        <w:t xml:space="preserve">shows the evidence of non-normality in data and on a par with skewness and kurtosis coefficients confirms a clear asymmetry in distributions. </w:t>
      </w:r>
      <w:r w:rsidRPr="00B92BDF">
        <w:rPr>
          <w:rStyle w:val="comment-copy"/>
          <w:rFonts w:ascii="Times New Roman" w:hAnsi="Times New Roman" w:cs="Times New Roman"/>
          <w:color w:val="000000" w:themeColor="text1"/>
          <w:sz w:val="24"/>
          <w:szCs w:val="24"/>
          <w:lang w:val="en-GB"/>
        </w:rPr>
        <w:t xml:space="preserve">This </w:t>
      </w:r>
      <w:r w:rsidRPr="00B92BDF">
        <w:rPr>
          <w:rFonts w:ascii="Times New Roman" w:hAnsi="Times New Roman" w:cs="Times New Roman"/>
          <w:color w:val="000000" w:themeColor="text1"/>
          <w:sz w:val="24"/>
          <w:szCs w:val="24"/>
          <w:lang w:val="en-GB"/>
        </w:rPr>
        <w:t xml:space="preserve">actually corresponds to the studies of Joro and Na (2006) and </w:t>
      </w:r>
      <w:r w:rsidRPr="00B92BDF">
        <w:rPr>
          <w:rFonts w:ascii="Times New Roman" w:eastAsia="Times New Roman" w:hAnsi="Times New Roman" w:cs="Times New Roman"/>
          <w:color w:val="000000" w:themeColor="text1"/>
          <w:sz w:val="24"/>
          <w:szCs w:val="24"/>
          <w:lang w:val="en-GB" w:eastAsia="ru-RU"/>
        </w:rPr>
        <w:t xml:space="preserve">Farinelli et al. (2008), who </w:t>
      </w:r>
      <w:r w:rsidRPr="00B92BDF">
        <w:rPr>
          <w:rFonts w:ascii="Times New Roman" w:hAnsi="Times New Roman" w:cs="Times New Roman"/>
          <w:color w:val="000000" w:themeColor="text1"/>
          <w:sz w:val="24"/>
          <w:szCs w:val="24"/>
          <w:lang w:val="en-GB"/>
        </w:rPr>
        <w:t>reveal that most of returns on different financial assets are not normally distributed. To illustrate the non-normality in analysed bond returns, the h</w:t>
      </w:r>
      <w:r w:rsidRPr="00B92BDF">
        <w:rPr>
          <w:rFonts w:ascii="Times New Roman" w:eastAsia="Times New Roman" w:hAnsi="Times New Roman" w:cs="Times New Roman"/>
          <w:color w:val="000000" w:themeColor="text1"/>
          <w:sz w:val="24"/>
          <w:szCs w:val="24"/>
          <w:lang w:val="en-GB" w:eastAsia="ru-RU"/>
        </w:rPr>
        <w:t xml:space="preserve">istograms of bond return distributions are provided in </w:t>
      </w:r>
      <w:r w:rsidR="002E66E6" w:rsidRPr="00B92BDF">
        <w:rPr>
          <w:rFonts w:ascii="Times New Roman" w:eastAsia="Times New Roman" w:hAnsi="Times New Roman" w:cs="Times New Roman"/>
          <w:color w:val="000000" w:themeColor="text1"/>
          <w:sz w:val="24"/>
          <w:szCs w:val="24"/>
          <w:lang w:val="en-GB" w:eastAsia="ru-RU"/>
        </w:rPr>
        <w:t>F</w:t>
      </w:r>
      <w:r w:rsidRPr="00B92BDF">
        <w:rPr>
          <w:rFonts w:ascii="Times New Roman" w:eastAsia="Times New Roman" w:hAnsi="Times New Roman" w:cs="Times New Roman"/>
          <w:color w:val="000000" w:themeColor="text1"/>
          <w:sz w:val="24"/>
          <w:szCs w:val="24"/>
          <w:lang w:val="en-GB" w:eastAsia="ru-RU"/>
        </w:rPr>
        <w:t>igure 5.</w:t>
      </w:r>
    </w:p>
    <w:p w:rsidR="00A76009" w:rsidRPr="00B92BDF" w:rsidRDefault="00A76009" w:rsidP="00EA5EAB">
      <w:pPr>
        <w:spacing w:after="0" w:line="240" w:lineRule="auto"/>
        <w:jc w:val="both"/>
        <w:rPr>
          <w:rFonts w:ascii="Times New Roman" w:eastAsia="Times New Roman" w:hAnsi="Times New Roman" w:cs="Times New Roman"/>
          <w:color w:val="000000" w:themeColor="text1"/>
          <w:sz w:val="20"/>
          <w:szCs w:val="24"/>
          <w:lang w:val="en-GB" w:eastAsia="ru-RU"/>
        </w:rPr>
      </w:pPr>
    </w:p>
    <w:p w:rsidR="00A76009" w:rsidRPr="00B92BDF" w:rsidRDefault="000F7770" w:rsidP="00EA5EAB">
      <w:pPr>
        <w:spacing w:after="0" w:line="240" w:lineRule="auto"/>
        <w:jc w:val="center"/>
        <w:rPr>
          <w:rFonts w:ascii="Times New Roman" w:eastAsia="Times New Roman" w:hAnsi="Times New Roman" w:cs="Times New Roman"/>
          <w:color w:val="000000" w:themeColor="text1"/>
          <w:sz w:val="24"/>
          <w:szCs w:val="24"/>
          <w:lang w:val="en-GB" w:eastAsia="ru-RU"/>
        </w:rPr>
      </w:pPr>
      <w:r w:rsidRPr="00B92BDF">
        <w:rPr>
          <w:noProof/>
          <w:color w:val="000000" w:themeColor="text1"/>
        </w:rPr>
        <w:drawing>
          <wp:inline distT="0" distB="0" distL="0" distR="0">
            <wp:extent cx="5582305" cy="2095500"/>
            <wp:effectExtent l="19050" t="1905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grayscl/>
                    </a:blip>
                    <a:srcRect b="5579"/>
                    <a:stretch/>
                  </pic:blipFill>
                  <pic:spPr bwMode="auto">
                    <a:xfrm>
                      <a:off x="0" y="0"/>
                      <a:ext cx="5590598" cy="209861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6009" w:rsidRPr="00B92BDF" w:rsidRDefault="00A76009" w:rsidP="00EA5EAB">
      <w:pPr>
        <w:spacing w:after="0" w:line="240" w:lineRule="auto"/>
        <w:jc w:val="center"/>
        <w:rPr>
          <w:rFonts w:ascii="Times New Roman" w:eastAsia="Times New Roman" w:hAnsi="Times New Roman" w:cs="Times New Roman"/>
          <w:color w:val="000000" w:themeColor="text1"/>
          <w:sz w:val="24"/>
          <w:szCs w:val="24"/>
          <w:lang w:val="en-GB" w:eastAsia="ru-RU"/>
        </w:rPr>
      </w:pPr>
      <w:proofErr w:type="gramStart"/>
      <w:r w:rsidRPr="00B92BDF">
        <w:rPr>
          <w:rFonts w:ascii="Times New Roman" w:eastAsia="Times New Roman" w:hAnsi="Times New Roman" w:cs="Times New Roman"/>
          <w:color w:val="000000" w:themeColor="text1"/>
          <w:sz w:val="24"/>
          <w:szCs w:val="24"/>
          <w:lang w:val="en-GB" w:eastAsia="ru-RU"/>
        </w:rPr>
        <w:t>Figure 5.</w:t>
      </w:r>
      <w:proofErr w:type="gramEnd"/>
      <w:r w:rsidRPr="00B92BDF">
        <w:rPr>
          <w:rFonts w:ascii="Times New Roman" w:eastAsia="Times New Roman" w:hAnsi="Times New Roman" w:cs="Times New Roman"/>
          <w:color w:val="000000" w:themeColor="text1"/>
          <w:sz w:val="24"/>
          <w:szCs w:val="24"/>
          <w:lang w:val="en-GB" w:eastAsia="ru-RU"/>
        </w:rPr>
        <w:t xml:space="preserve"> Distribution histograms of </w:t>
      </w:r>
      <w:r w:rsidR="006F3BDB" w:rsidRPr="00B92BDF">
        <w:rPr>
          <w:rFonts w:ascii="Times New Roman" w:eastAsia="Times New Roman" w:hAnsi="Times New Roman" w:cs="Times New Roman"/>
          <w:color w:val="000000" w:themeColor="text1"/>
          <w:sz w:val="24"/>
          <w:szCs w:val="24"/>
          <w:lang w:val="en-GB" w:eastAsia="ru-RU"/>
        </w:rPr>
        <w:t xml:space="preserve">the </w:t>
      </w:r>
      <w:r w:rsidRPr="00B92BDF">
        <w:rPr>
          <w:rFonts w:ascii="Times New Roman" w:eastAsia="Times New Roman" w:hAnsi="Times New Roman" w:cs="Times New Roman"/>
          <w:color w:val="000000" w:themeColor="text1"/>
          <w:sz w:val="24"/>
          <w:szCs w:val="24"/>
          <w:lang w:val="en-GB" w:eastAsia="ru-RU"/>
        </w:rPr>
        <w:t xml:space="preserve">short-, mid- and long-term bond returns, 2005–2007. </w:t>
      </w:r>
      <w:r w:rsidRPr="00B92BDF">
        <w:rPr>
          <w:rFonts w:ascii="Times New Roman" w:hAnsi="Times New Roman" w:cs="Times New Roman"/>
          <w:color w:val="000000" w:themeColor="text1"/>
          <w:sz w:val="24"/>
          <w:lang w:val="en-GB"/>
        </w:rPr>
        <w:t>Source: calculated by the author</w:t>
      </w:r>
      <w:r w:rsidR="003E4D4F" w:rsidRPr="00B92BDF">
        <w:rPr>
          <w:rFonts w:ascii="Times New Roman" w:hAnsi="Times New Roman" w:cs="Times New Roman"/>
          <w:color w:val="000000" w:themeColor="text1"/>
          <w:sz w:val="24"/>
          <w:lang w:val="en-GB"/>
        </w:rPr>
        <w:t>s</w:t>
      </w:r>
      <w:r w:rsidRPr="00B92BDF">
        <w:rPr>
          <w:rFonts w:ascii="Times New Roman" w:hAnsi="Times New Roman" w:cs="Times New Roman"/>
          <w:color w:val="000000" w:themeColor="text1"/>
          <w:sz w:val="24"/>
          <w:lang w:val="en-GB"/>
        </w:rPr>
        <w:t>.</w:t>
      </w:r>
    </w:p>
    <w:p w:rsidR="00A76009" w:rsidRPr="00B92BDF" w:rsidRDefault="00A76009" w:rsidP="00EA5EAB">
      <w:pPr>
        <w:spacing w:after="0" w:line="240" w:lineRule="auto"/>
        <w:rPr>
          <w:rFonts w:ascii="Times New Roman" w:eastAsia="Times New Roman" w:hAnsi="Times New Roman" w:cs="Times New Roman"/>
          <w:color w:val="000000" w:themeColor="text1"/>
          <w:sz w:val="20"/>
          <w:szCs w:val="24"/>
          <w:lang w:val="en-GB" w:eastAsia="ru-RU"/>
        </w:rPr>
      </w:pPr>
    </w:p>
    <w:p w:rsidR="006D4037" w:rsidRPr="00B92BDF" w:rsidRDefault="002E66E6"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lang w:val="en-GB"/>
        </w:rPr>
        <w:t>The n</w:t>
      </w:r>
      <w:r w:rsidR="00A76009" w:rsidRPr="00B92BDF">
        <w:rPr>
          <w:rFonts w:ascii="Times New Roman" w:hAnsi="Times New Roman" w:cs="Times New Roman"/>
          <w:color w:val="000000" w:themeColor="text1"/>
          <w:sz w:val="24"/>
          <w:lang w:val="en-GB"/>
        </w:rPr>
        <w:t xml:space="preserve">ext step in the empirical analysis is the calculation and the interpretation of </w:t>
      </w:r>
      <w:r w:rsidR="006D4037" w:rsidRPr="00B92BDF">
        <w:rPr>
          <w:rFonts w:ascii="Times New Roman" w:hAnsi="Times New Roman" w:cs="Times New Roman"/>
          <w:color w:val="000000" w:themeColor="text1"/>
          <w:sz w:val="24"/>
          <w:lang w:val="en-GB"/>
        </w:rPr>
        <w:t xml:space="preserve">the </w:t>
      </w:r>
      <w:r w:rsidR="00A76009" w:rsidRPr="00B92BDF">
        <w:rPr>
          <w:rFonts w:ascii="Times New Roman" w:hAnsi="Times New Roman" w:cs="Times New Roman"/>
          <w:color w:val="000000" w:themeColor="text1"/>
          <w:sz w:val="24"/>
          <w:lang w:val="en-GB"/>
        </w:rPr>
        <w:t xml:space="preserve">Sharpe ratios for </w:t>
      </w:r>
      <w:r w:rsidR="006D4037" w:rsidRPr="00B92BDF">
        <w:rPr>
          <w:rFonts w:ascii="Times New Roman" w:hAnsi="Times New Roman" w:cs="Times New Roman"/>
          <w:color w:val="000000" w:themeColor="text1"/>
          <w:sz w:val="24"/>
          <w:lang w:val="en-GB"/>
        </w:rPr>
        <w:t xml:space="preserve">the </w:t>
      </w:r>
      <w:r w:rsidR="00A76009" w:rsidRPr="00B92BDF">
        <w:rPr>
          <w:rFonts w:ascii="Times New Roman" w:hAnsi="Times New Roman" w:cs="Times New Roman"/>
          <w:color w:val="000000" w:themeColor="text1"/>
          <w:sz w:val="24"/>
          <w:lang w:val="en-GB"/>
        </w:rPr>
        <w:t xml:space="preserve">EMU bonds. The relevant ratios are presented in Table 3. In 2005-2007 the Sharpe ratios for the short- and long-term bonds are four times higher than for the </w:t>
      </w:r>
      <w:r w:rsidRPr="00B92BDF">
        <w:rPr>
          <w:rFonts w:ascii="Times New Roman" w:hAnsi="Times New Roman" w:cs="Times New Roman"/>
          <w:color w:val="000000" w:themeColor="text1"/>
          <w:sz w:val="24"/>
          <w:lang w:val="en-GB"/>
        </w:rPr>
        <w:t>mid-</w:t>
      </w:r>
      <w:r w:rsidRPr="00B92BDF">
        <w:rPr>
          <w:rFonts w:ascii="Times New Roman" w:hAnsi="Times New Roman" w:cs="Times New Roman"/>
          <w:color w:val="000000" w:themeColor="text1"/>
          <w:sz w:val="24"/>
          <w:lang w:val="en-GB"/>
        </w:rPr>
        <w:lastRenderedPageBreak/>
        <w:t>term bonds. During the crisi</w:t>
      </w:r>
      <w:r w:rsidR="00A76009" w:rsidRPr="00B92BDF">
        <w:rPr>
          <w:rFonts w:ascii="Times New Roman" w:hAnsi="Times New Roman" w:cs="Times New Roman"/>
          <w:color w:val="000000" w:themeColor="text1"/>
          <w:sz w:val="24"/>
          <w:lang w:val="en-GB"/>
        </w:rPr>
        <w:t>s period</w:t>
      </w:r>
      <w:r w:rsidR="002D208D" w:rsidRPr="00B92BDF">
        <w:rPr>
          <w:rFonts w:ascii="Times New Roman" w:hAnsi="Times New Roman" w:cs="Times New Roman"/>
          <w:color w:val="000000" w:themeColor="text1"/>
          <w:sz w:val="24"/>
          <w:lang w:val="en-GB"/>
        </w:rPr>
        <w:t>,</w:t>
      </w:r>
      <w:r w:rsidR="00A76009" w:rsidRPr="00B92BDF">
        <w:rPr>
          <w:rFonts w:ascii="Times New Roman" w:hAnsi="Times New Roman" w:cs="Times New Roman"/>
          <w:color w:val="000000" w:themeColor="text1"/>
          <w:sz w:val="24"/>
          <w:lang w:val="en-GB"/>
        </w:rPr>
        <w:t xml:space="preserve"> from 2008</w:t>
      </w:r>
      <w:r w:rsidR="00A76009" w:rsidRPr="00B92BDF">
        <w:rPr>
          <w:rFonts w:ascii="Times New Roman" w:hAnsi="Times New Roman" w:cs="Times New Roman"/>
          <w:color w:val="000000" w:themeColor="text1"/>
          <w:sz w:val="24"/>
          <w:szCs w:val="24"/>
          <w:lang w:val="en-GB"/>
        </w:rPr>
        <w:t xml:space="preserve"> to 2011</w:t>
      </w:r>
      <w:r w:rsidR="002D208D" w:rsidRPr="00B92BDF">
        <w:rPr>
          <w:rFonts w:ascii="Times New Roman" w:hAnsi="Times New Roman" w:cs="Times New Roman"/>
          <w:color w:val="000000" w:themeColor="text1"/>
          <w:sz w:val="24"/>
          <w:szCs w:val="24"/>
          <w:lang w:val="en-GB"/>
        </w:rPr>
        <w:t>,</w:t>
      </w:r>
      <w:r w:rsidR="00A76009" w:rsidRPr="00B92BDF">
        <w:rPr>
          <w:rFonts w:ascii="Times New Roman" w:hAnsi="Times New Roman" w:cs="Times New Roman"/>
          <w:color w:val="000000" w:themeColor="text1"/>
          <w:sz w:val="24"/>
          <w:szCs w:val="24"/>
          <w:lang w:val="en-GB"/>
        </w:rPr>
        <w:t xml:space="preserve"> the Sharpe ratio for the long-term bonds is 10 and 5 times higher than ratios for short- and mid-term bonds respectively. </w:t>
      </w:r>
      <w:r w:rsidR="006D4037" w:rsidRPr="00B92BDF">
        <w:rPr>
          <w:rFonts w:ascii="Times New Roman" w:hAnsi="Times New Roman" w:cs="Times New Roman"/>
          <w:color w:val="000000" w:themeColor="text1"/>
          <w:sz w:val="24"/>
          <w:szCs w:val="24"/>
          <w:lang w:val="en-GB"/>
        </w:rPr>
        <w:t>In 2012–2017 the long-term bonds demonstrate the best reward-to-volatility ratio as well.</w:t>
      </w:r>
      <w:r w:rsidR="008E6461" w:rsidRPr="00B92BDF">
        <w:rPr>
          <w:rFonts w:ascii="Times New Roman" w:hAnsi="Times New Roman" w:cs="Times New Roman"/>
          <w:color w:val="000000" w:themeColor="text1"/>
          <w:sz w:val="24"/>
          <w:szCs w:val="24"/>
          <w:lang w:val="en-GB"/>
        </w:rPr>
        <w:t xml:space="preserve"> Risk-free values is negative in 2012-2017, average return is twice lower in comparison to previous periods as well as risk premium. This situation can be explained by more stable money and bonds market in EU.</w:t>
      </w:r>
    </w:p>
    <w:p w:rsidR="006D4037" w:rsidRPr="00B92BDF" w:rsidRDefault="006D4037" w:rsidP="00EA5EAB">
      <w:pPr>
        <w:spacing w:after="0" w:line="240" w:lineRule="auto"/>
        <w:jc w:val="both"/>
        <w:rPr>
          <w:rFonts w:ascii="Times New Roman" w:hAnsi="Times New Roman" w:cs="Times New Roman"/>
          <w:color w:val="000000" w:themeColor="text1"/>
          <w:sz w:val="20"/>
          <w:szCs w:val="24"/>
          <w:lang w:val="en-GB"/>
        </w:rPr>
      </w:pPr>
    </w:p>
    <w:tbl>
      <w:tblPr>
        <w:tblW w:w="7382" w:type="dxa"/>
        <w:jc w:val="center"/>
        <w:tblLook w:val="04A0"/>
      </w:tblPr>
      <w:tblGrid>
        <w:gridCol w:w="1247"/>
        <w:gridCol w:w="2041"/>
        <w:gridCol w:w="980"/>
        <w:gridCol w:w="980"/>
        <w:gridCol w:w="1000"/>
        <w:gridCol w:w="1134"/>
      </w:tblGrid>
      <w:tr w:rsidR="006D4037" w:rsidRPr="00B92BDF" w:rsidTr="004E05D5">
        <w:trPr>
          <w:trHeight w:val="315"/>
          <w:jc w:val="center"/>
        </w:trPr>
        <w:tc>
          <w:tcPr>
            <w:tcW w:w="1247" w:type="dxa"/>
            <w:tcBorders>
              <w:top w:val="single" w:sz="8" w:space="0" w:color="auto"/>
              <w:left w:val="single" w:sz="8" w:space="0" w:color="auto"/>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Date</w:t>
            </w:r>
          </w:p>
        </w:tc>
        <w:tc>
          <w:tcPr>
            <w:tcW w:w="2041" w:type="dxa"/>
            <w:tcBorders>
              <w:top w:val="single" w:sz="8" w:space="0" w:color="auto"/>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 </w:t>
            </w:r>
          </w:p>
        </w:tc>
        <w:tc>
          <w:tcPr>
            <w:tcW w:w="980" w:type="dxa"/>
            <w:tcBorders>
              <w:top w:val="single" w:sz="8" w:space="0" w:color="auto"/>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ST</w:t>
            </w:r>
          </w:p>
        </w:tc>
        <w:tc>
          <w:tcPr>
            <w:tcW w:w="980" w:type="dxa"/>
            <w:tcBorders>
              <w:top w:val="single" w:sz="8" w:space="0" w:color="auto"/>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MT</w:t>
            </w:r>
          </w:p>
        </w:tc>
        <w:tc>
          <w:tcPr>
            <w:tcW w:w="1000" w:type="dxa"/>
            <w:tcBorders>
              <w:top w:val="single" w:sz="8" w:space="0" w:color="auto"/>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LT</w:t>
            </w:r>
          </w:p>
        </w:tc>
        <w:tc>
          <w:tcPr>
            <w:tcW w:w="1134" w:type="dxa"/>
            <w:tcBorders>
              <w:top w:val="single" w:sz="8" w:space="0" w:color="auto"/>
              <w:bottom w:val="single" w:sz="8" w:space="0" w:color="auto"/>
              <w:right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Risk-free</w:t>
            </w:r>
          </w:p>
        </w:tc>
      </w:tr>
      <w:tr w:rsidR="006D4037" w:rsidRPr="00B92BDF" w:rsidTr="004E05D5">
        <w:trPr>
          <w:trHeight w:val="300"/>
          <w:jc w:val="center"/>
        </w:trPr>
        <w:tc>
          <w:tcPr>
            <w:tcW w:w="124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2005-2007</w:t>
            </w:r>
          </w:p>
        </w:tc>
        <w:tc>
          <w:tcPr>
            <w:tcW w:w="2041" w:type="dxa"/>
            <w:tcBorders>
              <w:top w:val="single" w:sz="8" w:space="0" w:color="auto"/>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Average Return, %</w:t>
            </w:r>
          </w:p>
        </w:tc>
        <w:tc>
          <w:tcPr>
            <w:tcW w:w="980" w:type="dxa"/>
            <w:tcBorders>
              <w:top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2.974</w:t>
            </w:r>
          </w:p>
        </w:tc>
        <w:tc>
          <w:tcPr>
            <w:tcW w:w="980" w:type="dxa"/>
            <w:tcBorders>
              <w:top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3.408</w:t>
            </w:r>
          </w:p>
        </w:tc>
        <w:tc>
          <w:tcPr>
            <w:tcW w:w="1000" w:type="dxa"/>
            <w:tcBorders>
              <w:top w:val="single" w:sz="8" w:space="0" w:color="auto"/>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4.095</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2.882</w:t>
            </w:r>
          </w:p>
        </w:tc>
      </w:tr>
      <w:tr w:rsidR="006D4037" w:rsidRPr="00B92BDF" w:rsidTr="004E05D5">
        <w:trPr>
          <w:trHeight w:val="300"/>
          <w:jc w:val="center"/>
        </w:trPr>
        <w:tc>
          <w:tcPr>
            <w:tcW w:w="1247" w:type="dxa"/>
            <w:vMerge/>
            <w:tcBorders>
              <w:top w:val="single" w:sz="8" w:space="0" w:color="auto"/>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
                <w:bCs/>
                <w:color w:val="000000" w:themeColor="text1"/>
                <w:sz w:val="20"/>
                <w:szCs w:val="20"/>
                <w:lang w:val="en-GB" w:eastAsia="ru-RU"/>
              </w:rPr>
            </w:pPr>
          </w:p>
        </w:tc>
        <w:tc>
          <w:tcPr>
            <w:tcW w:w="2041" w:type="dxa"/>
            <w:tcBorders>
              <w:top w:val="nil"/>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SD, %</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0.748</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0.584</w:t>
            </w:r>
          </w:p>
        </w:tc>
        <w:tc>
          <w:tcPr>
            <w:tcW w:w="1000" w:type="dxa"/>
            <w:tcBorders>
              <w:top w:val="nil"/>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0.326</w:t>
            </w: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00"/>
          <w:jc w:val="center"/>
        </w:trPr>
        <w:tc>
          <w:tcPr>
            <w:tcW w:w="1247" w:type="dxa"/>
            <w:vMerge/>
            <w:tcBorders>
              <w:top w:val="single" w:sz="8" w:space="0" w:color="auto"/>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
                <w:bCs/>
                <w:color w:val="000000" w:themeColor="text1"/>
                <w:sz w:val="20"/>
                <w:szCs w:val="20"/>
                <w:lang w:val="en-GB" w:eastAsia="ru-RU"/>
              </w:rPr>
            </w:pPr>
          </w:p>
        </w:tc>
        <w:tc>
          <w:tcPr>
            <w:tcW w:w="2041" w:type="dxa"/>
            <w:tcBorders>
              <w:top w:val="nil"/>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Risk Premium, %</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2.974</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0.526</w:t>
            </w:r>
          </w:p>
        </w:tc>
        <w:tc>
          <w:tcPr>
            <w:tcW w:w="1000" w:type="dxa"/>
            <w:tcBorders>
              <w:top w:val="nil"/>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1.212</w:t>
            </w: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15"/>
          <w:jc w:val="center"/>
        </w:trPr>
        <w:tc>
          <w:tcPr>
            <w:tcW w:w="1247" w:type="dxa"/>
            <w:vMerge/>
            <w:tcBorders>
              <w:top w:val="single" w:sz="8" w:space="0" w:color="auto"/>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
                <w:bCs/>
                <w:color w:val="000000" w:themeColor="text1"/>
                <w:sz w:val="20"/>
                <w:szCs w:val="20"/>
                <w:lang w:val="en-GB" w:eastAsia="ru-RU"/>
              </w:rPr>
            </w:pPr>
          </w:p>
        </w:tc>
        <w:tc>
          <w:tcPr>
            <w:tcW w:w="2041" w:type="dxa"/>
            <w:tcBorders>
              <w:top w:val="nil"/>
              <w:left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Sharpe Ratio</w:t>
            </w:r>
          </w:p>
        </w:tc>
        <w:tc>
          <w:tcPr>
            <w:tcW w:w="980" w:type="dxa"/>
            <w:tcBorders>
              <w:top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3.973</w:t>
            </w:r>
          </w:p>
        </w:tc>
        <w:tc>
          <w:tcPr>
            <w:tcW w:w="980" w:type="dxa"/>
            <w:tcBorders>
              <w:top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0.900</w:t>
            </w:r>
          </w:p>
        </w:tc>
        <w:tc>
          <w:tcPr>
            <w:tcW w:w="1000" w:type="dxa"/>
            <w:tcBorders>
              <w:top w:val="nil"/>
              <w:bottom w:val="single" w:sz="8" w:space="0" w:color="auto"/>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3.714</w:t>
            </w: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00"/>
          <w:jc w:val="center"/>
        </w:trPr>
        <w:tc>
          <w:tcPr>
            <w:tcW w:w="124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2008-2011</w:t>
            </w:r>
          </w:p>
        </w:tc>
        <w:tc>
          <w:tcPr>
            <w:tcW w:w="2041" w:type="dxa"/>
            <w:tcBorders>
              <w:top w:val="single" w:sz="8" w:space="0" w:color="auto"/>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Average Return, %</w:t>
            </w:r>
          </w:p>
        </w:tc>
        <w:tc>
          <w:tcPr>
            <w:tcW w:w="980" w:type="dxa"/>
            <w:tcBorders>
              <w:top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1.579</w:t>
            </w:r>
          </w:p>
        </w:tc>
        <w:tc>
          <w:tcPr>
            <w:tcW w:w="980" w:type="dxa"/>
            <w:tcBorders>
              <w:top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2.899</w:t>
            </w:r>
          </w:p>
        </w:tc>
        <w:tc>
          <w:tcPr>
            <w:tcW w:w="1000" w:type="dxa"/>
            <w:tcBorders>
              <w:top w:val="single" w:sz="8" w:space="0" w:color="auto"/>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4.537</w:t>
            </w:r>
          </w:p>
        </w:tc>
        <w:tc>
          <w:tcPr>
            <w:tcW w:w="113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1.449</w:t>
            </w:r>
          </w:p>
        </w:tc>
      </w:tr>
      <w:tr w:rsidR="006D4037" w:rsidRPr="00B92BDF" w:rsidTr="004E05D5">
        <w:trPr>
          <w:trHeight w:val="300"/>
          <w:jc w:val="center"/>
        </w:trPr>
        <w:tc>
          <w:tcPr>
            <w:tcW w:w="1247" w:type="dxa"/>
            <w:vMerge/>
            <w:tcBorders>
              <w:top w:val="nil"/>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
                <w:bCs/>
                <w:color w:val="000000" w:themeColor="text1"/>
                <w:sz w:val="20"/>
                <w:szCs w:val="20"/>
                <w:lang w:val="en-GB" w:eastAsia="ru-RU"/>
              </w:rPr>
            </w:pPr>
          </w:p>
        </w:tc>
        <w:tc>
          <w:tcPr>
            <w:tcW w:w="2041" w:type="dxa"/>
            <w:tcBorders>
              <w:top w:val="nil"/>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SD, %</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1.202</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0.657</w:t>
            </w:r>
          </w:p>
        </w:tc>
        <w:tc>
          <w:tcPr>
            <w:tcW w:w="1000" w:type="dxa"/>
            <w:tcBorders>
              <w:top w:val="nil"/>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0.284</w:t>
            </w:r>
          </w:p>
        </w:tc>
        <w:tc>
          <w:tcPr>
            <w:tcW w:w="1134" w:type="dxa"/>
            <w:vMerge/>
            <w:tcBorders>
              <w:top w:val="nil"/>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00"/>
          <w:jc w:val="center"/>
        </w:trPr>
        <w:tc>
          <w:tcPr>
            <w:tcW w:w="1247" w:type="dxa"/>
            <w:vMerge/>
            <w:tcBorders>
              <w:top w:val="nil"/>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
                <w:bCs/>
                <w:color w:val="000000" w:themeColor="text1"/>
                <w:sz w:val="20"/>
                <w:szCs w:val="20"/>
                <w:lang w:val="en-GB" w:eastAsia="ru-RU"/>
              </w:rPr>
            </w:pPr>
          </w:p>
        </w:tc>
        <w:tc>
          <w:tcPr>
            <w:tcW w:w="2041" w:type="dxa"/>
            <w:tcBorders>
              <w:top w:val="nil"/>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Risk Premium, %</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1.579</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1.450</w:t>
            </w:r>
          </w:p>
        </w:tc>
        <w:tc>
          <w:tcPr>
            <w:tcW w:w="1000" w:type="dxa"/>
            <w:tcBorders>
              <w:top w:val="nil"/>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3.088</w:t>
            </w:r>
          </w:p>
        </w:tc>
        <w:tc>
          <w:tcPr>
            <w:tcW w:w="1134" w:type="dxa"/>
            <w:vMerge/>
            <w:tcBorders>
              <w:top w:val="nil"/>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15"/>
          <w:jc w:val="center"/>
        </w:trPr>
        <w:tc>
          <w:tcPr>
            <w:tcW w:w="1247" w:type="dxa"/>
            <w:vMerge/>
            <w:tcBorders>
              <w:top w:val="nil"/>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
                <w:bCs/>
                <w:color w:val="000000" w:themeColor="text1"/>
                <w:sz w:val="20"/>
                <w:szCs w:val="20"/>
                <w:lang w:val="en-GB" w:eastAsia="ru-RU"/>
              </w:rPr>
            </w:pPr>
          </w:p>
        </w:tc>
        <w:tc>
          <w:tcPr>
            <w:tcW w:w="2041" w:type="dxa"/>
            <w:tcBorders>
              <w:top w:val="nil"/>
              <w:left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Sharpe Ratio</w:t>
            </w:r>
          </w:p>
        </w:tc>
        <w:tc>
          <w:tcPr>
            <w:tcW w:w="980" w:type="dxa"/>
            <w:tcBorders>
              <w:top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1.308</w:t>
            </w:r>
          </w:p>
        </w:tc>
        <w:tc>
          <w:tcPr>
            <w:tcW w:w="980" w:type="dxa"/>
            <w:tcBorders>
              <w:top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2.205</w:t>
            </w:r>
          </w:p>
        </w:tc>
        <w:tc>
          <w:tcPr>
            <w:tcW w:w="1000" w:type="dxa"/>
            <w:tcBorders>
              <w:top w:val="nil"/>
              <w:bottom w:val="single" w:sz="8" w:space="0" w:color="auto"/>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10.881</w:t>
            </w:r>
          </w:p>
        </w:tc>
        <w:tc>
          <w:tcPr>
            <w:tcW w:w="1134" w:type="dxa"/>
            <w:vMerge/>
            <w:tcBorders>
              <w:top w:val="nil"/>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00"/>
          <w:jc w:val="center"/>
        </w:trPr>
        <w:tc>
          <w:tcPr>
            <w:tcW w:w="124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
                <w:bCs/>
                <w:color w:val="000000" w:themeColor="text1"/>
                <w:sz w:val="20"/>
                <w:szCs w:val="20"/>
                <w:lang w:val="en-GB" w:eastAsia="ru-RU"/>
              </w:rPr>
            </w:pPr>
            <w:r w:rsidRPr="00B92BDF">
              <w:rPr>
                <w:rFonts w:ascii="Times New Roman" w:eastAsia="Times New Roman" w:hAnsi="Times New Roman" w:cs="Times New Roman"/>
                <w:b/>
                <w:bCs/>
                <w:color w:val="000000" w:themeColor="text1"/>
                <w:sz w:val="20"/>
                <w:szCs w:val="20"/>
                <w:lang w:val="en-GB" w:eastAsia="ru-RU"/>
              </w:rPr>
              <w:t>2012-2017</w:t>
            </w:r>
          </w:p>
        </w:tc>
        <w:tc>
          <w:tcPr>
            <w:tcW w:w="2041" w:type="dxa"/>
            <w:tcBorders>
              <w:top w:val="single" w:sz="8" w:space="0" w:color="auto"/>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Average Return, %</w:t>
            </w:r>
          </w:p>
        </w:tc>
        <w:tc>
          <w:tcPr>
            <w:tcW w:w="980" w:type="dxa"/>
            <w:tcBorders>
              <w:top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0.060</w:t>
            </w:r>
          </w:p>
        </w:tc>
        <w:tc>
          <w:tcPr>
            <w:tcW w:w="980" w:type="dxa"/>
            <w:tcBorders>
              <w:top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0.891</w:t>
            </w:r>
          </w:p>
        </w:tc>
        <w:tc>
          <w:tcPr>
            <w:tcW w:w="1000" w:type="dxa"/>
            <w:tcBorders>
              <w:top w:val="single" w:sz="8" w:space="0" w:color="auto"/>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2.698</w:t>
            </w:r>
          </w:p>
        </w:tc>
        <w:tc>
          <w:tcPr>
            <w:tcW w:w="113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-0.030</w:t>
            </w:r>
          </w:p>
        </w:tc>
      </w:tr>
      <w:tr w:rsidR="006D4037" w:rsidRPr="00B92BDF" w:rsidTr="004E05D5">
        <w:trPr>
          <w:trHeight w:val="300"/>
          <w:jc w:val="center"/>
        </w:trPr>
        <w:tc>
          <w:tcPr>
            <w:tcW w:w="1247" w:type="dxa"/>
            <w:vMerge/>
            <w:tcBorders>
              <w:top w:val="nil"/>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Cs/>
                <w:color w:val="000000" w:themeColor="text1"/>
                <w:sz w:val="20"/>
                <w:szCs w:val="20"/>
                <w:lang w:val="en-GB" w:eastAsia="ru-RU"/>
              </w:rPr>
            </w:pPr>
          </w:p>
        </w:tc>
        <w:tc>
          <w:tcPr>
            <w:tcW w:w="2041" w:type="dxa"/>
            <w:tcBorders>
              <w:top w:val="nil"/>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SD, %</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0.480</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0.842</w:t>
            </w:r>
          </w:p>
        </w:tc>
        <w:tc>
          <w:tcPr>
            <w:tcW w:w="1000" w:type="dxa"/>
            <w:tcBorders>
              <w:top w:val="nil"/>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1.044</w:t>
            </w:r>
          </w:p>
        </w:tc>
        <w:tc>
          <w:tcPr>
            <w:tcW w:w="1134" w:type="dxa"/>
            <w:vMerge/>
            <w:tcBorders>
              <w:top w:val="nil"/>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00"/>
          <w:jc w:val="center"/>
        </w:trPr>
        <w:tc>
          <w:tcPr>
            <w:tcW w:w="1247" w:type="dxa"/>
            <w:vMerge/>
            <w:tcBorders>
              <w:top w:val="nil"/>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Cs/>
                <w:color w:val="000000" w:themeColor="text1"/>
                <w:sz w:val="20"/>
                <w:szCs w:val="20"/>
                <w:lang w:val="en-GB" w:eastAsia="ru-RU"/>
              </w:rPr>
            </w:pPr>
          </w:p>
        </w:tc>
        <w:tc>
          <w:tcPr>
            <w:tcW w:w="2041" w:type="dxa"/>
            <w:tcBorders>
              <w:top w:val="nil"/>
              <w:left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Risk Premium, %</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0.060</w:t>
            </w:r>
          </w:p>
        </w:tc>
        <w:tc>
          <w:tcPr>
            <w:tcW w:w="980" w:type="dxa"/>
            <w:tcBorders>
              <w:top w:val="nil"/>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0.921</w:t>
            </w:r>
          </w:p>
        </w:tc>
        <w:tc>
          <w:tcPr>
            <w:tcW w:w="1000" w:type="dxa"/>
            <w:tcBorders>
              <w:top w:val="nil"/>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2.728</w:t>
            </w:r>
          </w:p>
        </w:tc>
        <w:tc>
          <w:tcPr>
            <w:tcW w:w="1134" w:type="dxa"/>
            <w:vMerge/>
            <w:tcBorders>
              <w:top w:val="nil"/>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r w:rsidR="006D4037" w:rsidRPr="00B92BDF" w:rsidTr="004E05D5">
        <w:trPr>
          <w:trHeight w:val="315"/>
          <w:jc w:val="center"/>
        </w:trPr>
        <w:tc>
          <w:tcPr>
            <w:tcW w:w="1247" w:type="dxa"/>
            <w:vMerge/>
            <w:tcBorders>
              <w:top w:val="nil"/>
              <w:left w:val="single" w:sz="8" w:space="0" w:color="auto"/>
              <w:bottom w:val="single" w:sz="8" w:space="0" w:color="000000"/>
              <w:right w:val="single" w:sz="4"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bCs/>
                <w:color w:val="000000" w:themeColor="text1"/>
                <w:sz w:val="20"/>
                <w:szCs w:val="20"/>
                <w:lang w:val="en-GB" w:eastAsia="ru-RU"/>
              </w:rPr>
            </w:pPr>
          </w:p>
        </w:tc>
        <w:tc>
          <w:tcPr>
            <w:tcW w:w="2041" w:type="dxa"/>
            <w:tcBorders>
              <w:top w:val="nil"/>
              <w:left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Sharpe Ratio</w:t>
            </w:r>
          </w:p>
        </w:tc>
        <w:tc>
          <w:tcPr>
            <w:tcW w:w="980" w:type="dxa"/>
            <w:tcBorders>
              <w:top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0.126</w:t>
            </w:r>
          </w:p>
        </w:tc>
        <w:tc>
          <w:tcPr>
            <w:tcW w:w="980" w:type="dxa"/>
            <w:tcBorders>
              <w:top w:val="nil"/>
              <w:bottom w:val="single" w:sz="8"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1.058</w:t>
            </w:r>
          </w:p>
        </w:tc>
        <w:tc>
          <w:tcPr>
            <w:tcW w:w="1000" w:type="dxa"/>
            <w:tcBorders>
              <w:top w:val="nil"/>
              <w:bottom w:val="single" w:sz="8" w:space="0" w:color="auto"/>
              <w:right w:val="single" w:sz="4" w:space="0" w:color="auto"/>
            </w:tcBorders>
            <w:shd w:val="clear" w:color="auto" w:fill="auto"/>
            <w:noWrap/>
            <w:vAlign w:val="center"/>
            <w:hideMark/>
          </w:tcPr>
          <w:p w:rsidR="006D4037" w:rsidRPr="00B92BDF" w:rsidRDefault="006D4037" w:rsidP="00EA5EAB">
            <w:pPr>
              <w:spacing w:after="0" w:line="240" w:lineRule="auto"/>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2.584</w:t>
            </w:r>
          </w:p>
        </w:tc>
        <w:tc>
          <w:tcPr>
            <w:tcW w:w="1134" w:type="dxa"/>
            <w:vMerge/>
            <w:tcBorders>
              <w:top w:val="nil"/>
              <w:left w:val="single" w:sz="4" w:space="0" w:color="auto"/>
              <w:bottom w:val="single" w:sz="8" w:space="0" w:color="000000"/>
              <w:right w:val="single" w:sz="8" w:space="0" w:color="auto"/>
            </w:tcBorders>
            <w:vAlign w:val="center"/>
            <w:hideMark/>
          </w:tcPr>
          <w:p w:rsidR="006D4037" w:rsidRPr="00B92BDF" w:rsidRDefault="006D4037" w:rsidP="00EA5EAB">
            <w:pPr>
              <w:spacing w:after="0" w:line="240" w:lineRule="auto"/>
              <w:rPr>
                <w:rFonts w:ascii="Times New Roman" w:eastAsia="Times New Roman" w:hAnsi="Times New Roman" w:cs="Times New Roman"/>
                <w:color w:val="000000" w:themeColor="text1"/>
                <w:sz w:val="20"/>
                <w:szCs w:val="20"/>
                <w:lang w:val="en-GB" w:eastAsia="ru-RU"/>
              </w:rPr>
            </w:pPr>
          </w:p>
        </w:tc>
      </w:tr>
    </w:tbl>
    <w:p w:rsidR="006F3BDB" w:rsidRPr="00B92BDF" w:rsidRDefault="006D4037" w:rsidP="00EA5EAB">
      <w:pPr>
        <w:spacing w:before="240" w:after="0" w:line="24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szCs w:val="24"/>
          <w:lang w:val="en-GB"/>
        </w:rPr>
        <w:t>Table 3.</w:t>
      </w:r>
      <w:proofErr w:type="gramEnd"/>
      <w:r w:rsidRPr="00B92BDF">
        <w:rPr>
          <w:rFonts w:ascii="Times New Roman" w:hAnsi="Times New Roman" w:cs="Times New Roman"/>
          <w:color w:val="000000" w:themeColor="text1"/>
          <w:sz w:val="24"/>
          <w:szCs w:val="24"/>
          <w:lang w:val="en-GB"/>
        </w:rPr>
        <w:t xml:space="preserve"> </w:t>
      </w:r>
      <w:proofErr w:type="gramStart"/>
      <w:r w:rsidR="006F3BDB"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Sharpe ratios for </w:t>
      </w:r>
      <w:r w:rsidR="006F3BDB" w:rsidRPr="00B92BDF">
        <w:rPr>
          <w:rFonts w:ascii="Times New Roman" w:hAnsi="Times New Roman" w:cs="Times New Roman"/>
          <w:color w:val="000000" w:themeColor="text1"/>
          <w:sz w:val="24"/>
          <w:szCs w:val="24"/>
          <w:lang w:val="en-GB"/>
        </w:rPr>
        <w:t>EMU bonds, 2005–2017.</w:t>
      </w:r>
      <w:proofErr w:type="gramEnd"/>
    </w:p>
    <w:p w:rsidR="003E4D4F" w:rsidRPr="00B92BDF" w:rsidRDefault="006D4037" w:rsidP="00EA5EAB">
      <w:pPr>
        <w:spacing w:after="0" w:line="240" w:lineRule="auto"/>
        <w:jc w:val="center"/>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The full table is in Appendix B. </w:t>
      </w:r>
      <w:r w:rsidR="003E4D4F" w:rsidRPr="00B92BDF">
        <w:rPr>
          <w:rFonts w:ascii="Times New Roman" w:hAnsi="Times New Roman" w:cs="Times New Roman"/>
          <w:color w:val="000000" w:themeColor="text1"/>
          <w:sz w:val="24"/>
          <w:szCs w:val="24"/>
          <w:lang w:val="en-GB"/>
        </w:rPr>
        <w:t>Source: calculated by the authors, based on ECB data.</w:t>
      </w:r>
    </w:p>
    <w:p w:rsidR="006D4037" w:rsidRPr="00B92BDF" w:rsidRDefault="006D4037" w:rsidP="00EA5EAB">
      <w:pPr>
        <w:spacing w:after="0" w:line="240" w:lineRule="auto"/>
        <w:jc w:val="center"/>
        <w:rPr>
          <w:rFonts w:ascii="Times New Roman" w:hAnsi="Times New Roman" w:cs="Times New Roman"/>
          <w:color w:val="000000" w:themeColor="text1"/>
          <w:sz w:val="24"/>
          <w:szCs w:val="24"/>
          <w:lang w:val="en-GB"/>
        </w:rPr>
      </w:pPr>
    </w:p>
    <w:p w:rsidR="006D4037" w:rsidRPr="00B92BDF" w:rsidRDefault="00BE028A"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lang w:val="en-GB"/>
        </w:rPr>
        <w:t>I</w:t>
      </w:r>
      <w:r w:rsidR="006D4037" w:rsidRPr="00B92BDF">
        <w:rPr>
          <w:rFonts w:ascii="Times New Roman" w:hAnsi="Times New Roman" w:cs="Times New Roman"/>
          <w:color w:val="000000" w:themeColor="text1"/>
          <w:sz w:val="24"/>
          <w:lang w:val="en-GB"/>
        </w:rPr>
        <w:t>n Figure 6</w:t>
      </w:r>
      <w:r w:rsidRPr="00B92BDF">
        <w:rPr>
          <w:rFonts w:ascii="Times New Roman" w:hAnsi="Times New Roman" w:cs="Times New Roman"/>
          <w:color w:val="000000" w:themeColor="text1"/>
          <w:sz w:val="24"/>
          <w:lang w:val="en-GB"/>
        </w:rPr>
        <w:t xml:space="preserve"> is shown the relation between Sharpe ratios and term-to-maturity depending on the time</w:t>
      </w:r>
      <w:r w:rsidR="006D4037" w:rsidRPr="00B92BDF">
        <w:rPr>
          <w:rFonts w:ascii="Times New Roman" w:hAnsi="Times New Roman" w:cs="Times New Roman"/>
          <w:color w:val="000000" w:themeColor="text1"/>
          <w:sz w:val="24"/>
          <w:lang w:val="en-GB"/>
        </w:rPr>
        <w:t xml:space="preserve">. It is quite evident that Sharpe ratios </w:t>
      </w:r>
      <w:r w:rsidR="006D4037" w:rsidRPr="00B92BDF">
        <w:rPr>
          <w:rFonts w:ascii="Times New Roman" w:eastAsia="Times New Roman" w:hAnsi="Times New Roman" w:cs="Times New Roman"/>
          <w:color w:val="000000" w:themeColor="text1"/>
          <w:sz w:val="24"/>
          <w:szCs w:val="24"/>
          <w:lang w:val="en-GB" w:eastAsia="ru-RU"/>
        </w:rPr>
        <w:t xml:space="preserve">change over time and with </w:t>
      </w:r>
      <w:r w:rsidR="002E66E6" w:rsidRPr="00B92BDF">
        <w:rPr>
          <w:rFonts w:ascii="Times New Roman" w:eastAsia="Times New Roman" w:hAnsi="Times New Roman" w:cs="Times New Roman"/>
          <w:color w:val="000000" w:themeColor="text1"/>
          <w:sz w:val="24"/>
          <w:szCs w:val="24"/>
          <w:lang w:val="en-GB" w:eastAsia="ru-RU"/>
        </w:rPr>
        <w:t xml:space="preserve">the </w:t>
      </w:r>
      <w:r w:rsidR="006D4037" w:rsidRPr="00B92BDF">
        <w:rPr>
          <w:rFonts w:ascii="Times New Roman" w:eastAsia="Times New Roman" w:hAnsi="Times New Roman" w:cs="Times New Roman"/>
          <w:color w:val="000000" w:themeColor="text1"/>
          <w:sz w:val="24"/>
          <w:szCs w:val="24"/>
          <w:lang w:val="en-GB" w:eastAsia="ru-RU"/>
        </w:rPr>
        <w:t xml:space="preserve">investment horizon. </w:t>
      </w:r>
      <w:r w:rsidR="005F7D4B" w:rsidRPr="00B92BDF">
        <w:rPr>
          <w:rFonts w:ascii="Times New Roman" w:eastAsia="Times New Roman" w:hAnsi="Times New Roman" w:cs="Times New Roman"/>
          <w:color w:val="000000" w:themeColor="text1"/>
          <w:sz w:val="24"/>
          <w:szCs w:val="24"/>
          <w:lang w:val="en-GB" w:eastAsia="ru-RU"/>
        </w:rPr>
        <w:t xml:space="preserve">Even exists </w:t>
      </w:r>
      <w:r w:rsidR="006D4037" w:rsidRPr="00B92BDF">
        <w:rPr>
          <w:rFonts w:ascii="Times New Roman" w:eastAsia="Times New Roman" w:hAnsi="Times New Roman" w:cs="Times New Roman"/>
          <w:color w:val="000000" w:themeColor="text1"/>
          <w:sz w:val="24"/>
          <w:szCs w:val="24"/>
          <w:lang w:val="en-GB" w:eastAsia="ru-RU"/>
        </w:rPr>
        <w:t xml:space="preserve">a non-linear relationship between Sharpe ratios and term-to-maturity in </w:t>
      </w:r>
      <w:r w:rsidR="002E66E6" w:rsidRPr="00B92BDF">
        <w:rPr>
          <w:rFonts w:ascii="Times New Roman" w:eastAsia="Times New Roman" w:hAnsi="Times New Roman" w:cs="Times New Roman"/>
          <w:color w:val="000000" w:themeColor="text1"/>
          <w:sz w:val="24"/>
          <w:szCs w:val="24"/>
          <w:lang w:val="en-GB" w:eastAsia="ru-RU"/>
        </w:rPr>
        <w:t xml:space="preserve">the </w:t>
      </w:r>
      <w:r w:rsidR="006D4037" w:rsidRPr="00B92BDF">
        <w:rPr>
          <w:rFonts w:ascii="Times New Roman" w:eastAsia="Times New Roman" w:hAnsi="Times New Roman" w:cs="Times New Roman"/>
          <w:color w:val="000000" w:themeColor="text1"/>
          <w:sz w:val="24"/>
          <w:szCs w:val="24"/>
          <w:lang w:val="en-GB" w:eastAsia="ru-RU"/>
        </w:rPr>
        <w:t xml:space="preserve">2005–2007 and 2008–2011 subsamples, the positive correlation between them is observed: the Sharpe ratio, in general, increases with maturity. </w:t>
      </w:r>
      <w:r w:rsidR="006D4037" w:rsidRPr="00B92BDF">
        <w:rPr>
          <w:rFonts w:ascii="Times New Roman" w:hAnsi="Times New Roman" w:cs="Times New Roman"/>
          <w:color w:val="000000" w:themeColor="text1"/>
          <w:sz w:val="24"/>
          <w:szCs w:val="24"/>
          <w:lang w:val="en-GB"/>
        </w:rPr>
        <w:t>According to the analysis, long-term bonds perform much better than short-term bills and mid-term notes. Despite the fact that short-term EMU Treasury bills provide high returns, the long-term bonds benefit on account of actually low volatility.</w:t>
      </w:r>
    </w:p>
    <w:p w:rsidR="00A76009" w:rsidRPr="00B92BDF" w:rsidRDefault="00A76009" w:rsidP="00EA5EAB">
      <w:pPr>
        <w:spacing w:after="0" w:line="240" w:lineRule="auto"/>
        <w:jc w:val="both"/>
        <w:rPr>
          <w:rFonts w:ascii="Times New Roman" w:eastAsia="Times New Roman" w:hAnsi="Times New Roman" w:cs="Times New Roman"/>
          <w:color w:val="000000" w:themeColor="text1"/>
          <w:sz w:val="20"/>
          <w:szCs w:val="24"/>
          <w:lang w:val="en-GB" w:eastAsia="ru-RU"/>
        </w:rPr>
      </w:pPr>
    </w:p>
    <w:p w:rsidR="00A76009" w:rsidRPr="00B92BDF" w:rsidRDefault="00D97E0C" w:rsidP="00EA5EAB">
      <w:pPr>
        <w:spacing w:after="0" w:line="240" w:lineRule="auto"/>
        <w:jc w:val="center"/>
        <w:rPr>
          <w:color w:val="000000" w:themeColor="text1"/>
          <w:lang w:val="en-GB"/>
        </w:rPr>
      </w:pPr>
      <w:r w:rsidRPr="00B92BDF">
        <w:rPr>
          <w:noProof/>
          <w:color w:val="000000" w:themeColor="text1"/>
        </w:rPr>
        <w:drawing>
          <wp:inline distT="0" distB="0" distL="0" distR="0">
            <wp:extent cx="4905375" cy="274320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4D4F" w:rsidRPr="00B92BDF" w:rsidRDefault="00A76009" w:rsidP="00EA5EAB">
      <w:pPr>
        <w:spacing w:after="0" w:line="24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lang w:val="en-GB"/>
        </w:rPr>
        <w:lastRenderedPageBreak/>
        <w:t>Figure 6.</w:t>
      </w:r>
      <w:proofErr w:type="gramEnd"/>
      <w:r w:rsidRPr="00B92BDF">
        <w:rPr>
          <w:rFonts w:ascii="Times New Roman" w:hAnsi="Times New Roman" w:cs="Times New Roman"/>
          <w:color w:val="000000" w:themeColor="text1"/>
          <w:sz w:val="24"/>
          <w:lang w:val="en-GB"/>
        </w:rPr>
        <w:t xml:space="preserve"> </w:t>
      </w:r>
      <w:proofErr w:type="gramStart"/>
      <w:r w:rsidR="006F3BDB" w:rsidRPr="00B92BDF">
        <w:rPr>
          <w:rFonts w:ascii="Times New Roman" w:hAnsi="Times New Roman" w:cs="Times New Roman"/>
          <w:color w:val="000000" w:themeColor="text1"/>
          <w:sz w:val="24"/>
          <w:lang w:val="en-GB"/>
        </w:rPr>
        <w:t xml:space="preserve">The </w:t>
      </w:r>
      <w:r w:rsidRPr="00B92BDF">
        <w:rPr>
          <w:rFonts w:ascii="Times New Roman" w:hAnsi="Times New Roman" w:cs="Times New Roman"/>
          <w:color w:val="000000" w:themeColor="text1"/>
          <w:sz w:val="24"/>
          <w:szCs w:val="24"/>
          <w:lang w:val="en-GB"/>
        </w:rPr>
        <w:t>Sharpe ratios for EMU bonds depending on maturity, 2005–2017.</w:t>
      </w:r>
      <w:proofErr w:type="gramEnd"/>
      <w:r w:rsidR="003E4D4F" w:rsidRPr="00B92BDF">
        <w:rPr>
          <w:rFonts w:ascii="Times New Roman" w:hAnsi="Times New Roman" w:cs="Times New Roman"/>
          <w:color w:val="000000" w:themeColor="text1"/>
          <w:sz w:val="24"/>
          <w:szCs w:val="24"/>
          <w:lang w:val="en-GB"/>
        </w:rPr>
        <w:t xml:space="preserve"> </w:t>
      </w:r>
      <w:r w:rsidR="003E4D4F" w:rsidRPr="00B92BDF">
        <w:rPr>
          <w:rFonts w:ascii="Times New Roman" w:hAnsi="Times New Roman" w:cs="Times New Roman"/>
          <w:color w:val="000000" w:themeColor="text1"/>
          <w:sz w:val="24"/>
          <w:lang w:val="en-GB"/>
        </w:rPr>
        <w:t>Source: calculated by the authors, based on ECB data.</w:t>
      </w:r>
    </w:p>
    <w:p w:rsidR="00A76009" w:rsidRPr="00B92BDF" w:rsidRDefault="00A76009" w:rsidP="00EA5EAB">
      <w:pPr>
        <w:spacing w:after="0" w:line="240" w:lineRule="auto"/>
        <w:jc w:val="center"/>
        <w:rPr>
          <w:rFonts w:ascii="Times New Roman" w:hAnsi="Times New Roman" w:cs="Times New Roman"/>
          <w:color w:val="000000" w:themeColor="text1"/>
          <w:sz w:val="20"/>
          <w:lang w:val="en-GB"/>
        </w:rPr>
      </w:pPr>
    </w:p>
    <w:p w:rsidR="00B92BDF" w:rsidRPr="00B92BDF" w:rsidRDefault="002E66E6" w:rsidP="00B92BDF">
      <w:pPr>
        <w:spacing w:after="0" w:line="240" w:lineRule="auto"/>
        <w:ind w:firstLine="708"/>
        <w:jc w:val="both"/>
        <w:rPr>
          <w:rFonts w:ascii="Times New Roman" w:hAnsi="Times New Roman" w:cs="Times New Roman"/>
          <w:color w:val="000000" w:themeColor="text1"/>
          <w:sz w:val="24"/>
          <w:lang w:val="en-GB"/>
        </w:rPr>
      </w:pPr>
      <w:r w:rsidRPr="00B92BDF">
        <w:rPr>
          <w:rFonts w:ascii="Times New Roman" w:eastAsia="Times New Roman" w:hAnsi="Times New Roman" w:cs="Times New Roman"/>
          <w:color w:val="000000" w:themeColor="text1"/>
          <w:sz w:val="24"/>
          <w:szCs w:val="24"/>
          <w:lang w:val="en-GB" w:eastAsia="ru-RU"/>
        </w:rPr>
        <w:t>On</w:t>
      </w:r>
      <w:r w:rsidR="00A76009" w:rsidRPr="00B92BDF">
        <w:rPr>
          <w:rFonts w:ascii="Times New Roman" w:eastAsia="Times New Roman" w:hAnsi="Times New Roman" w:cs="Times New Roman"/>
          <w:color w:val="000000" w:themeColor="text1"/>
          <w:sz w:val="24"/>
          <w:szCs w:val="24"/>
          <w:lang w:val="en-GB" w:eastAsia="ru-RU"/>
        </w:rPr>
        <w:t xml:space="preserve"> the one hand, these results are consistent with the findings of </w:t>
      </w:r>
      <w:r w:rsidR="00A76009" w:rsidRPr="00B92BDF">
        <w:rPr>
          <w:rFonts w:ascii="Times New Roman" w:eastAsia="Times New Roman" w:hAnsi="Times New Roman" w:cs="Times New Roman"/>
          <w:noProof/>
          <w:color w:val="000000" w:themeColor="text1"/>
          <w:sz w:val="24"/>
          <w:szCs w:val="24"/>
          <w:lang w:val="en-GB" w:eastAsia="ru-RU"/>
        </w:rPr>
        <w:t xml:space="preserve">Lo (2002) and Hodges et al. (1997) </w:t>
      </w:r>
      <w:r w:rsidR="00A76009" w:rsidRPr="00B92BDF">
        <w:rPr>
          <w:rFonts w:ascii="Times New Roman" w:eastAsia="Times New Roman" w:hAnsi="Times New Roman" w:cs="Times New Roman"/>
          <w:color w:val="000000" w:themeColor="text1"/>
          <w:sz w:val="24"/>
          <w:szCs w:val="24"/>
          <w:lang w:val="en-GB" w:eastAsia="ru-RU"/>
        </w:rPr>
        <w:t xml:space="preserve">who indicate that </w:t>
      </w:r>
      <w:r w:rsidR="00A76009" w:rsidRPr="00B92BDF">
        <w:rPr>
          <w:rFonts w:ascii="Times New Roman" w:eastAsia="Times New Roman" w:hAnsi="Times New Roman" w:cs="Times New Roman"/>
          <w:noProof/>
          <w:color w:val="000000" w:themeColor="text1"/>
          <w:sz w:val="24"/>
          <w:szCs w:val="24"/>
          <w:lang w:val="en-GB" w:eastAsia="ru-RU"/>
        </w:rPr>
        <w:t xml:space="preserve">the Sharpe ratio is not time-consistent, and it </w:t>
      </w:r>
      <w:r w:rsidR="00A76009" w:rsidRPr="00B92BDF">
        <w:rPr>
          <w:rFonts w:ascii="Times New Roman" w:hAnsi="Times New Roman" w:cs="Times New Roman"/>
          <w:color w:val="000000" w:themeColor="text1"/>
          <w:sz w:val="24"/>
          <w:szCs w:val="24"/>
          <w:lang w:val="en-GB"/>
        </w:rPr>
        <w:t xml:space="preserve">varies substantially with the holding period. </w:t>
      </w:r>
    </w:p>
    <w:p w:rsidR="00A76009" w:rsidRPr="00B92BDF" w:rsidRDefault="00BE028A" w:rsidP="00EA5EAB">
      <w:pPr>
        <w:spacing w:after="0" w:line="240" w:lineRule="auto"/>
        <w:ind w:firstLine="708"/>
        <w:jc w:val="both"/>
        <w:rPr>
          <w:rFonts w:ascii="Times New Roman" w:eastAsia="Times New Roman" w:hAnsi="Times New Roman" w:cs="Times New Roman"/>
          <w:color w:val="000000" w:themeColor="text1"/>
          <w:sz w:val="24"/>
          <w:szCs w:val="24"/>
          <w:lang w:val="en-GB" w:eastAsia="ru-RU"/>
        </w:rPr>
      </w:pPr>
      <w:r w:rsidRPr="00B92BDF">
        <w:rPr>
          <w:rFonts w:ascii="Times New Roman" w:hAnsi="Times New Roman" w:cs="Times New Roman"/>
          <w:color w:val="000000" w:themeColor="text1"/>
          <w:sz w:val="24"/>
          <w:lang w:val="en-GB"/>
        </w:rPr>
        <w:t>T</w:t>
      </w:r>
      <w:r w:rsidR="00A76009" w:rsidRPr="00B92BDF">
        <w:rPr>
          <w:rFonts w:ascii="Times New Roman" w:hAnsi="Times New Roman" w:cs="Times New Roman"/>
          <w:color w:val="000000" w:themeColor="text1"/>
          <w:sz w:val="24"/>
          <w:lang w:val="en-GB"/>
        </w:rPr>
        <w:t>he correlation matrices are compiled</w:t>
      </w:r>
      <w:r w:rsidRPr="00B92BDF">
        <w:rPr>
          <w:rFonts w:ascii="Times New Roman" w:hAnsi="Times New Roman" w:cs="Times New Roman"/>
          <w:color w:val="000000" w:themeColor="text1"/>
          <w:sz w:val="24"/>
          <w:lang w:val="en-GB"/>
        </w:rPr>
        <w:t xml:space="preserve"> to illustrate to what extent the dynamics of bond returns and the return distributions of bonds with different maturities are similar to each other during the analysed time period</w:t>
      </w:r>
      <w:r w:rsidR="00A76009" w:rsidRPr="00B92BDF">
        <w:rPr>
          <w:rFonts w:ascii="Times New Roman" w:hAnsi="Times New Roman" w:cs="Times New Roman"/>
          <w:color w:val="000000" w:themeColor="text1"/>
          <w:sz w:val="24"/>
          <w:lang w:val="en-GB"/>
        </w:rPr>
        <w:t xml:space="preserve">. </w:t>
      </w:r>
      <w:r w:rsidR="00A76009" w:rsidRPr="00B92BDF">
        <w:rPr>
          <w:rFonts w:ascii="Times New Roman" w:eastAsia="Times New Roman" w:hAnsi="Times New Roman" w:cs="Times New Roman"/>
          <w:color w:val="000000" w:themeColor="text1"/>
          <w:sz w:val="24"/>
          <w:szCs w:val="24"/>
          <w:lang w:val="en-GB" w:eastAsia="ru-RU"/>
        </w:rPr>
        <w:t xml:space="preserve">The computed correlations are presented in Table 4. </w:t>
      </w:r>
      <w:r w:rsidR="005F7D4B" w:rsidRPr="00B92BDF">
        <w:rPr>
          <w:rFonts w:ascii="Times New Roman" w:hAnsi="Times New Roman" w:cs="Times New Roman"/>
          <w:color w:val="000000" w:themeColor="text1"/>
          <w:sz w:val="24"/>
          <w:lang w:val="en-GB"/>
        </w:rPr>
        <w:t>T</w:t>
      </w:r>
      <w:r w:rsidR="00A76009" w:rsidRPr="00B92BDF">
        <w:rPr>
          <w:rFonts w:ascii="Times New Roman" w:hAnsi="Times New Roman" w:cs="Times New Roman"/>
          <w:color w:val="000000" w:themeColor="text1"/>
          <w:sz w:val="24"/>
          <w:lang w:val="en-GB"/>
        </w:rPr>
        <w:t>he returns on short-term EMU bills and mid-term EMU notes are almost per</w:t>
      </w:r>
      <w:r w:rsidR="002E66E6" w:rsidRPr="00B92BDF">
        <w:rPr>
          <w:rFonts w:ascii="Times New Roman" w:hAnsi="Times New Roman" w:cs="Times New Roman"/>
          <w:color w:val="000000" w:themeColor="text1"/>
          <w:sz w:val="24"/>
          <w:lang w:val="en-GB"/>
        </w:rPr>
        <w:t>fectly correlated independent of</w:t>
      </w:r>
      <w:r w:rsidR="00A76009" w:rsidRPr="00B92BDF">
        <w:rPr>
          <w:rFonts w:ascii="Times New Roman" w:hAnsi="Times New Roman" w:cs="Times New Roman"/>
          <w:color w:val="000000" w:themeColor="text1"/>
          <w:sz w:val="24"/>
          <w:lang w:val="en-GB"/>
        </w:rPr>
        <w:t xml:space="preserve"> economic situation: the correlation coefficients between these bond yields exceed 0.94 in pre-crisis and post-crisis </w:t>
      </w:r>
      <w:r w:rsidR="002E66E6" w:rsidRPr="00B92BDF">
        <w:rPr>
          <w:rFonts w:ascii="Times New Roman" w:hAnsi="Times New Roman" w:cs="Times New Roman"/>
          <w:color w:val="000000" w:themeColor="text1"/>
          <w:sz w:val="24"/>
          <w:lang w:val="en-GB"/>
        </w:rPr>
        <w:t>years, and even during the crisi</w:t>
      </w:r>
      <w:r w:rsidR="00A76009" w:rsidRPr="00B92BDF">
        <w:rPr>
          <w:rFonts w:ascii="Times New Roman" w:hAnsi="Times New Roman" w:cs="Times New Roman"/>
          <w:color w:val="000000" w:themeColor="text1"/>
          <w:sz w:val="24"/>
          <w:lang w:val="en-GB"/>
        </w:rPr>
        <w:t xml:space="preserve">s period. The returns on mid- and long-term bonds are highly correlated only before 2008 and after 2012, but in 2008–2011 the correlation coefficient equals 0.66. </w:t>
      </w:r>
      <w:r w:rsidR="00A76009" w:rsidRPr="00B92BDF">
        <w:rPr>
          <w:rFonts w:ascii="Times New Roman" w:hAnsi="Times New Roman" w:cs="Times New Roman"/>
          <w:color w:val="000000" w:themeColor="text1"/>
          <w:sz w:val="24"/>
          <w:szCs w:val="24"/>
          <w:lang w:val="en-GB"/>
        </w:rPr>
        <w:t xml:space="preserve">The short- and long-term bond returns are the least correlated in all time periods. </w:t>
      </w:r>
      <w:r w:rsidR="00A76009" w:rsidRPr="00B92BDF">
        <w:rPr>
          <w:rFonts w:ascii="Times New Roman" w:eastAsia="Times New Roman" w:hAnsi="Times New Roman" w:cs="Times New Roman"/>
          <w:color w:val="000000" w:themeColor="text1"/>
          <w:sz w:val="24"/>
          <w:szCs w:val="24"/>
          <w:lang w:val="en-GB" w:eastAsia="ru-RU"/>
        </w:rPr>
        <w:t>Pilotte and Sterbenz (2006)</w:t>
      </w:r>
      <w:r w:rsidR="00A76009" w:rsidRPr="00B92BDF">
        <w:rPr>
          <w:rFonts w:ascii="Times New Roman" w:hAnsi="Times New Roman" w:cs="Times New Roman"/>
          <w:color w:val="000000" w:themeColor="text1"/>
          <w:sz w:val="24"/>
          <w:szCs w:val="24"/>
          <w:lang w:val="en-GB"/>
        </w:rPr>
        <w:t xml:space="preserve"> comment that short- and long-term bonds differ in fundamental ways since they are exposed to different types of risk</w:t>
      </w:r>
      <w:r w:rsidR="00A76009" w:rsidRPr="00B92BDF">
        <w:rPr>
          <w:rFonts w:ascii="Times New Roman" w:eastAsia="Times New Roman" w:hAnsi="Times New Roman" w:cs="Times New Roman"/>
          <w:color w:val="000000" w:themeColor="text1"/>
          <w:sz w:val="24"/>
          <w:szCs w:val="24"/>
          <w:lang w:val="en-GB" w:eastAsia="ru-RU"/>
        </w:rPr>
        <w:t xml:space="preserve">. They conclude also that combining bonds with short and long maturities, an investor can create a well-diversified portfolio with very low level of risk. </w:t>
      </w:r>
      <w:r w:rsidRPr="00B92BDF">
        <w:rPr>
          <w:rFonts w:ascii="Times New Roman" w:eastAsia="Times New Roman" w:hAnsi="Times New Roman" w:cs="Times New Roman"/>
          <w:color w:val="000000" w:themeColor="text1"/>
          <w:sz w:val="24"/>
          <w:szCs w:val="24"/>
          <w:lang w:val="en-GB" w:eastAsia="ru-RU"/>
        </w:rPr>
        <w:t>A</w:t>
      </w:r>
      <w:r w:rsidR="00A76009" w:rsidRPr="00B92BDF">
        <w:rPr>
          <w:rFonts w:ascii="Times New Roman" w:eastAsia="Times New Roman" w:hAnsi="Times New Roman" w:cs="Times New Roman"/>
          <w:color w:val="000000" w:themeColor="text1"/>
          <w:sz w:val="24"/>
          <w:szCs w:val="24"/>
          <w:lang w:val="en-GB" w:eastAsia="ru-RU"/>
        </w:rPr>
        <w:t xml:space="preserve"> general pattern is that since the EMU has reconsidered and changed its monetary policy after the sovereign crises, bonds of different matur</w:t>
      </w:r>
      <w:r w:rsidRPr="00B92BDF">
        <w:rPr>
          <w:rFonts w:ascii="Times New Roman" w:eastAsia="Times New Roman" w:hAnsi="Times New Roman" w:cs="Times New Roman"/>
          <w:color w:val="000000" w:themeColor="text1"/>
          <w:sz w:val="24"/>
          <w:szCs w:val="24"/>
          <w:lang w:val="en-GB" w:eastAsia="ru-RU"/>
        </w:rPr>
        <w:t>ities have more common features</w:t>
      </w:r>
      <w:r w:rsidR="00A76009" w:rsidRPr="00B92BDF">
        <w:rPr>
          <w:rFonts w:ascii="Times New Roman" w:eastAsia="Times New Roman" w:hAnsi="Times New Roman" w:cs="Times New Roman"/>
          <w:color w:val="000000" w:themeColor="text1"/>
          <w:sz w:val="24"/>
          <w:szCs w:val="24"/>
          <w:lang w:val="en-GB" w:eastAsia="ru-RU"/>
        </w:rPr>
        <w:t xml:space="preserve"> and their yields show the similar dynamics over time.</w:t>
      </w:r>
    </w:p>
    <w:p w:rsidR="00A76009" w:rsidRPr="00B92BDF" w:rsidRDefault="00A76009" w:rsidP="00EA5EAB">
      <w:pPr>
        <w:spacing w:after="0" w:line="240" w:lineRule="auto"/>
        <w:jc w:val="both"/>
        <w:rPr>
          <w:rFonts w:ascii="Times New Roman" w:hAnsi="Times New Roman" w:cs="Times New Roman"/>
          <w:color w:val="000000" w:themeColor="text1"/>
          <w:sz w:val="20"/>
          <w:szCs w:val="24"/>
          <w:lang w:val="en-GB"/>
        </w:rPr>
      </w:pPr>
    </w:p>
    <w:tbl>
      <w:tblPr>
        <w:tblStyle w:val="TableGrid"/>
        <w:tblW w:w="0" w:type="auto"/>
        <w:jc w:val="center"/>
        <w:tblLook w:val="04A0"/>
      </w:tblPr>
      <w:tblGrid>
        <w:gridCol w:w="985"/>
        <w:gridCol w:w="985"/>
        <w:gridCol w:w="985"/>
        <w:gridCol w:w="985"/>
        <w:gridCol w:w="985"/>
        <w:gridCol w:w="986"/>
        <w:gridCol w:w="986"/>
        <w:gridCol w:w="986"/>
      </w:tblGrid>
      <w:tr w:rsidR="00A76009" w:rsidRPr="00B92BDF" w:rsidTr="007F5122">
        <w:trPr>
          <w:trHeight w:val="283"/>
          <w:jc w:val="center"/>
        </w:trPr>
        <w:tc>
          <w:tcPr>
            <w:tcW w:w="3940" w:type="dxa"/>
            <w:gridSpan w:val="4"/>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Sample Period 2005-2017</w:t>
            </w:r>
          </w:p>
        </w:tc>
        <w:tc>
          <w:tcPr>
            <w:tcW w:w="3943" w:type="dxa"/>
            <w:gridSpan w:val="4"/>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2005-2007</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ST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MT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LT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ST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MT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LT</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ST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1.000</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0.921</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0.677</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ST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1.000</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lang w:val="en-GB" w:eastAsia="ru-RU"/>
              </w:rPr>
              <w:t>0.977</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0.76</w:t>
            </w:r>
            <w:r w:rsidRPr="00B92BDF">
              <w:rPr>
                <w:rFonts w:ascii="Times New Roman" w:eastAsia="Times New Roman" w:hAnsi="Times New Roman" w:cs="Times New Roman"/>
                <w:color w:val="000000" w:themeColor="text1"/>
                <w:sz w:val="20"/>
                <w:szCs w:val="20"/>
                <w:lang w:eastAsia="ru-RU"/>
              </w:rPr>
              <w:t>4</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MT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0.901</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MT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0.841</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LT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LT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r>
      <w:tr w:rsidR="00A76009" w:rsidRPr="00B92BDF" w:rsidTr="007F5122">
        <w:trPr>
          <w:trHeight w:val="283"/>
          <w:jc w:val="center"/>
        </w:trPr>
        <w:tc>
          <w:tcPr>
            <w:tcW w:w="3940" w:type="dxa"/>
            <w:gridSpan w:val="4"/>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2008-2011</w:t>
            </w:r>
          </w:p>
        </w:tc>
        <w:tc>
          <w:tcPr>
            <w:tcW w:w="3943" w:type="dxa"/>
            <w:gridSpan w:val="4"/>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2012-2017</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ST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MT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LT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ST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MT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LT</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ST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0.941</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0.417</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ST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0.959</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0.909</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MT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0.662</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MT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0.978</w:t>
            </w:r>
          </w:p>
        </w:tc>
      </w:tr>
      <w:tr w:rsidR="00A76009" w:rsidRPr="00B92BDF" w:rsidTr="007F5122">
        <w:trPr>
          <w:trHeight w:val="283"/>
          <w:jc w:val="center"/>
        </w:trPr>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LT</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c>
          <w:tcPr>
            <w:tcW w:w="985"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LT</w:t>
            </w: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p>
        </w:tc>
        <w:tc>
          <w:tcPr>
            <w:tcW w:w="986" w:type="dxa"/>
          </w:tcPr>
          <w:p w:rsidR="00A76009" w:rsidRPr="00B92BDF" w:rsidRDefault="00A76009" w:rsidP="00EA5EAB">
            <w:pPr>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eastAsia="ru-RU"/>
              </w:rPr>
              <w:t>1.000</w:t>
            </w:r>
          </w:p>
        </w:tc>
      </w:tr>
    </w:tbl>
    <w:p w:rsidR="00A76009" w:rsidRPr="00B92BDF" w:rsidRDefault="00A76009" w:rsidP="00EA5EAB">
      <w:pPr>
        <w:spacing w:before="240"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Table 4.</w:t>
      </w:r>
      <w:proofErr w:type="gramEnd"/>
      <w:r w:rsidRPr="00B92BDF">
        <w:rPr>
          <w:rFonts w:ascii="Times New Roman" w:hAnsi="Times New Roman" w:cs="Times New Roman"/>
          <w:color w:val="000000" w:themeColor="text1"/>
          <w:sz w:val="24"/>
          <w:lang w:val="en-GB"/>
        </w:rPr>
        <w:t xml:space="preserve"> </w:t>
      </w:r>
      <w:proofErr w:type="gramStart"/>
      <w:r w:rsidRPr="00B92BDF">
        <w:rPr>
          <w:rFonts w:ascii="Times New Roman" w:hAnsi="Times New Roman" w:cs="Times New Roman"/>
          <w:color w:val="000000" w:themeColor="text1"/>
          <w:sz w:val="24"/>
          <w:lang w:val="en-GB"/>
        </w:rPr>
        <w:t>Correlations between the returns on bonds with different maturities, 2005–2017.</w:t>
      </w:r>
      <w:proofErr w:type="gramEnd"/>
      <w:r w:rsidRPr="00B92BDF">
        <w:rPr>
          <w:rFonts w:ascii="Times New Roman" w:hAnsi="Times New Roman" w:cs="Times New Roman"/>
          <w:color w:val="000000" w:themeColor="text1"/>
          <w:sz w:val="24"/>
          <w:lang w:val="en-GB"/>
        </w:rPr>
        <w:t xml:space="preserve"> Source: calculated by the author</w:t>
      </w:r>
      <w:r w:rsidR="003E4D4F" w:rsidRPr="00B92BDF">
        <w:rPr>
          <w:rFonts w:ascii="Times New Roman" w:hAnsi="Times New Roman" w:cs="Times New Roman"/>
          <w:color w:val="000000" w:themeColor="text1"/>
          <w:sz w:val="24"/>
          <w:lang w:val="en-GB"/>
        </w:rPr>
        <w:t>s</w:t>
      </w:r>
      <w:r w:rsidRPr="00B92BDF">
        <w:rPr>
          <w:rFonts w:ascii="Times New Roman" w:hAnsi="Times New Roman" w:cs="Times New Roman"/>
          <w:color w:val="000000" w:themeColor="text1"/>
          <w:sz w:val="24"/>
          <w:lang w:val="en-GB"/>
        </w:rPr>
        <w:t>.</w:t>
      </w:r>
    </w:p>
    <w:p w:rsidR="00A76009" w:rsidRPr="00B92BDF" w:rsidRDefault="00A76009" w:rsidP="00EA5EAB">
      <w:pPr>
        <w:spacing w:after="0" w:line="240" w:lineRule="auto"/>
        <w:rPr>
          <w:rStyle w:val="comment-copy"/>
          <w:rFonts w:ascii="Times New Roman" w:hAnsi="Times New Roman" w:cs="Times New Roman"/>
          <w:color w:val="000000" w:themeColor="text1"/>
          <w:sz w:val="20"/>
          <w:lang w:val="en-GB"/>
        </w:rPr>
      </w:pPr>
    </w:p>
    <w:p w:rsidR="00A76009" w:rsidRPr="00B92BDF" w:rsidRDefault="00A76009" w:rsidP="00EA5EAB">
      <w:pPr>
        <w:spacing w:after="0" w:line="240" w:lineRule="auto"/>
        <w:ind w:firstLine="708"/>
        <w:jc w:val="both"/>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 xml:space="preserve">The second part of the empirical analysis is devoted to the time-series analysis of the EMU bond </w:t>
      </w:r>
      <w:r w:rsidR="002E66E6" w:rsidRPr="00B92BDF">
        <w:rPr>
          <w:rFonts w:ascii="Times New Roman" w:hAnsi="Times New Roman" w:cs="Times New Roman"/>
          <w:color w:val="000000" w:themeColor="text1"/>
          <w:sz w:val="24"/>
          <w:lang w:val="en-GB"/>
        </w:rPr>
        <w:t xml:space="preserve">returns. First, as proposed in </w:t>
      </w:r>
      <w:r w:rsidRPr="00B92BDF">
        <w:rPr>
          <w:rFonts w:ascii="Times New Roman" w:hAnsi="Times New Roman" w:cs="Times New Roman"/>
          <w:color w:val="000000" w:themeColor="text1"/>
          <w:sz w:val="24"/>
          <w:lang w:val="en-GB"/>
        </w:rPr>
        <w:t>equation (1), the trend model is estimated to analyse how the bond returns change over time. Table 5 provides the estimated slope coefficients for three types of bond maturity and for each defined subsample period.</w:t>
      </w:r>
    </w:p>
    <w:p w:rsidR="00A76009" w:rsidRPr="00B92BDF" w:rsidRDefault="00A76009" w:rsidP="00EA5EAB">
      <w:pPr>
        <w:spacing w:after="0" w:line="240" w:lineRule="auto"/>
        <w:ind w:firstLine="708"/>
        <w:jc w:val="both"/>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 xml:space="preserve">The results suggest that in </w:t>
      </w:r>
      <w:r w:rsidR="00BC2D5F" w:rsidRPr="00B92BDF">
        <w:rPr>
          <w:rFonts w:ascii="Times New Roman" w:hAnsi="Times New Roman" w:cs="Times New Roman"/>
          <w:color w:val="000000" w:themeColor="text1"/>
          <w:sz w:val="24"/>
          <w:lang w:val="en-GB"/>
        </w:rPr>
        <w:t>2005–2007, the bond yields grow steadily</w:t>
      </w:r>
      <w:r w:rsidRPr="00B92BDF">
        <w:rPr>
          <w:rFonts w:ascii="Times New Roman" w:hAnsi="Times New Roman" w:cs="Times New Roman"/>
          <w:color w:val="000000" w:themeColor="text1"/>
          <w:sz w:val="24"/>
          <w:lang w:val="en-GB"/>
        </w:rPr>
        <w:t xml:space="preserve"> and besides</w:t>
      </w:r>
      <w:r w:rsidR="002E66E6" w:rsidRPr="00B92BDF">
        <w:rPr>
          <w:rFonts w:ascii="Times New Roman" w:hAnsi="Times New Roman" w:cs="Times New Roman"/>
          <w:color w:val="000000" w:themeColor="text1"/>
          <w:sz w:val="24"/>
          <w:lang w:val="en-GB"/>
        </w:rPr>
        <w:t>,</w:t>
      </w:r>
      <w:r w:rsidRPr="00B92BDF">
        <w:rPr>
          <w:rFonts w:ascii="Times New Roman" w:hAnsi="Times New Roman" w:cs="Times New Roman"/>
          <w:color w:val="000000" w:themeColor="text1"/>
          <w:sz w:val="24"/>
          <w:lang w:val="en-GB"/>
        </w:rPr>
        <w:t xml:space="preserve"> the growth rate of bonds with maturity </w:t>
      </w:r>
      <w:r w:rsidR="002E66E6" w:rsidRPr="00B92BDF">
        <w:rPr>
          <w:rFonts w:ascii="Times New Roman" w:hAnsi="Times New Roman" w:cs="Times New Roman"/>
          <w:color w:val="000000" w:themeColor="text1"/>
          <w:sz w:val="24"/>
          <w:lang w:val="en-GB"/>
        </w:rPr>
        <w:t xml:space="preserve">of </w:t>
      </w:r>
      <w:r w:rsidRPr="00B92BDF">
        <w:rPr>
          <w:rFonts w:ascii="Times New Roman" w:hAnsi="Times New Roman" w:cs="Times New Roman"/>
          <w:color w:val="000000" w:themeColor="text1"/>
          <w:sz w:val="24"/>
          <w:lang w:val="en-GB"/>
        </w:rPr>
        <w:t>less than one year is three times higher than the growth rate of long-term bonds. The returns on short-, mid and lo</w:t>
      </w:r>
      <w:r w:rsidR="009160CF" w:rsidRPr="00B92BDF">
        <w:rPr>
          <w:rFonts w:ascii="Times New Roman" w:hAnsi="Times New Roman" w:cs="Times New Roman"/>
          <w:color w:val="000000" w:themeColor="text1"/>
          <w:sz w:val="24"/>
          <w:lang w:val="en-GB"/>
        </w:rPr>
        <w:t>ng-term bonds increase monthly o</w:t>
      </w:r>
      <w:r w:rsidRPr="00B92BDF">
        <w:rPr>
          <w:rFonts w:ascii="Times New Roman" w:hAnsi="Times New Roman" w:cs="Times New Roman"/>
          <w:color w:val="000000" w:themeColor="text1"/>
          <w:sz w:val="24"/>
          <w:lang w:val="en-GB"/>
        </w:rPr>
        <w:t>n average by 0.07%, 0.05% and 0.023% respectively. In 2008–2011</w:t>
      </w:r>
      <w:r w:rsidR="00BC2D5F" w:rsidRPr="00B92BDF">
        <w:rPr>
          <w:rFonts w:ascii="Times New Roman" w:hAnsi="Times New Roman" w:cs="Times New Roman"/>
          <w:color w:val="000000" w:themeColor="text1"/>
          <w:sz w:val="24"/>
          <w:lang w:val="en-GB"/>
        </w:rPr>
        <w:t>,</w:t>
      </w:r>
      <w:r w:rsidRPr="00B92BDF">
        <w:rPr>
          <w:rFonts w:ascii="Times New Roman" w:hAnsi="Times New Roman" w:cs="Times New Roman"/>
          <w:color w:val="000000" w:themeColor="text1"/>
          <w:sz w:val="24"/>
          <w:lang w:val="en-GB"/>
        </w:rPr>
        <w:t xml:space="preserve"> the bond yields obviously decline. While the mid- and long-term bonds are slightly affected by the recession, the short-term bonds are hit the most by the crises</w:t>
      </w:r>
      <w:r w:rsidR="002E66E6" w:rsidRPr="00B92BDF">
        <w:rPr>
          <w:rFonts w:ascii="Times New Roman" w:hAnsi="Times New Roman" w:cs="Times New Roman"/>
          <w:color w:val="000000" w:themeColor="text1"/>
          <w:sz w:val="24"/>
          <w:lang w:val="en-GB"/>
        </w:rPr>
        <w:t xml:space="preserve"> events: their yields decrease o</w:t>
      </w:r>
      <w:r w:rsidRPr="00B92BDF">
        <w:rPr>
          <w:rFonts w:ascii="Times New Roman" w:hAnsi="Times New Roman" w:cs="Times New Roman"/>
          <w:color w:val="000000" w:themeColor="text1"/>
          <w:sz w:val="24"/>
          <w:lang w:val="en-GB"/>
        </w:rPr>
        <w:t xml:space="preserve">n average by 0.05% every month. After the crises in 2012–2017 the descending tendency in bond returns continues. Surprisingly, the long-term bond yields decrease the most with the average tempo of 0.045% per month. For the whole sample period from 2005 to 2017, the dynamics of returns on bonds with different maturities </w:t>
      </w:r>
      <w:r w:rsidR="009160CF" w:rsidRPr="00B92BDF">
        <w:rPr>
          <w:rFonts w:ascii="Times New Roman" w:hAnsi="Times New Roman" w:cs="Times New Roman"/>
          <w:color w:val="000000" w:themeColor="text1"/>
          <w:sz w:val="24"/>
          <w:lang w:val="en-GB"/>
        </w:rPr>
        <w:t xml:space="preserve">are </w:t>
      </w:r>
      <w:r w:rsidRPr="00B92BDF">
        <w:rPr>
          <w:rFonts w:ascii="Times New Roman" w:hAnsi="Times New Roman" w:cs="Times New Roman"/>
          <w:color w:val="000000" w:themeColor="text1"/>
          <w:sz w:val="24"/>
          <w:lang w:val="en-GB"/>
        </w:rPr>
        <w:t>characterise</w:t>
      </w:r>
      <w:r w:rsidR="009160CF" w:rsidRPr="00B92BDF">
        <w:rPr>
          <w:rFonts w:ascii="Times New Roman" w:hAnsi="Times New Roman" w:cs="Times New Roman"/>
          <w:color w:val="000000" w:themeColor="text1"/>
          <w:sz w:val="24"/>
          <w:lang w:val="en-GB"/>
        </w:rPr>
        <w:t>d</w:t>
      </w:r>
      <w:r w:rsidRPr="00B92BDF">
        <w:rPr>
          <w:rFonts w:ascii="Times New Roman" w:hAnsi="Times New Roman" w:cs="Times New Roman"/>
          <w:color w:val="000000" w:themeColor="text1"/>
          <w:sz w:val="24"/>
          <w:lang w:val="en-GB"/>
        </w:rPr>
        <w:t xml:space="preserve"> with </w:t>
      </w:r>
      <w:r w:rsidR="009160CF" w:rsidRPr="00B92BDF">
        <w:rPr>
          <w:rFonts w:ascii="Times New Roman" w:hAnsi="Times New Roman" w:cs="Times New Roman"/>
          <w:color w:val="000000" w:themeColor="text1"/>
          <w:sz w:val="24"/>
          <w:lang w:val="en-GB"/>
        </w:rPr>
        <w:t xml:space="preserve">a </w:t>
      </w:r>
      <w:r w:rsidRPr="00B92BDF">
        <w:rPr>
          <w:rFonts w:ascii="Times New Roman" w:hAnsi="Times New Roman" w:cs="Times New Roman"/>
          <w:color w:val="000000" w:themeColor="text1"/>
          <w:sz w:val="24"/>
          <w:lang w:val="en-GB"/>
        </w:rPr>
        <w:t xml:space="preserve">negative time trend as well. </w:t>
      </w:r>
      <w:r w:rsidRPr="00B92BDF">
        <w:rPr>
          <w:rFonts w:ascii="Times New Roman" w:hAnsi="Times New Roman" w:cs="Times New Roman"/>
          <w:color w:val="000000" w:themeColor="text1"/>
          <w:sz w:val="24"/>
          <w:lang w:val="en-GB"/>
        </w:rPr>
        <w:lastRenderedPageBreak/>
        <w:t xml:space="preserve">In addition, short-term bonds are more sensitive to business cycle patterns and, therefore, </w:t>
      </w:r>
      <w:r w:rsidR="009160CF" w:rsidRPr="00B92BDF">
        <w:rPr>
          <w:rFonts w:ascii="Times New Roman" w:hAnsi="Times New Roman" w:cs="Times New Roman"/>
          <w:color w:val="000000" w:themeColor="text1"/>
          <w:sz w:val="24"/>
          <w:lang w:val="en-GB"/>
        </w:rPr>
        <w:t xml:space="preserve">are </w:t>
      </w:r>
      <w:r w:rsidRPr="00B92BDF">
        <w:rPr>
          <w:rFonts w:ascii="Times New Roman" w:hAnsi="Times New Roman" w:cs="Times New Roman"/>
          <w:color w:val="000000" w:themeColor="text1"/>
          <w:sz w:val="24"/>
          <w:lang w:val="en-GB"/>
        </w:rPr>
        <w:t>subject to more significant fluctuations than bonds with longer maturities.</w:t>
      </w:r>
    </w:p>
    <w:p w:rsidR="00A76009" w:rsidRPr="00B92BDF" w:rsidRDefault="00A76009" w:rsidP="00EA5EAB">
      <w:pPr>
        <w:spacing w:after="0" w:line="240" w:lineRule="auto"/>
        <w:jc w:val="both"/>
        <w:rPr>
          <w:rFonts w:ascii="Times New Roman" w:hAnsi="Times New Roman" w:cs="Times New Roman"/>
          <w:color w:val="000000" w:themeColor="text1"/>
          <w:sz w:val="20"/>
          <w:lang w:val="en-GB"/>
        </w:rPr>
      </w:pPr>
    </w:p>
    <w:tbl>
      <w:tblPr>
        <w:tblStyle w:val="TableGrid"/>
        <w:tblW w:w="0" w:type="auto"/>
        <w:jc w:val="center"/>
        <w:tblLook w:val="04A0"/>
      </w:tblPr>
      <w:tblGrid>
        <w:gridCol w:w="516"/>
        <w:gridCol w:w="1445"/>
        <w:gridCol w:w="1445"/>
        <w:gridCol w:w="1445"/>
        <w:gridCol w:w="1673"/>
      </w:tblGrid>
      <w:tr w:rsidR="00A76009" w:rsidRPr="00B92BDF" w:rsidTr="007F5122">
        <w:trPr>
          <w:trHeight w:val="347"/>
          <w:jc w:val="center"/>
        </w:trPr>
        <w:tc>
          <w:tcPr>
            <w:tcW w:w="471" w:type="dxa"/>
          </w:tcPr>
          <w:p w:rsidR="00A76009" w:rsidRPr="00B92BDF" w:rsidRDefault="00A76009" w:rsidP="00EA5EAB">
            <w:pPr>
              <w:jc w:val="center"/>
              <w:rPr>
                <w:rFonts w:ascii="Times New Roman" w:hAnsi="Times New Roman" w:cs="Times New Roman"/>
                <w:color w:val="000000" w:themeColor="text1"/>
                <w:sz w:val="20"/>
                <w:szCs w:val="20"/>
                <w:lang w:val="en-GB"/>
              </w:rPr>
            </w:pPr>
          </w:p>
        </w:tc>
        <w:tc>
          <w:tcPr>
            <w:tcW w:w="1445" w:type="dxa"/>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2005-2007</w:t>
            </w:r>
          </w:p>
        </w:tc>
        <w:tc>
          <w:tcPr>
            <w:tcW w:w="1445" w:type="dxa"/>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2008-2011</w:t>
            </w:r>
          </w:p>
        </w:tc>
        <w:tc>
          <w:tcPr>
            <w:tcW w:w="1445" w:type="dxa"/>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Subsample 2012-2017</w:t>
            </w:r>
          </w:p>
        </w:tc>
        <w:tc>
          <w:tcPr>
            <w:tcW w:w="1673" w:type="dxa"/>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Sample Period 2005-2017</w:t>
            </w:r>
          </w:p>
        </w:tc>
      </w:tr>
      <w:tr w:rsidR="00A76009" w:rsidRPr="00B92BDF" w:rsidTr="007F5122">
        <w:trPr>
          <w:trHeight w:val="461"/>
          <w:jc w:val="center"/>
        </w:trPr>
        <w:tc>
          <w:tcPr>
            <w:tcW w:w="471" w:type="dxa"/>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ST</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0.069***</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(0.003)</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-0.048***</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(0.011)</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-0.022***</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(0.0008)</w:t>
            </w:r>
          </w:p>
        </w:tc>
        <w:tc>
          <w:tcPr>
            <w:tcW w:w="1673"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-0.027***</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(0.001)</w:t>
            </w:r>
          </w:p>
        </w:tc>
      </w:tr>
      <w:tr w:rsidR="00A76009" w:rsidRPr="00B92BDF" w:rsidTr="007F5122">
        <w:trPr>
          <w:trHeight w:val="473"/>
          <w:jc w:val="center"/>
        </w:trPr>
        <w:tc>
          <w:tcPr>
            <w:tcW w:w="471" w:type="dxa"/>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MT</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0.052***</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(0.003)</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-0.019**</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(0.006)</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-0.038***</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(0.002)</w:t>
            </w:r>
          </w:p>
        </w:tc>
        <w:tc>
          <w:tcPr>
            <w:tcW w:w="1673"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-0.026***</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(0.001)</w:t>
            </w:r>
          </w:p>
        </w:tc>
      </w:tr>
      <w:tr w:rsidR="00A76009" w:rsidRPr="00B92BDF" w:rsidTr="007F5122">
        <w:trPr>
          <w:trHeight w:val="473"/>
          <w:jc w:val="center"/>
        </w:trPr>
        <w:tc>
          <w:tcPr>
            <w:tcW w:w="471" w:type="dxa"/>
          </w:tcPr>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LT</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0.023***</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(0.004)</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-0.022***</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(0.006)</w:t>
            </w:r>
          </w:p>
        </w:tc>
        <w:tc>
          <w:tcPr>
            <w:tcW w:w="1445"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-0.045***</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(0.003)</w:t>
            </w:r>
          </w:p>
        </w:tc>
        <w:tc>
          <w:tcPr>
            <w:tcW w:w="1673" w:type="dxa"/>
          </w:tcPr>
          <w:p w:rsidR="00A76009" w:rsidRPr="00B92BDF" w:rsidRDefault="00A76009" w:rsidP="00EA5EAB">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-0.019***</w:t>
            </w:r>
          </w:p>
          <w:p w:rsidR="00A76009" w:rsidRPr="00B92BDF" w:rsidRDefault="00A76009" w:rsidP="00EA5EAB">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(0.001)</w:t>
            </w:r>
          </w:p>
        </w:tc>
      </w:tr>
    </w:tbl>
    <w:p w:rsidR="00A76009" w:rsidRPr="00B92BDF" w:rsidRDefault="00A76009" w:rsidP="00EA5EAB">
      <w:pPr>
        <w:spacing w:before="240"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Table 5.</w:t>
      </w:r>
      <w:proofErr w:type="gramEnd"/>
      <w:r w:rsidRPr="00B92BDF">
        <w:rPr>
          <w:rFonts w:ascii="Times New Roman" w:hAnsi="Times New Roman" w:cs="Times New Roman"/>
          <w:color w:val="000000" w:themeColor="text1"/>
          <w:sz w:val="24"/>
          <w:lang w:val="en-GB"/>
        </w:rPr>
        <w:t xml:space="preserve"> Results of the trend model estimation. Standard errors are given in parentheses. Significance levels: ** 0.01 *** 0.001. Source: calculated by the author</w:t>
      </w:r>
      <w:r w:rsidR="003E4D4F" w:rsidRPr="00B92BDF">
        <w:rPr>
          <w:rFonts w:ascii="Times New Roman" w:hAnsi="Times New Roman" w:cs="Times New Roman"/>
          <w:color w:val="000000" w:themeColor="text1"/>
          <w:sz w:val="24"/>
          <w:lang w:val="en-GB"/>
        </w:rPr>
        <w:t>s</w:t>
      </w:r>
      <w:r w:rsidRPr="00B92BDF">
        <w:rPr>
          <w:rFonts w:ascii="Times New Roman" w:hAnsi="Times New Roman" w:cs="Times New Roman"/>
          <w:color w:val="000000" w:themeColor="text1"/>
          <w:sz w:val="24"/>
          <w:lang w:val="en-GB"/>
        </w:rPr>
        <w:t>.</w:t>
      </w:r>
    </w:p>
    <w:p w:rsidR="00A76009" w:rsidRPr="00B92BDF" w:rsidRDefault="00A76009" w:rsidP="00EA5EAB">
      <w:pPr>
        <w:spacing w:after="0" w:line="240" w:lineRule="auto"/>
        <w:jc w:val="both"/>
        <w:rPr>
          <w:rFonts w:ascii="Times New Roman" w:hAnsi="Times New Roman" w:cs="Times New Roman"/>
          <w:color w:val="000000" w:themeColor="text1"/>
          <w:sz w:val="20"/>
          <w:lang w:val="en-GB"/>
        </w:rPr>
      </w:pP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Figures 7, 8 and 9 provide the graphical representation of the estimated fitted values and residuals from the trend models. Fitted values are those estimated average yields that lay on the trend line. Residuals that are computed as the difference between real and fitted values characterise the stochastic component of bond returns. Residuals are an important basis for the subsequent time-series analysis since they are detrended and free from any external influence of the market or economic conditions. From these graphs one can easily notice the disparities between fitted values and residuals estimated separately for each subperiod and estimated over the whole time period.</w:t>
      </w:r>
    </w:p>
    <w:p w:rsidR="00A76009" w:rsidRPr="00B92BDF" w:rsidRDefault="00A76009" w:rsidP="00EA5EAB">
      <w:pPr>
        <w:spacing w:after="0" w:line="240" w:lineRule="auto"/>
        <w:jc w:val="both"/>
        <w:rPr>
          <w:rFonts w:ascii="Times New Roman" w:hAnsi="Times New Roman" w:cs="Times New Roman"/>
          <w:color w:val="000000" w:themeColor="text1"/>
          <w:sz w:val="20"/>
          <w:szCs w:val="24"/>
          <w:lang w:val="en-GB"/>
        </w:rPr>
      </w:pPr>
    </w:p>
    <w:p w:rsidR="00A76009" w:rsidRPr="00B92BDF" w:rsidRDefault="000F7770" w:rsidP="00EA5EAB">
      <w:pPr>
        <w:spacing w:after="0" w:line="240" w:lineRule="auto"/>
        <w:jc w:val="both"/>
        <w:rPr>
          <w:rFonts w:ascii="Times New Roman" w:hAnsi="Times New Roman" w:cs="Times New Roman"/>
          <w:color w:val="000000" w:themeColor="text1"/>
          <w:sz w:val="24"/>
          <w:szCs w:val="24"/>
          <w:lang w:val="en-GB"/>
        </w:rPr>
      </w:pPr>
      <w:r w:rsidRPr="00B92BDF">
        <w:rPr>
          <w:noProof/>
          <w:color w:val="000000" w:themeColor="text1"/>
        </w:rPr>
        <w:drawing>
          <wp:inline distT="0" distB="0" distL="0" distR="0">
            <wp:extent cx="5759450" cy="2670923"/>
            <wp:effectExtent l="19050" t="19050" r="12700" b="15127"/>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sharpenSoften amount="50000"/>
                              </a14:imgEffect>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25" t="9462" b="2526"/>
                    <a:stretch/>
                  </pic:blipFill>
                  <pic:spPr bwMode="auto">
                    <a:xfrm>
                      <a:off x="0" y="0"/>
                      <a:ext cx="5759450" cy="267092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6009" w:rsidRPr="00B92BDF" w:rsidRDefault="00A76009" w:rsidP="00EA5EAB">
      <w:pPr>
        <w:spacing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Figure 7.</w:t>
      </w:r>
      <w:proofErr w:type="gramEnd"/>
      <w:r w:rsidRPr="00B92BDF">
        <w:rPr>
          <w:rFonts w:ascii="Times New Roman" w:hAnsi="Times New Roman" w:cs="Times New Roman"/>
          <w:color w:val="000000" w:themeColor="text1"/>
          <w:sz w:val="24"/>
          <w:lang w:val="en-GB"/>
        </w:rPr>
        <w:t xml:space="preserve"> True values, fitted values and residuals from the trend model estimation for the short-term bond yields. Source: calculated by the author</w:t>
      </w:r>
      <w:r w:rsidR="003E4D4F" w:rsidRPr="00B92BDF">
        <w:rPr>
          <w:rFonts w:ascii="Times New Roman" w:hAnsi="Times New Roman" w:cs="Times New Roman"/>
          <w:color w:val="000000" w:themeColor="text1"/>
          <w:sz w:val="24"/>
          <w:lang w:val="en-GB"/>
        </w:rPr>
        <w:t>s</w:t>
      </w:r>
      <w:r w:rsidRPr="00B92BDF">
        <w:rPr>
          <w:rFonts w:ascii="Times New Roman" w:hAnsi="Times New Roman" w:cs="Times New Roman"/>
          <w:color w:val="000000" w:themeColor="text1"/>
          <w:sz w:val="24"/>
          <w:lang w:val="en-GB"/>
        </w:rPr>
        <w:t>.</w:t>
      </w:r>
    </w:p>
    <w:p w:rsidR="007F5122" w:rsidRPr="00B92BDF" w:rsidRDefault="007F5122" w:rsidP="00EA5EAB">
      <w:pPr>
        <w:spacing w:after="0" w:line="240" w:lineRule="auto"/>
        <w:jc w:val="center"/>
        <w:rPr>
          <w:rFonts w:ascii="Times New Roman" w:hAnsi="Times New Roman" w:cs="Times New Roman"/>
          <w:color w:val="000000" w:themeColor="text1"/>
          <w:sz w:val="24"/>
          <w:lang w:val="en-GB"/>
        </w:rPr>
      </w:pPr>
    </w:p>
    <w:p w:rsidR="00140AC9" w:rsidRPr="00B92BDF" w:rsidRDefault="00140AC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The next step within this econometric part is the residuals analysis. First, the residuals are tested for stationarity using the ADF and KPSS tests. The null hypothesis of the ADF test is that the time series is non-stationary, so the null should be rejected to have stationary series. KPSS test is </w:t>
      </w:r>
      <w:r w:rsidRPr="00B92BDF">
        <w:rPr>
          <w:rFonts w:ascii="Times New Roman" w:hAnsi="Times New Roman" w:cs="Times New Roman"/>
          <w:i/>
          <w:color w:val="000000" w:themeColor="text1"/>
          <w:sz w:val="24"/>
          <w:szCs w:val="24"/>
          <w:lang w:val="en-GB"/>
        </w:rPr>
        <w:t>vice versa</w:t>
      </w:r>
      <w:r w:rsidRPr="00B92BDF">
        <w:rPr>
          <w:rFonts w:ascii="Times New Roman" w:hAnsi="Times New Roman" w:cs="Times New Roman"/>
          <w:color w:val="000000" w:themeColor="text1"/>
          <w:sz w:val="24"/>
          <w:szCs w:val="24"/>
          <w:lang w:val="en-GB"/>
        </w:rPr>
        <w:t>. Both tests detect the presence of a unit-root and suggest that residuals are non-stationary either for the whole sample period or for the separated subperiods. As an attempt to get rid of the unit-root</w:t>
      </w:r>
      <w:r w:rsidR="009160CF" w:rsidRPr="00B92BDF">
        <w:rPr>
          <w:rFonts w:ascii="Times New Roman" w:hAnsi="Times New Roman" w:cs="Times New Roman"/>
          <w:color w:val="000000" w:themeColor="text1"/>
          <w:sz w:val="24"/>
          <w:szCs w:val="24"/>
          <w:lang w:val="en-GB"/>
        </w:rPr>
        <w:t>,</w:t>
      </w:r>
      <w:r w:rsidRPr="00B92BDF">
        <w:rPr>
          <w:rFonts w:ascii="Times New Roman" w:hAnsi="Times New Roman" w:cs="Times New Roman"/>
          <w:color w:val="000000" w:themeColor="text1"/>
          <w:sz w:val="24"/>
          <w:szCs w:val="24"/>
          <w:lang w:val="en-GB"/>
        </w:rPr>
        <w:t xml:space="preserve"> the first difference of the residuals</w:t>
      </w:r>
      <w:r w:rsidR="009160CF" w:rsidRPr="00B92BDF">
        <w:rPr>
          <w:rFonts w:ascii="Times New Roman" w:hAnsi="Times New Roman" w:cs="Times New Roman"/>
          <w:color w:val="000000" w:themeColor="text1"/>
          <w:sz w:val="24"/>
          <w:szCs w:val="24"/>
          <w:lang w:val="en-GB"/>
        </w:rPr>
        <w:t xml:space="preserve"> is calculated</w:t>
      </w:r>
      <w:r w:rsidRPr="00B92BDF">
        <w:rPr>
          <w:rFonts w:ascii="Times New Roman" w:hAnsi="Times New Roman" w:cs="Times New Roman"/>
          <w:color w:val="000000" w:themeColor="text1"/>
          <w:sz w:val="24"/>
          <w:szCs w:val="24"/>
          <w:lang w:val="en-GB"/>
        </w:rPr>
        <w:t>. The residuals for the subsamples 2005</w:t>
      </w:r>
      <w:r w:rsidRPr="00B92BDF">
        <w:rPr>
          <w:rFonts w:ascii="Times New Roman" w:hAnsi="Times New Roman" w:cs="Times New Roman"/>
          <w:color w:val="000000" w:themeColor="text1"/>
          <w:sz w:val="24"/>
          <w:lang w:val="en-GB"/>
        </w:rPr>
        <w:t>–</w:t>
      </w:r>
      <w:r w:rsidRPr="00B92BDF">
        <w:rPr>
          <w:rFonts w:ascii="Times New Roman" w:hAnsi="Times New Roman" w:cs="Times New Roman"/>
          <w:color w:val="000000" w:themeColor="text1"/>
          <w:sz w:val="24"/>
          <w:szCs w:val="24"/>
          <w:lang w:val="en-GB"/>
        </w:rPr>
        <w:t>2007 and 2008</w:t>
      </w:r>
      <w:r w:rsidRPr="00B92BDF">
        <w:rPr>
          <w:rFonts w:ascii="Times New Roman" w:hAnsi="Times New Roman" w:cs="Times New Roman"/>
          <w:color w:val="000000" w:themeColor="text1"/>
          <w:sz w:val="24"/>
          <w:lang w:val="en-GB"/>
        </w:rPr>
        <w:t>–</w:t>
      </w:r>
      <w:r w:rsidRPr="00B92BDF">
        <w:rPr>
          <w:rFonts w:ascii="Times New Roman" w:hAnsi="Times New Roman" w:cs="Times New Roman"/>
          <w:color w:val="000000" w:themeColor="text1"/>
          <w:sz w:val="24"/>
          <w:szCs w:val="24"/>
          <w:lang w:val="en-GB"/>
        </w:rPr>
        <w:t xml:space="preserve">2011 are non-stationary even after taking the first difference. Thus, in order to model the behaviour of the stochastic component of </w:t>
      </w:r>
      <w:r w:rsidR="009160CF"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time series, it is better to use the first difference of the residuals for the whole time period </w:t>
      </w:r>
      <w:r w:rsidRPr="00B92BDF">
        <w:rPr>
          <w:rFonts w:ascii="Times New Roman" w:hAnsi="Times New Roman" w:cs="Times New Roman"/>
          <w:color w:val="000000" w:themeColor="text1"/>
          <w:sz w:val="24"/>
          <w:szCs w:val="24"/>
          <w:lang w:val="en-GB"/>
        </w:rPr>
        <w:lastRenderedPageBreak/>
        <w:t xml:space="preserve">despite it </w:t>
      </w:r>
      <w:r w:rsidR="009160CF" w:rsidRPr="00B92BDF">
        <w:rPr>
          <w:rFonts w:ascii="Times New Roman" w:hAnsi="Times New Roman" w:cs="Times New Roman"/>
          <w:color w:val="000000" w:themeColor="text1"/>
          <w:sz w:val="24"/>
          <w:szCs w:val="24"/>
          <w:lang w:val="en-GB"/>
        </w:rPr>
        <w:t>being</w:t>
      </w:r>
      <w:r w:rsidRPr="00B92BDF">
        <w:rPr>
          <w:rFonts w:ascii="Times New Roman" w:hAnsi="Times New Roman" w:cs="Times New Roman"/>
          <w:color w:val="000000" w:themeColor="text1"/>
          <w:sz w:val="24"/>
          <w:szCs w:val="24"/>
          <w:lang w:val="en-GB"/>
        </w:rPr>
        <w:t xml:space="preserve"> measured less accurate</w:t>
      </w:r>
      <w:r w:rsidR="009160CF" w:rsidRPr="00B92BDF">
        <w:rPr>
          <w:rFonts w:ascii="Times New Roman" w:hAnsi="Times New Roman" w:cs="Times New Roman"/>
          <w:color w:val="000000" w:themeColor="text1"/>
          <w:sz w:val="24"/>
          <w:szCs w:val="24"/>
          <w:lang w:val="en-GB"/>
        </w:rPr>
        <w:t>ly</w:t>
      </w:r>
      <w:r w:rsidRPr="00B92BDF">
        <w:rPr>
          <w:rFonts w:ascii="Times New Roman" w:hAnsi="Times New Roman" w:cs="Times New Roman"/>
          <w:color w:val="000000" w:themeColor="text1"/>
          <w:sz w:val="24"/>
          <w:szCs w:val="24"/>
          <w:lang w:val="en-GB"/>
        </w:rPr>
        <w:t xml:space="preserve"> than the residuals estimated separately for each subperiod. The explicit results of</w:t>
      </w:r>
      <w:r w:rsidR="009160CF" w:rsidRPr="00B92BDF">
        <w:rPr>
          <w:rFonts w:ascii="Times New Roman" w:hAnsi="Times New Roman" w:cs="Times New Roman"/>
          <w:color w:val="000000" w:themeColor="text1"/>
          <w:sz w:val="24"/>
          <w:szCs w:val="24"/>
          <w:lang w:val="en-GB"/>
        </w:rPr>
        <w:t xml:space="preserve"> the</w:t>
      </w:r>
      <w:r w:rsidRPr="00B92BDF">
        <w:rPr>
          <w:rFonts w:ascii="Times New Roman" w:hAnsi="Times New Roman" w:cs="Times New Roman"/>
          <w:color w:val="000000" w:themeColor="text1"/>
          <w:sz w:val="24"/>
          <w:szCs w:val="24"/>
          <w:lang w:val="en-GB"/>
        </w:rPr>
        <w:t xml:space="preserve"> tests appear in Appendix C.</w:t>
      </w:r>
    </w:p>
    <w:p w:rsidR="00140AC9" w:rsidRPr="00B92BDF" w:rsidRDefault="00140AC9" w:rsidP="00EA5EAB">
      <w:pPr>
        <w:spacing w:after="0" w:line="240" w:lineRule="auto"/>
        <w:jc w:val="center"/>
        <w:rPr>
          <w:rFonts w:ascii="Times New Roman" w:hAnsi="Times New Roman" w:cs="Times New Roman"/>
          <w:color w:val="000000" w:themeColor="text1"/>
          <w:sz w:val="20"/>
          <w:lang w:val="en-GB"/>
        </w:rPr>
      </w:pPr>
    </w:p>
    <w:p w:rsidR="00A76009" w:rsidRPr="00B92BDF" w:rsidRDefault="000F7770" w:rsidP="00EA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Lucida Console" w:eastAsia="Times New Roman" w:hAnsi="Lucida Console" w:cs="Courier New"/>
          <w:color w:val="000000" w:themeColor="text1"/>
          <w:sz w:val="20"/>
          <w:szCs w:val="20"/>
          <w:lang w:val="en-GB" w:eastAsia="ru-RU"/>
        </w:rPr>
      </w:pPr>
      <w:r w:rsidRPr="00B92BDF">
        <w:rPr>
          <w:rFonts w:ascii="Lucida Console" w:eastAsia="Times New Roman" w:hAnsi="Lucida Console" w:cs="Courier New"/>
          <w:noProof/>
          <w:color w:val="000000" w:themeColor="text1"/>
          <w:sz w:val="20"/>
          <w:szCs w:val="20"/>
        </w:rPr>
        <w:drawing>
          <wp:inline distT="0" distB="0" distL="0" distR="0">
            <wp:extent cx="5759450" cy="2672466"/>
            <wp:effectExtent l="19050" t="19050" r="12700" b="13584"/>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sharpenSoften amount="50000"/>
                              </a14:imgEffect>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47" t="9226" b="2679"/>
                    <a:stretch/>
                  </pic:blipFill>
                  <pic:spPr bwMode="auto">
                    <a:xfrm>
                      <a:off x="0" y="0"/>
                      <a:ext cx="5759450" cy="267246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6009" w:rsidRPr="00B92BDF" w:rsidRDefault="00A76009" w:rsidP="00EA5EAB">
      <w:pPr>
        <w:spacing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Figure 8.</w:t>
      </w:r>
      <w:proofErr w:type="gramEnd"/>
      <w:r w:rsidRPr="00B92BDF">
        <w:rPr>
          <w:rFonts w:ascii="Times New Roman" w:hAnsi="Times New Roman" w:cs="Times New Roman"/>
          <w:color w:val="000000" w:themeColor="text1"/>
          <w:sz w:val="24"/>
          <w:lang w:val="en-GB"/>
        </w:rPr>
        <w:t xml:space="preserve"> True values, fitted values and residuals from the trend model estimation for the mid-term bond yields. Source: calculated by the author</w:t>
      </w:r>
      <w:r w:rsidR="003E4D4F" w:rsidRPr="00B92BDF">
        <w:rPr>
          <w:rFonts w:ascii="Times New Roman" w:hAnsi="Times New Roman" w:cs="Times New Roman"/>
          <w:color w:val="000000" w:themeColor="text1"/>
          <w:sz w:val="24"/>
          <w:lang w:val="en-GB"/>
        </w:rPr>
        <w:t>s</w:t>
      </w:r>
      <w:r w:rsidRPr="00B92BDF">
        <w:rPr>
          <w:rFonts w:ascii="Times New Roman" w:hAnsi="Times New Roman" w:cs="Times New Roman"/>
          <w:color w:val="000000" w:themeColor="text1"/>
          <w:sz w:val="24"/>
          <w:lang w:val="en-GB"/>
        </w:rPr>
        <w:t>.</w:t>
      </w:r>
    </w:p>
    <w:p w:rsidR="00140AC9" w:rsidRPr="00B92BDF" w:rsidRDefault="00140AC9" w:rsidP="00EA5EAB">
      <w:pPr>
        <w:spacing w:after="0" w:line="240" w:lineRule="auto"/>
        <w:jc w:val="center"/>
        <w:rPr>
          <w:rFonts w:ascii="Times New Roman" w:hAnsi="Times New Roman" w:cs="Times New Roman"/>
          <w:color w:val="000000" w:themeColor="text1"/>
          <w:sz w:val="20"/>
          <w:lang w:val="en-GB"/>
        </w:rPr>
      </w:pPr>
    </w:p>
    <w:p w:rsidR="00140AC9" w:rsidRPr="00B92BDF" w:rsidRDefault="009E1ED4"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T</w:t>
      </w:r>
      <w:r w:rsidR="00140AC9" w:rsidRPr="00B92BDF">
        <w:rPr>
          <w:rFonts w:ascii="Times New Roman" w:hAnsi="Times New Roman" w:cs="Times New Roman"/>
          <w:color w:val="000000" w:themeColor="text1"/>
          <w:sz w:val="24"/>
          <w:szCs w:val="24"/>
          <w:lang w:val="en-GB"/>
        </w:rPr>
        <w:t xml:space="preserve">he ACF and PACF functions of the first difference of the residuals are plotted to have an idea about the order of AR and MA components of proposed </w:t>
      </w:r>
      <w:r w:rsidR="009160CF" w:rsidRPr="00B92BDF">
        <w:rPr>
          <w:rFonts w:ascii="Times New Roman" w:hAnsi="Times New Roman" w:cs="Times New Roman"/>
          <w:color w:val="000000" w:themeColor="text1"/>
          <w:sz w:val="24"/>
          <w:szCs w:val="24"/>
          <w:lang w:val="en-GB"/>
        </w:rPr>
        <w:t xml:space="preserve">the </w:t>
      </w:r>
      <w:r w:rsidR="00140AC9" w:rsidRPr="00B92BDF">
        <w:rPr>
          <w:rFonts w:ascii="Times New Roman" w:hAnsi="Times New Roman" w:cs="Times New Roman"/>
          <w:color w:val="000000" w:themeColor="text1"/>
          <w:sz w:val="24"/>
          <w:szCs w:val="24"/>
          <w:lang w:val="en-GB"/>
        </w:rPr>
        <w:t>ARIMA model (see equation (2) in the previous chapter).  The graphs of ACF and PACF f</w:t>
      </w:r>
      <w:r w:rsidR="009160CF" w:rsidRPr="00B92BDF">
        <w:rPr>
          <w:rFonts w:ascii="Times New Roman" w:hAnsi="Times New Roman" w:cs="Times New Roman"/>
          <w:color w:val="000000" w:themeColor="text1"/>
          <w:sz w:val="24"/>
          <w:szCs w:val="24"/>
          <w:lang w:val="en-GB"/>
        </w:rPr>
        <w:t xml:space="preserve">unctions can be found in </w:t>
      </w:r>
      <w:r w:rsidR="00140AC9" w:rsidRPr="00B92BDF">
        <w:rPr>
          <w:rFonts w:ascii="Times New Roman" w:hAnsi="Times New Roman" w:cs="Times New Roman"/>
          <w:color w:val="000000" w:themeColor="text1"/>
          <w:sz w:val="24"/>
          <w:szCs w:val="24"/>
          <w:lang w:val="en-GB"/>
        </w:rPr>
        <w:t xml:space="preserve">Appendix D. The functions’ values suggest using AR of order 1 or 2 to model the stochastic component of the short-term bond yields, but do not state the appropriate order of MA. On the contrary, the graphs propose to use MA of order 1 or 2 and show the evidence of probable absence of </w:t>
      </w:r>
      <w:r w:rsidR="009160CF" w:rsidRPr="00B92BDF">
        <w:rPr>
          <w:rFonts w:ascii="Times New Roman" w:hAnsi="Times New Roman" w:cs="Times New Roman"/>
          <w:color w:val="000000" w:themeColor="text1"/>
          <w:sz w:val="24"/>
          <w:szCs w:val="24"/>
          <w:lang w:val="en-GB"/>
        </w:rPr>
        <w:t xml:space="preserve">the </w:t>
      </w:r>
      <w:r w:rsidR="00140AC9" w:rsidRPr="00B92BDF">
        <w:rPr>
          <w:rFonts w:ascii="Times New Roman" w:hAnsi="Times New Roman" w:cs="Times New Roman"/>
          <w:color w:val="000000" w:themeColor="text1"/>
          <w:sz w:val="24"/>
          <w:szCs w:val="24"/>
          <w:lang w:val="en-GB"/>
        </w:rPr>
        <w:t>AR component while assessing the mid- and long-term bond yields.</w:t>
      </w:r>
    </w:p>
    <w:p w:rsidR="00A76009" w:rsidRPr="00B92BDF" w:rsidRDefault="00A76009" w:rsidP="00EA5EAB">
      <w:pPr>
        <w:pStyle w:val="ListParagraph"/>
        <w:spacing w:after="0" w:line="240" w:lineRule="auto"/>
        <w:ind w:left="0"/>
        <w:jc w:val="both"/>
        <w:rPr>
          <w:rFonts w:ascii="Times New Roman" w:hAnsi="Times New Roman" w:cs="Times New Roman"/>
          <w:color w:val="000000" w:themeColor="text1"/>
          <w:sz w:val="20"/>
          <w:lang w:val="en-GB"/>
        </w:rPr>
      </w:pPr>
    </w:p>
    <w:p w:rsidR="00A76009" w:rsidRPr="00B92BDF" w:rsidRDefault="000F7770" w:rsidP="00EA5EAB">
      <w:pPr>
        <w:spacing w:after="0" w:line="240" w:lineRule="auto"/>
        <w:jc w:val="center"/>
        <w:rPr>
          <w:color w:val="000000" w:themeColor="text1"/>
          <w:lang w:val="en-GB"/>
        </w:rPr>
      </w:pPr>
      <w:r w:rsidRPr="00B92BDF">
        <w:rPr>
          <w:noProof/>
          <w:color w:val="000000" w:themeColor="text1"/>
        </w:rPr>
        <w:drawing>
          <wp:inline distT="0" distB="0" distL="0" distR="0">
            <wp:extent cx="5759450" cy="2711429"/>
            <wp:effectExtent l="19050" t="19050" r="12700" b="12721"/>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9">
                              <a14:imgEffect>
                                <a14:sharpenSoften amount="50000"/>
                              </a14:imgEffect>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904" r="2222" b="2059"/>
                    <a:stretch/>
                  </pic:blipFill>
                  <pic:spPr bwMode="auto">
                    <a:xfrm>
                      <a:off x="0" y="0"/>
                      <a:ext cx="5759450" cy="271142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6009" w:rsidRPr="00B92BDF" w:rsidRDefault="00A76009" w:rsidP="00EA5EAB">
      <w:pPr>
        <w:spacing w:after="0" w:line="240" w:lineRule="auto"/>
        <w:jc w:val="center"/>
        <w:rPr>
          <w:rFonts w:ascii="Times New Roman" w:hAnsi="Times New Roman" w:cs="Times New Roman"/>
          <w:color w:val="000000" w:themeColor="text1"/>
          <w:sz w:val="24"/>
          <w:lang w:val="en-GB"/>
        </w:rPr>
      </w:pPr>
      <w:proofErr w:type="gramStart"/>
      <w:r w:rsidRPr="00B92BDF">
        <w:rPr>
          <w:rFonts w:ascii="Times New Roman" w:hAnsi="Times New Roman" w:cs="Times New Roman"/>
          <w:color w:val="000000" w:themeColor="text1"/>
          <w:sz w:val="24"/>
          <w:lang w:val="en-GB"/>
        </w:rPr>
        <w:t>Figure 9.</w:t>
      </w:r>
      <w:proofErr w:type="gramEnd"/>
      <w:r w:rsidRPr="00B92BDF">
        <w:rPr>
          <w:rFonts w:ascii="Times New Roman" w:hAnsi="Times New Roman" w:cs="Times New Roman"/>
          <w:color w:val="000000" w:themeColor="text1"/>
          <w:sz w:val="24"/>
          <w:lang w:val="en-GB"/>
        </w:rPr>
        <w:t xml:space="preserve"> True values, fitted values and residuals from the trend model estimation for the long-term bond yields. Source: calculated by the author</w:t>
      </w:r>
      <w:r w:rsidR="003E4D4F" w:rsidRPr="00B92BDF">
        <w:rPr>
          <w:rFonts w:ascii="Times New Roman" w:hAnsi="Times New Roman" w:cs="Times New Roman"/>
          <w:color w:val="000000" w:themeColor="text1"/>
          <w:sz w:val="24"/>
          <w:lang w:val="en-GB"/>
        </w:rPr>
        <w:t>s</w:t>
      </w:r>
      <w:r w:rsidRPr="00B92BDF">
        <w:rPr>
          <w:rFonts w:ascii="Times New Roman" w:hAnsi="Times New Roman" w:cs="Times New Roman"/>
          <w:color w:val="000000" w:themeColor="text1"/>
          <w:sz w:val="24"/>
          <w:lang w:val="en-GB"/>
        </w:rPr>
        <w:t>.</w:t>
      </w:r>
    </w:p>
    <w:p w:rsidR="00A76009" w:rsidRPr="00B92BDF" w:rsidRDefault="00A76009" w:rsidP="00EA5EAB">
      <w:pPr>
        <w:spacing w:after="0" w:line="240" w:lineRule="auto"/>
        <w:jc w:val="both"/>
        <w:rPr>
          <w:rFonts w:ascii="Times New Roman" w:hAnsi="Times New Roman" w:cs="Times New Roman"/>
          <w:color w:val="000000" w:themeColor="text1"/>
          <w:sz w:val="20"/>
          <w:lang w:val="en-GB"/>
        </w:rPr>
      </w:pP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Although it is a common practice to rely on the ACF and PACF functions while determining the appropriate order of the time-series models, these functions may underestimate or overestimate the significance and the importance of any particular AR or </w:t>
      </w:r>
      <w:r w:rsidRPr="00B92BDF">
        <w:rPr>
          <w:rFonts w:ascii="Times New Roman" w:hAnsi="Times New Roman" w:cs="Times New Roman"/>
          <w:color w:val="000000" w:themeColor="text1"/>
          <w:sz w:val="24"/>
          <w:szCs w:val="24"/>
          <w:lang w:val="en-GB"/>
        </w:rPr>
        <w:lastRenderedPageBreak/>
        <w:t xml:space="preserve">MA component. In order to avoid such confusing situations, the set of ARIMA models </w:t>
      </w:r>
      <w:r w:rsidR="009160CF" w:rsidRPr="00B92BDF">
        <w:rPr>
          <w:rFonts w:ascii="Times New Roman" w:hAnsi="Times New Roman" w:cs="Times New Roman"/>
          <w:color w:val="000000" w:themeColor="text1"/>
          <w:sz w:val="24"/>
          <w:szCs w:val="24"/>
          <w:lang w:val="en-GB"/>
        </w:rPr>
        <w:t xml:space="preserve">is examined </w:t>
      </w:r>
      <w:r w:rsidRPr="00B92BDF">
        <w:rPr>
          <w:rFonts w:ascii="Times New Roman" w:hAnsi="Times New Roman" w:cs="Times New Roman"/>
          <w:color w:val="000000" w:themeColor="text1"/>
          <w:sz w:val="24"/>
          <w:szCs w:val="24"/>
          <w:lang w:val="en-GB"/>
        </w:rPr>
        <w:t>with AR and MA order</w:t>
      </w:r>
      <w:r w:rsidR="009160C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 xml:space="preserve"> varying from 0 to 2. The final choice of the best model explaining the dynamics of the stochastic component of the bond yields is made on the basis of </w:t>
      </w:r>
      <w:r w:rsidR="009160CF"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Akaike and </w:t>
      </w:r>
      <w:r w:rsidRPr="00B92BDF">
        <w:rPr>
          <w:rFonts w:ascii="Times New Roman" w:hAnsi="Times New Roman" w:cs="Times New Roman"/>
          <w:bCs/>
          <w:color w:val="000000" w:themeColor="text1"/>
          <w:sz w:val="24"/>
          <w:szCs w:val="24"/>
          <w:lang w:val="en-GB"/>
        </w:rPr>
        <w:t xml:space="preserve">Bayesian information criteria. The values </w:t>
      </w:r>
      <w:r w:rsidR="009160CF" w:rsidRPr="00B92BDF">
        <w:rPr>
          <w:rFonts w:ascii="Times New Roman" w:hAnsi="Times New Roman" w:cs="Times New Roman"/>
          <w:bCs/>
          <w:color w:val="000000" w:themeColor="text1"/>
          <w:sz w:val="24"/>
          <w:szCs w:val="24"/>
          <w:lang w:val="en-GB"/>
        </w:rPr>
        <w:t xml:space="preserve">of AIC and BIC are presented in </w:t>
      </w:r>
      <w:r w:rsidRPr="00B92BDF">
        <w:rPr>
          <w:rFonts w:ascii="Times New Roman" w:hAnsi="Times New Roman" w:cs="Times New Roman"/>
          <w:color w:val="000000" w:themeColor="text1"/>
          <w:sz w:val="24"/>
          <w:szCs w:val="24"/>
          <w:lang w:val="en-GB"/>
        </w:rPr>
        <w:t>Appendix E.</w:t>
      </w:r>
    </w:p>
    <w:p w:rsidR="00A76009" w:rsidRPr="00B92BDF" w:rsidRDefault="00A76009"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According to these criteria, the most appropriate models to determine the stochastic component of bond returns are: ARIMA (1, 1, </w:t>
      </w:r>
      <w:proofErr w:type="gramStart"/>
      <w:r w:rsidRPr="00B92BDF">
        <w:rPr>
          <w:rFonts w:ascii="Times New Roman" w:hAnsi="Times New Roman" w:cs="Times New Roman"/>
          <w:color w:val="000000" w:themeColor="text1"/>
          <w:sz w:val="24"/>
          <w:szCs w:val="24"/>
          <w:lang w:val="en-GB"/>
        </w:rPr>
        <w:t>1</w:t>
      </w:r>
      <w:proofErr w:type="gramEnd"/>
      <w:r w:rsidRPr="00B92BDF">
        <w:rPr>
          <w:rFonts w:ascii="Times New Roman" w:hAnsi="Times New Roman" w:cs="Times New Roman"/>
          <w:color w:val="000000" w:themeColor="text1"/>
          <w:sz w:val="24"/>
          <w:szCs w:val="24"/>
          <w:lang w:val="en-GB"/>
        </w:rPr>
        <w:t xml:space="preserve">) for the short-term bills, ARIMA (0, 1, 1) or ARIMA (0, 1, 2) for the mid-term notes, and ARIMA (0, 1, 1) for the long-term bonds. As </w:t>
      </w:r>
      <w:r w:rsidR="009160CF" w:rsidRPr="00B92BDF">
        <w:rPr>
          <w:rFonts w:ascii="Times New Roman" w:hAnsi="Times New Roman" w:cs="Times New Roman"/>
          <w:color w:val="000000" w:themeColor="text1"/>
          <w:sz w:val="24"/>
          <w:szCs w:val="24"/>
          <w:lang w:val="en-GB"/>
        </w:rPr>
        <w:t xml:space="preserve">it is </w:t>
      </w:r>
      <w:r w:rsidRPr="00B92BDF">
        <w:rPr>
          <w:rFonts w:ascii="Times New Roman" w:hAnsi="Times New Roman" w:cs="Times New Roman"/>
          <w:color w:val="000000" w:themeColor="text1"/>
          <w:sz w:val="24"/>
          <w:szCs w:val="24"/>
          <w:lang w:val="en-GB"/>
        </w:rPr>
        <w:t xml:space="preserve">known, the presence of AR components makes the model more predictable and more logical because </w:t>
      </w:r>
      <w:r w:rsidR="009160CF"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future value of a variable depends to </w:t>
      </w:r>
      <w:r w:rsidR="009160CF" w:rsidRPr="00B92BDF">
        <w:rPr>
          <w:rFonts w:ascii="Times New Roman" w:hAnsi="Times New Roman" w:cs="Times New Roman"/>
          <w:color w:val="000000" w:themeColor="text1"/>
          <w:sz w:val="24"/>
          <w:szCs w:val="24"/>
          <w:lang w:val="en-GB"/>
        </w:rPr>
        <w:t xml:space="preserve">a </w:t>
      </w:r>
      <w:r w:rsidRPr="00B92BDF">
        <w:rPr>
          <w:rFonts w:ascii="Times New Roman" w:hAnsi="Times New Roman" w:cs="Times New Roman"/>
          <w:color w:val="000000" w:themeColor="text1"/>
          <w:sz w:val="24"/>
          <w:szCs w:val="24"/>
          <w:lang w:val="en-GB"/>
        </w:rPr>
        <w:t xml:space="preserve">certain extent on the past values of this variable. If the model contains only MA components, then the future value of a variable </w:t>
      </w:r>
      <w:r w:rsidR="009160CF" w:rsidRPr="00B92BDF">
        <w:rPr>
          <w:rFonts w:ascii="Times New Roman" w:hAnsi="Times New Roman" w:cs="Times New Roman"/>
          <w:color w:val="000000" w:themeColor="text1"/>
          <w:sz w:val="24"/>
          <w:szCs w:val="24"/>
          <w:lang w:val="en-GB"/>
        </w:rPr>
        <w:t xml:space="preserve">is </w:t>
      </w:r>
      <w:r w:rsidRPr="00B92BDF">
        <w:rPr>
          <w:rFonts w:ascii="Times New Roman" w:hAnsi="Times New Roman" w:cs="Times New Roman"/>
          <w:color w:val="000000" w:themeColor="text1"/>
          <w:sz w:val="24"/>
          <w:szCs w:val="24"/>
          <w:lang w:val="en-GB"/>
        </w:rPr>
        <w:t>represe</w:t>
      </w:r>
      <w:r w:rsidR="009160CF" w:rsidRPr="00B92BDF">
        <w:rPr>
          <w:rFonts w:ascii="Times New Roman" w:hAnsi="Times New Roman" w:cs="Times New Roman"/>
          <w:color w:val="000000" w:themeColor="text1"/>
          <w:sz w:val="24"/>
          <w:szCs w:val="24"/>
          <w:lang w:val="en-GB"/>
        </w:rPr>
        <w:t>nted</w:t>
      </w:r>
      <w:r w:rsidRPr="00B92BDF">
        <w:rPr>
          <w:rFonts w:ascii="Times New Roman" w:hAnsi="Times New Roman" w:cs="Times New Roman"/>
          <w:color w:val="000000" w:themeColor="text1"/>
          <w:sz w:val="24"/>
          <w:szCs w:val="24"/>
          <w:lang w:val="en-GB"/>
        </w:rPr>
        <w:t xml:space="preserve"> by a linear combination of past error terms. From this point of view, the results are in line with the capital market theory because long-term financial assets subject more to the future uncertainty than short-term assets.</w:t>
      </w:r>
    </w:p>
    <w:p w:rsidR="00A76009" w:rsidRPr="00B92BDF" w:rsidRDefault="00A76009" w:rsidP="00EA5EAB">
      <w:pPr>
        <w:pStyle w:val="NormalWeb"/>
        <w:spacing w:before="0" w:beforeAutospacing="0" w:after="0" w:afterAutospacing="0"/>
        <w:ind w:firstLine="708"/>
        <w:jc w:val="both"/>
        <w:rPr>
          <w:color w:val="000000" w:themeColor="text1"/>
          <w:lang w:val="en-GB"/>
        </w:rPr>
      </w:pPr>
      <w:r w:rsidRPr="00B92BDF">
        <w:rPr>
          <w:color w:val="000000" w:themeColor="text1"/>
          <w:lang w:val="en-GB"/>
        </w:rPr>
        <w:t xml:space="preserve">To draw the line under this chapter, the empirical analysis was aimed to question </w:t>
      </w:r>
      <w:r w:rsidR="009160CF" w:rsidRPr="00B92BDF">
        <w:rPr>
          <w:color w:val="000000" w:themeColor="text1"/>
          <w:lang w:val="en-GB"/>
        </w:rPr>
        <w:t>a</w:t>
      </w:r>
      <w:r w:rsidRPr="00B92BDF">
        <w:rPr>
          <w:color w:val="000000" w:themeColor="text1"/>
          <w:lang w:val="en-GB"/>
        </w:rPr>
        <w:t xml:space="preserve"> number of hypotheses concerning the performance of EMU bonds. It was shown that, in general, the bond returns are not normally distributed. Indeed, the normality of the return distribution depends on the bon</w:t>
      </w:r>
      <w:r w:rsidR="009160CF" w:rsidRPr="00B92BDF">
        <w:rPr>
          <w:color w:val="000000" w:themeColor="text1"/>
          <w:lang w:val="en-GB"/>
        </w:rPr>
        <w:t>d maturity, economic situation i</w:t>
      </w:r>
      <w:r w:rsidRPr="00B92BDF">
        <w:rPr>
          <w:color w:val="000000" w:themeColor="text1"/>
          <w:lang w:val="en-GB"/>
        </w:rPr>
        <w:t xml:space="preserve">n the market, etc. Then, the relation between volatility and maturity of a bond appeared to be non-linear; it could be either positive or negative. The positive relation between them is observed for the subsample time period from 2012 to 2017 </w:t>
      </w:r>
      <w:r w:rsidR="009160CF" w:rsidRPr="00B92BDF">
        <w:rPr>
          <w:color w:val="000000" w:themeColor="text1"/>
          <w:lang w:val="en-GB"/>
        </w:rPr>
        <w:t>only. Furthermore, it was proven</w:t>
      </w:r>
      <w:r w:rsidRPr="00B92BDF">
        <w:rPr>
          <w:color w:val="000000" w:themeColor="text1"/>
          <w:lang w:val="en-GB"/>
        </w:rPr>
        <w:t xml:space="preserve"> that </w:t>
      </w:r>
      <w:r w:rsidR="009160CF" w:rsidRPr="00B92BDF">
        <w:rPr>
          <w:color w:val="000000" w:themeColor="text1"/>
          <w:lang w:val="en-GB"/>
        </w:rPr>
        <w:t xml:space="preserve">the </w:t>
      </w:r>
      <w:r w:rsidRPr="00B92BDF">
        <w:rPr>
          <w:color w:val="000000" w:themeColor="text1"/>
          <w:lang w:val="en-GB"/>
        </w:rPr>
        <w:t>Sharpe ratio is an appropriate measure to estimate and compare bond performance, but it is not consistent over time. The hypothesis about the</w:t>
      </w:r>
      <w:r w:rsidRPr="00B92BDF">
        <w:rPr>
          <w:rFonts w:eastAsia="CMR12"/>
          <w:color w:val="000000" w:themeColor="text1"/>
          <w:lang w:val="en-GB"/>
        </w:rPr>
        <w:t xml:space="preserve"> inverse relation between the Sharpe ratio and bond maturity is not supported by the evidence. Finally, it was discovered that during the analysed time period from 2005 to 2017 t</w:t>
      </w:r>
      <w:r w:rsidRPr="00B92BDF">
        <w:rPr>
          <w:color w:val="000000" w:themeColor="text1"/>
          <w:lang w:val="en-GB"/>
        </w:rPr>
        <w:t>he returns on EMU bonds of all maturity tend to decline over</w:t>
      </w:r>
      <w:r w:rsidR="006D4037" w:rsidRPr="00B92BDF">
        <w:rPr>
          <w:color w:val="000000" w:themeColor="text1"/>
          <w:lang w:val="en-GB"/>
        </w:rPr>
        <w:t xml:space="preserve"> time.</w:t>
      </w:r>
    </w:p>
    <w:p w:rsidR="00B24B6A" w:rsidRPr="00B92BDF" w:rsidRDefault="00B24B6A" w:rsidP="00EA5EAB">
      <w:pPr>
        <w:pStyle w:val="NormalWeb"/>
        <w:spacing w:before="0" w:beforeAutospacing="0" w:after="0" w:afterAutospacing="0"/>
        <w:jc w:val="center"/>
        <w:rPr>
          <w:color w:val="000000" w:themeColor="text1"/>
          <w:lang w:val="en-GB"/>
        </w:rPr>
      </w:pPr>
    </w:p>
    <w:p w:rsidR="00D3542A" w:rsidRPr="00B92BDF" w:rsidRDefault="009A3454" w:rsidP="00EA5EAB">
      <w:pPr>
        <w:autoSpaceDE w:val="0"/>
        <w:autoSpaceDN w:val="0"/>
        <w:adjustRightInd w:val="0"/>
        <w:spacing w:line="240" w:lineRule="auto"/>
        <w:rPr>
          <w:rFonts w:ascii="Times New Roman" w:hAnsi="Times New Roman" w:cs="Times New Roman"/>
          <w:b/>
          <w:color w:val="000000" w:themeColor="text1"/>
          <w:sz w:val="24"/>
          <w:szCs w:val="24"/>
          <w:lang w:val="en-GB"/>
        </w:rPr>
      </w:pPr>
      <w:r w:rsidRPr="00B92BDF">
        <w:rPr>
          <w:rFonts w:ascii="Times New Roman" w:hAnsi="Times New Roman" w:cs="Times New Roman"/>
          <w:b/>
          <w:color w:val="000000" w:themeColor="text1"/>
          <w:sz w:val="24"/>
          <w:szCs w:val="24"/>
          <w:lang w:val="en-GB"/>
        </w:rPr>
        <w:t xml:space="preserve">4. </w:t>
      </w:r>
      <w:r w:rsidR="00D3542A" w:rsidRPr="00B92BDF">
        <w:rPr>
          <w:rFonts w:ascii="Times New Roman" w:hAnsi="Times New Roman" w:cs="Times New Roman"/>
          <w:b/>
          <w:color w:val="000000" w:themeColor="text1"/>
          <w:sz w:val="24"/>
          <w:szCs w:val="24"/>
          <w:lang w:val="en-GB"/>
        </w:rPr>
        <w:t>Conclusion</w:t>
      </w:r>
    </w:p>
    <w:p w:rsidR="00D3542A" w:rsidRPr="00B92BDF" w:rsidRDefault="00D3542A" w:rsidP="00EA5EAB">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To sum up, the government bond market has been widely and deeply researched in the recent literature. Economists pay attention to the specific features of the bond market compared to other financial markets and analyse in great detail the determinants of bond yield and risk components. Nevertheless, the research in this direction is still of high importance taking into consideration </w:t>
      </w:r>
      <w:r w:rsidR="003C68C5"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last economic crises and other challenges that financial markets experience </w:t>
      </w:r>
      <w:r w:rsidR="003C68C5" w:rsidRPr="00B92BDF">
        <w:rPr>
          <w:rFonts w:ascii="Times New Roman" w:hAnsi="Times New Roman" w:cs="Times New Roman"/>
          <w:color w:val="000000" w:themeColor="text1"/>
          <w:sz w:val="24"/>
          <w:szCs w:val="24"/>
          <w:lang w:val="en-GB"/>
        </w:rPr>
        <w:t>today</w:t>
      </w:r>
      <w:r w:rsidRPr="00B92BDF">
        <w:rPr>
          <w:rFonts w:ascii="Times New Roman" w:hAnsi="Times New Roman" w:cs="Times New Roman"/>
          <w:color w:val="000000" w:themeColor="text1"/>
          <w:sz w:val="24"/>
          <w:szCs w:val="24"/>
          <w:lang w:val="en-GB"/>
        </w:rPr>
        <w:t>. New and interesting results can be obtained by analysing the last tendencies on the European government bond market.</w:t>
      </w:r>
    </w:p>
    <w:p w:rsidR="00D3542A" w:rsidRPr="00B92BDF" w:rsidRDefault="009E1ED4" w:rsidP="00B92BDF">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This research tested five hypotheses. </w:t>
      </w:r>
      <w:r w:rsidR="00D3542A" w:rsidRPr="00B92BDF">
        <w:rPr>
          <w:rFonts w:ascii="Times New Roman" w:hAnsi="Times New Roman" w:cs="Times New Roman"/>
          <w:color w:val="000000" w:themeColor="text1"/>
          <w:sz w:val="24"/>
          <w:szCs w:val="24"/>
          <w:lang w:val="en-GB"/>
        </w:rPr>
        <w:t xml:space="preserve">First, it was demonstrated that the EMU bond returns are not normally distributed over the </w:t>
      </w:r>
      <w:r w:rsidRPr="00B92BDF">
        <w:rPr>
          <w:rFonts w:ascii="Times New Roman" w:hAnsi="Times New Roman" w:cs="Times New Roman"/>
          <w:color w:val="000000" w:themeColor="text1"/>
          <w:sz w:val="24"/>
          <w:szCs w:val="24"/>
          <w:lang w:val="en-GB"/>
        </w:rPr>
        <w:t>completely</w:t>
      </w:r>
      <w:r w:rsidR="00D3542A" w:rsidRPr="00B92BDF">
        <w:rPr>
          <w:rFonts w:ascii="Times New Roman" w:hAnsi="Times New Roman" w:cs="Times New Roman"/>
          <w:color w:val="000000" w:themeColor="text1"/>
          <w:sz w:val="24"/>
          <w:szCs w:val="24"/>
          <w:lang w:val="en-GB"/>
        </w:rPr>
        <w:t xml:space="preserve"> analysed period from 2005 to 2017</w:t>
      </w:r>
      <w:r w:rsidRPr="00B92BDF">
        <w:rPr>
          <w:rFonts w:ascii="Times New Roman" w:hAnsi="Times New Roman" w:cs="Times New Roman"/>
          <w:color w:val="000000" w:themeColor="text1"/>
          <w:sz w:val="24"/>
          <w:szCs w:val="24"/>
          <w:lang w:val="en-GB"/>
        </w:rPr>
        <w:t>. Such results generate situation that</w:t>
      </w:r>
      <w:r w:rsidRPr="00B92BDF">
        <w:rPr>
          <w:rStyle w:val="comment-copy"/>
          <w:rFonts w:ascii="Times New Roman" w:hAnsi="Times New Roman" w:cs="Times New Roman"/>
          <w:color w:val="000000" w:themeColor="text1"/>
          <w:sz w:val="24"/>
          <w:szCs w:val="24"/>
          <w:lang w:val="en-GB"/>
        </w:rPr>
        <w:t xml:space="preserve"> </w:t>
      </w:r>
      <w:r w:rsidR="00D3542A" w:rsidRPr="00B92BDF">
        <w:rPr>
          <w:rStyle w:val="comment-copy"/>
          <w:rFonts w:ascii="Times New Roman" w:hAnsi="Times New Roman" w:cs="Times New Roman"/>
          <w:color w:val="000000" w:themeColor="text1"/>
          <w:sz w:val="24"/>
          <w:szCs w:val="24"/>
          <w:lang w:val="en-GB"/>
        </w:rPr>
        <w:t xml:space="preserve">returns are affected by the large number of events within such a long time and, therefore, exhibit considerable fluctuations. However, yields on all bonds follow the normal distribution at 5% significance level for the subsample 2005–2007. Thus, it is possible to conclude that </w:t>
      </w:r>
      <w:r w:rsidR="006D4037" w:rsidRPr="00B92BDF">
        <w:rPr>
          <w:rStyle w:val="comment-copy"/>
          <w:rFonts w:ascii="Times New Roman" w:hAnsi="Times New Roman" w:cs="Times New Roman"/>
          <w:color w:val="000000" w:themeColor="text1"/>
          <w:sz w:val="24"/>
          <w:szCs w:val="24"/>
          <w:lang w:val="en-GB"/>
        </w:rPr>
        <w:t xml:space="preserve">the </w:t>
      </w:r>
      <w:r w:rsidR="00D3542A" w:rsidRPr="00B92BDF">
        <w:rPr>
          <w:rStyle w:val="comment-copy"/>
          <w:rFonts w:ascii="Times New Roman" w:hAnsi="Times New Roman" w:cs="Times New Roman"/>
          <w:color w:val="000000" w:themeColor="text1"/>
          <w:sz w:val="24"/>
          <w:szCs w:val="24"/>
          <w:lang w:val="en-GB"/>
        </w:rPr>
        <w:t xml:space="preserve">form </w:t>
      </w:r>
      <w:r w:rsidR="00D3542A" w:rsidRPr="00B92BDF">
        <w:rPr>
          <w:rFonts w:ascii="Times New Roman" w:hAnsi="Times New Roman" w:cs="Times New Roman"/>
          <w:color w:val="000000" w:themeColor="text1"/>
          <w:sz w:val="24"/>
          <w:szCs w:val="24"/>
          <w:lang w:val="en-GB"/>
        </w:rPr>
        <w:t xml:space="preserve">of the return distribution depends on the </w:t>
      </w:r>
      <w:r w:rsidR="006D4037" w:rsidRPr="00B92BDF">
        <w:rPr>
          <w:rFonts w:ascii="Times New Roman" w:hAnsi="Times New Roman" w:cs="Times New Roman"/>
          <w:color w:val="000000" w:themeColor="text1"/>
          <w:sz w:val="24"/>
          <w:szCs w:val="24"/>
          <w:lang w:val="en-GB"/>
        </w:rPr>
        <w:t xml:space="preserve">business cycles and the </w:t>
      </w:r>
      <w:r w:rsidR="003C68C5" w:rsidRPr="00B92BDF">
        <w:rPr>
          <w:rFonts w:ascii="Times New Roman" w:hAnsi="Times New Roman" w:cs="Times New Roman"/>
          <w:color w:val="000000" w:themeColor="text1"/>
          <w:sz w:val="24"/>
          <w:szCs w:val="24"/>
          <w:lang w:val="en-GB"/>
        </w:rPr>
        <w:t>economic situation i</w:t>
      </w:r>
      <w:r w:rsidR="00D3542A" w:rsidRPr="00B92BDF">
        <w:rPr>
          <w:rFonts w:ascii="Times New Roman" w:hAnsi="Times New Roman" w:cs="Times New Roman"/>
          <w:color w:val="000000" w:themeColor="text1"/>
          <w:sz w:val="24"/>
          <w:szCs w:val="24"/>
          <w:lang w:val="en-GB"/>
        </w:rPr>
        <w:t>n the market.</w:t>
      </w:r>
    </w:p>
    <w:p w:rsidR="00D3542A" w:rsidRPr="00B92BDF" w:rsidRDefault="00D3542A" w:rsidP="00EA5EAB">
      <w:pPr>
        <w:spacing w:after="0" w:line="240" w:lineRule="auto"/>
        <w:ind w:firstLine="709"/>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Second, it was shown that the Sharpe ratio is an appropriate measure to estimate bond performance, </w:t>
      </w:r>
      <w:r w:rsidR="003C68C5" w:rsidRPr="00B92BDF">
        <w:rPr>
          <w:rFonts w:ascii="Times New Roman" w:hAnsi="Times New Roman" w:cs="Times New Roman"/>
          <w:color w:val="000000" w:themeColor="text1"/>
          <w:sz w:val="24"/>
          <w:szCs w:val="24"/>
          <w:lang w:val="en-GB"/>
        </w:rPr>
        <w:t>and compare and rank</w:t>
      </w:r>
      <w:r w:rsidRPr="00B92BDF">
        <w:rPr>
          <w:rFonts w:ascii="Times New Roman" w:hAnsi="Times New Roman" w:cs="Times New Roman"/>
          <w:color w:val="000000" w:themeColor="text1"/>
          <w:sz w:val="24"/>
          <w:szCs w:val="24"/>
          <w:lang w:val="en-GB"/>
        </w:rPr>
        <w:t xml:space="preserve"> the financial assets according to the risk-return trade-off. Furthermore, the Sharpe ratios are normally not consistent over time. The hypothesis about the</w:t>
      </w:r>
      <w:r w:rsidRPr="00B92BDF">
        <w:rPr>
          <w:rFonts w:ascii="Times New Roman" w:eastAsia="CMR12" w:hAnsi="Times New Roman" w:cs="Times New Roman"/>
          <w:color w:val="000000" w:themeColor="text1"/>
          <w:sz w:val="24"/>
          <w:szCs w:val="24"/>
          <w:lang w:val="en-GB"/>
        </w:rPr>
        <w:t xml:space="preserve"> inverse relation between the Sharpe ratio and bond maturity is not supported by the evidence that contradicts the recent empirical studies</w:t>
      </w:r>
      <w:r w:rsidR="00851D87" w:rsidRPr="00B92BDF">
        <w:rPr>
          <w:rFonts w:ascii="Times New Roman" w:eastAsia="CMR12" w:hAnsi="Times New Roman" w:cs="Times New Roman"/>
          <w:color w:val="000000" w:themeColor="text1"/>
          <w:sz w:val="24"/>
          <w:szCs w:val="24"/>
          <w:lang w:val="en-GB"/>
        </w:rPr>
        <w:t xml:space="preserve"> </w:t>
      </w:r>
      <w:r w:rsidR="00EB2A73" w:rsidRPr="00B92BDF">
        <w:rPr>
          <w:rFonts w:ascii="Times New Roman" w:eastAsia="CMR12" w:hAnsi="Times New Roman" w:cs="Times New Roman"/>
          <w:color w:val="000000" w:themeColor="text1"/>
          <w:sz w:val="24"/>
          <w:szCs w:val="24"/>
          <w:lang w:val="en-GB"/>
        </w:rPr>
        <w:t>(</w:t>
      </w:r>
      <w:proofErr w:type="spellStart"/>
      <w:r w:rsidR="00EB2A73" w:rsidRPr="00B92BDF">
        <w:rPr>
          <w:rFonts w:ascii="Times New Roman" w:eastAsia="CMR12" w:hAnsi="Times New Roman" w:cs="Times New Roman"/>
          <w:color w:val="000000" w:themeColor="text1"/>
          <w:sz w:val="24"/>
          <w:szCs w:val="24"/>
          <w:lang w:val="en-GB"/>
        </w:rPr>
        <w:t>Bodie</w:t>
      </w:r>
      <w:proofErr w:type="spellEnd"/>
      <w:r w:rsidR="00EB2A73" w:rsidRPr="00B92BDF">
        <w:rPr>
          <w:rFonts w:ascii="Times New Roman" w:eastAsia="CMR12" w:hAnsi="Times New Roman" w:cs="Times New Roman"/>
          <w:color w:val="000000" w:themeColor="text1"/>
          <w:sz w:val="24"/>
          <w:szCs w:val="24"/>
          <w:lang w:val="en-GB"/>
        </w:rPr>
        <w:t xml:space="preserve"> </w:t>
      </w:r>
      <w:r w:rsidR="00EB2A73" w:rsidRPr="00B92BDF">
        <w:rPr>
          <w:rFonts w:ascii="Times New Roman" w:eastAsia="CMR12" w:hAnsi="Times New Roman" w:cs="Times New Roman"/>
          <w:i/>
          <w:color w:val="000000" w:themeColor="text1"/>
          <w:sz w:val="24"/>
          <w:szCs w:val="24"/>
          <w:lang w:val="en-GB"/>
        </w:rPr>
        <w:t>et al</w:t>
      </w:r>
      <w:r w:rsidR="00EB2A73" w:rsidRPr="00B92BDF">
        <w:rPr>
          <w:rFonts w:ascii="Times New Roman" w:eastAsia="CMR12" w:hAnsi="Times New Roman" w:cs="Times New Roman"/>
          <w:color w:val="000000" w:themeColor="text1"/>
          <w:sz w:val="24"/>
          <w:szCs w:val="24"/>
          <w:lang w:val="en-GB"/>
        </w:rPr>
        <w:t>., 2013)</w:t>
      </w:r>
    </w:p>
    <w:p w:rsidR="00D3542A" w:rsidRPr="00B92BDF" w:rsidRDefault="00D3542A" w:rsidP="00EA5EAB">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Third, positive relation between bond volatility and bond maturity is observed for the subsample from 2012 to 2017 only. In 2005–2011 the relation between volatility and maturity of a bond appeared to be negative</w:t>
      </w:r>
      <w:r w:rsidR="003C68C5" w:rsidRPr="00B92BDF">
        <w:rPr>
          <w:rFonts w:ascii="Times New Roman" w:hAnsi="Times New Roman" w:cs="Times New Roman"/>
          <w:color w:val="000000" w:themeColor="text1"/>
          <w:sz w:val="24"/>
          <w:szCs w:val="24"/>
          <w:lang w:val="en-GB"/>
        </w:rPr>
        <w:t xml:space="preserve">. That </w:t>
      </w:r>
      <w:r w:rsidRPr="00B92BDF">
        <w:rPr>
          <w:rFonts w:ascii="Times New Roman" w:hAnsi="Times New Roman" w:cs="Times New Roman"/>
          <w:color w:val="000000" w:themeColor="text1"/>
          <w:sz w:val="24"/>
          <w:szCs w:val="24"/>
          <w:lang w:val="en-GB"/>
        </w:rPr>
        <w:t xml:space="preserve">is to a certain extent counterintuitive and disagrees </w:t>
      </w:r>
      <w:r w:rsidRPr="00B92BDF">
        <w:rPr>
          <w:rFonts w:ascii="Times New Roman" w:hAnsi="Times New Roman" w:cs="Times New Roman"/>
          <w:color w:val="000000" w:themeColor="text1"/>
          <w:sz w:val="24"/>
          <w:szCs w:val="24"/>
          <w:lang w:val="en-GB"/>
        </w:rPr>
        <w:lastRenderedPageBreak/>
        <w:t xml:space="preserve">with the capital market theory. A risk </w:t>
      </w:r>
      <w:proofErr w:type="gramStart"/>
      <w:r w:rsidRPr="00B92BDF">
        <w:rPr>
          <w:rFonts w:ascii="Times New Roman" w:hAnsi="Times New Roman" w:cs="Times New Roman"/>
          <w:color w:val="000000" w:themeColor="text1"/>
          <w:sz w:val="24"/>
          <w:szCs w:val="24"/>
          <w:lang w:val="en-GB"/>
        </w:rPr>
        <w:t>averse</w:t>
      </w:r>
      <w:proofErr w:type="gramEnd"/>
      <w:r w:rsidRPr="00B92BDF">
        <w:rPr>
          <w:rFonts w:ascii="Times New Roman" w:hAnsi="Times New Roman" w:cs="Times New Roman"/>
          <w:color w:val="000000" w:themeColor="text1"/>
          <w:sz w:val="24"/>
          <w:szCs w:val="24"/>
          <w:lang w:val="en-GB"/>
        </w:rPr>
        <w:t xml:space="preserve"> investor may use such an opportunity to obtain higher return</w:t>
      </w:r>
      <w:r w:rsidR="003C68C5"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 xml:space="preserve"> for </w:t>
      </w:r>
      <w:r w:rsidR="003C68C5" w:rsidRPr="00B92BDF">
        <w:rPr>
          <w:rFonts w:ascii="Times New Roman" w:hAnsi="Times New Roman" w:cs="Times New Roman"/>
          <w:color w:val="000000" w:themeColor="text1"/>
          <w:sz w:val="24"/>
          <w:szCs w:val="24"/>
          <w:lang w:val="en-GB"/>
        </w:rPr>
        <w:t>a</w:t>
      </w:r>
      <w:r w:rsidRPr="00B92BDF">
        <w:rPr>
          <w:rFonts w:ascii="Times New Roman" w:hAnsi="Times New Roman" w:cs="Times New Roman"/>
          <w:color w:val="000000" w:themeColor="text1"/>
          <w:sz w:val="24"/>
          <w:szCs w:val="24"/>
          <w:lang w:val="en-GB"/>
        </w:rPr>
        <w:t xml:space="preserve"> lower level of risk. </w:t>
      </w:r>
    </w:p>
    <w:p w:rsidR="00D3542A" w:rsidRPr="00B92BDF" w:rsidRDefault="00D3542A" w:rsidP="00EA5EAB">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eastAsia="CMR12" w:hAnsi="Times New Roman" w:cs="Times New Roman"/>
          <w:color w:val="000000" w:themeColor="text1"/>
          <w:sz w:val="24"/>
          <w:szCs w:val="24"/>
          <w:lang w:val="en-GB"/>
        </w:rPr>
        <w:t>Finally, with the help of time-series analysis it was shown that t</w:t>
      </w:r>
      <w:r w:rsidRPr="00B92BDF">
        <w:rPr>
          <w:rFonts w:ascii="Times New Roman" w:hAnsi="Times New Roman" w:cs="Times New Roman"/>
          <w:color w:val="000000" w:themeColor="text1"/>
          <w:sz w:val="24"/>
          <w:szCs w:val="24"/>
          <w:lang w:val="en-GB"/>
        </w:rPr>
        <w:t xml:space="preserve">he returns on the EMU bonds tend to decline over time. </w:t>
      </w:r>
      <w:r w:rsidRPr="00B92BDF">
        <w:rPr>
          <w:rFonts w:ascii="Times New Roman" w:hAnsi="Times New Roman" w:cs="Times New Roman"/>
          <w:color w:val="000000" w:themeColor="text1"/>
          <w:sz w:val="24"/>
          <w:lang w:val="en-GB"/>
        </w:rPr>
        <w:t xml:space="preserve">For the whole sample period from 2005 to 2017, the returns on </w:t>
      </w:r>
      <w:r w:rsidRPr="00B92BDF">
        <w:rPr>
          <w:rFonts w:ascii="Times New Roman" w:hAnsi="Times New Roman" w:cs="Times New Roman"/>
          <w:color w:val="000000" w:themeColor="text1"/>
          <w:sz w:val="24"/>
          <w:szCs w:val="24"/>
          <w:lang w:val="en-GB"/>
        </w:rPr>
        <w:t>short-, mid- and long-term</w:t>
      </w:r>
      <w:r w:rsidRPr="00B92BDF">
        <w:rPr>
          <w:rFonts w:ascii="Times New Roman" w:hAnsi="Times New Roman" w:cs="Times New Roman"/>
          <w:color w:val="000000" w:themeColor="text1"/>
          <w:sz w:val="24"/>
          <w:lang w:val="en-GB"/>
        </w:rPr>
        <w:t xml:space="preserve"> bonds decrease monthly </w:t>
      </w:r>
      <w:r w:rsidR="003C68C5" w:rsidRPr="00B92BDF">
        <w:rPr>
          <w:rFonts w:ascii="Times New Roman" w:hAnsi="Times New Roman" w:cs="Times New Roman"/>
          <w:color w:val="000000" w:themeColor="text1"/>
          <w:sz w:val="24"/>
          <w:lang w:val="en-GB"/>
        </w:rPr>
        <w:t>o</w:t>
      </w:r>
      <w:r w:rsidRPr="00B92BDF">
        <w:rPr>
          <w:rFonts w:ascii="Times New Roman" w:hAnsi="Times New Roman" w:cs="Times New Roman"/>
          <w:color w:val="000000" w:themeColor="text1"/>
          <w:sz w:val="24"/>
          <w:lang w:val="en-GB"/>
        </w:rPr>
        <w:t xml:space="preserve">n average by 0.027%, 0.026% and 0.019% respectively. In addition, short-term bonds are more sensitive to business cycles and subject to more significant fluctuations than bonds with longer maturities. From the estimation of ARIMA models, it can be concluded that </w:t>
      </w:r>
      <w:r w:rsidRPr="00B92BDF">
        <w:rPr>
          <w:rFonts w:ascii="Times New Roman" w:hAnsi="Times New Roman" w:cs="Times New Roman"/>
          <w:color w:val="000000" w:themeColor="text1"/>
          <w:sz w:val="24"/>
          <w:szCs w:val="24"/>
          <w:lang w:val="en-GB"/>
        </w:rPr>
        <w:t>the best models describing stochastic processes in bond returns are ARIMA (1, 1, 1), ARIMA (0, 1, 1) or ARIMA (0, 1, 2) and ARIMA (0, 1, 1) for the short-, mid- and long-term</w:t>
      </w:r>
      <w:r w:rsidRPr="00B92BDF">
        <w:rPr>
          <w:rFonts w:ascii="Times New Roman" w:hAnsi="Times New Roman" w:cs="Times New Roman"/>
          <w:color w:val="000000" w:themeColor="text1"/>
          <w:sz w:val="24"/>
          <w:lang w:val="en-GB"/>
        </w:rPr>
        <w:t xml:space="preserve"> bonds respectively</w:t>
      </w:r>
      <w:r w:rsidRPr="00B92BDF">
        <w:rPr>
          <w:rFonts w:ascii="Times New Roman" w:hAnsi="Times New Roman" w:cs="Times New Roman"/>
          <w:color w:val="000000" w:themeColor="text1"/>
          <w:sz w:val="24"/>
          <w:szCs w:val="24"/>
          <w:lang w:val="en-GB"/>
        </w:rPr>
        <w:t xml:space="preserve">. The absence of AR components in a model makes it less predictable, so the results are in line with the capital market theory because long-term financial assets </w:t>
      </w:r>
      <w:r w:rsidR="003C68C5" w:rsidRPr="00B92BDF">
        <w:rPr>
          <w:rFonts w:ascii="Times New Roman" w:hAnsi="Times New Roman" w:cs="Times New Roman"/>
          <w:color w:val="000000" w:themeColor="text1"/>
          <w:sz w:val="24"/>
          <w:szCs w:val="24"/>
          <w:lang w:val="en-GB"/>
        </w:rPr>
        <w:t xml:space="preserve">are </w:t>
      </w:r>
      <w:r w:rsidRPr="00B92BDF">
        <w:rPr>
          <w:rFonts w:ascii="Times New Roman" w:hAnsi="Times New Roman" w:cs="Times New Roman"/>
          <w:color w:val="000000" w:themeColor="text1"/>
          <w:sz w:val="24"/>
          <w:szCs w:val="24"/>
          <w:lang w:val="en-GB"/>
        </w:rPr>
        <w:t xml:space="preserve">subject more </w:t>
      </w:r>
      <w:proofErr w:type="gramStart"/>
      <w:r w:rsidRPr="00B92BDF">
        <w:rPr>
          <w:rFonts w:ascii="Times New Roman" w:hAnsi="Times New Roman" w:cs="Times New Roman"/>
          <w:color w:val="000000" w:themeColor="text1"/>
          <w:sz w:val="24"/>
          <w:szCs w:val="24"/>
          <w:lang w:val="en-GB"/>
        </w:rPr>
        <w:t>to</w:t>
      </w:r>
      <w:proofErr w:type="gramEnd"/>
      <w:r w:rsidRPr="00B92BDF">
        <w:rPr>
          <w:rFonts w:ascii="Times New Roman" w:hAnsi="Times New Roman" w:cs="Times New Roman"/>
          <w:color w:val="000000" w:themeColor="text1"/>
          <w:sz w:val="24"/>
          <w:szCs w:val="24"/>
          <w:lang w:val="en-GB"/>
        </w:rPr>
        <w:t xml:space="preserve"> future uncertainty than short-term assets.</w:t>
      </w:r>
    </w:p>
    <w:p w:rsidR="00654F36" w:rsidRPr="00B92BDF" w:rsidRDefault="00D3542A" w:rsidP="00654F36">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In the future this research can be improved and extended into different directions. The estimated ARIMA models can be used to forecast the dynamics of the bond yields. The bond risks and returns can be also compared and analysed on the basis of other performance measures, value-at-risk approach, an</w:t>
      </w:r>
      <w:r w:rsidR="006D4037" w:rsidRPr="00B92BDF">
        <w:rPr>
          <w:rFonts w:ascii="Times New Roman" w:hAnsi="Times New Roman" w:cs="Times New Roman"/>
          <w:color w:val="000000" w:themeColor="text1"/>
          <w:sz w:val="24"/>
          <w:szCs w:val="24"/>
          <w:lang w:val="en-GB"/>
        </w:rPr>
        <w:t xml:space="preserve">d </w:t>
      </w:r>
      <w:r w:rsidR="003C68C5" w:rsidRPr="00B92BDF">
        <w:rPr>
          <w:rFonts w:ascii="Times New Roman" w:hAnsi="Times New Roman" w:cs="Times New Roman"/>
          <w:color w:val="000000" w:themeColor="text1"/>
          <w:sz w:val="24"/>
          <w:szCs w:val="24"/>
          <w:lang w:val="en-GB"/>
        </w:rPr>
        <w:t xml:space="preserve">the </w:t>
      </w:r>
      <w:r w:rsidR="006D4037" w:rsidRPr="00B92BDF">
        <w:rPr>
          <w:rFonts w:ascii="Times New Roman" w:hAnsi="Times New Roman" w:cs="Times New Roman"/>
          <w:color w:val="000000" w:themeColor="text1"/>
          <w:sz w:val="24"/>
          <w:szCs w:val="24"/>
          <w:lang w:val="en-GB"/>
        </w:rPr>
        <w:t>coefficient of risk aversion.</w:t>
      </w:r>
      <w:r w:rsidR="00654F36" w:rsidRPr="00B92BDF">
        <w:rPr>
          <w:rFonts w:ascii="Times New Roman" w:hAnsi="Times New Roman" w:cs="Times New Roman"/>
          <w:color w:val="000000" w:themeColor="text1"/>
          <w:sz w:val="24"/>
          <w:szCs w:val="24"/>
          <w:lang w:val="en-GB"/>
        </w:rPr>
        <w:t xml:space="preserve"> All maturity bonds show relatively stable volatility, between 1</w:t>
      </w:r>
      <w:proofErr w:type="gramStart"/>
      <w:r w:rsidR="00654F36" w:rsidRPr="00B92BDF">
        <w:rPr>
          <w:rFonts w:ascii="Times New Roman" w:hAnsi="Times New Roman" w:cs="Times New Roman"/>
          <w:color w:val="000000" w:themeColor="text1"/>
          <w:sz w:val="24"/>
          <w:szCs w:val="24"/>
          <w:lang w:val="en-GB"/>
        </w:rPr>
        <w:t>,2</w:t>
      </w:r>
      <w:proofErr w:type="gramEnd"/>
      <w:r w:rsidR="00654F36" w:rsidRPr="00B92BDF">
        <w:rPr>
          <w:rFonts w:ascii="Times New Roman" w:hAnsi="Times New Roman" w:cs="Times New Roman"/>
          <w:color w:val="000000" w:themeColor="text1"/>
          <w:sz w:val="24"/>
          <w:szCs w:val="24"/>
          <w:lang w:val="en-GB"/>
        </w:rPr>
        <w:t xml:space="preserve"> and 1,5% during last decade (Figure 1). Low bonds volatility is related to stability of ECB and almost excluded default risk on these bonds. In general, the global trend on EMU bond market will be almost unchanged. Short volatility changes are found only in the money market that is more susceptible to trading or these assets are more attractive to portfolio in situations of crisis. However, one cannot identify the trend of higher EMU bonds volatility in the future. The situation with returns is more interesting. Each crisis (financial and sovereign crises) has affected the growth of yields. Given that Italy in the beginning of 2019 has big budget problems and that Greece has not yet emerged from the fiscal crisis, there is a high probability that there will be one more (maybe smaller) sovereign crisis in EMU. Such a situation announces a rise in yields on debt instruments. </w:t>
      </w:r>
    </w:p>
    <w:p w:rsidR="00D3542A" w:rsidRPr="00B92BDF" w:rsidRDefault="00654F36" w:rsidP="00654F36">
      <w:pPr>
        <w:spacing w:after="0" w:line="240" w:lineRule="auto"/>
        <w:ind w:firstLine="708"/>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Certainly it is important to look at some theoretical situations associated with this research. Although in most cases the volatility declines with maturity and that we can find positive relationship between risks and return (</w:t>
      </w:r>
      <w:proofErr w:type="spellStart"/>
      <w:r w:rsidRPr="00B92BDF">
        <w:rPr>
          <w:rFonts w:ascii="Times New Roman" w:hAnsi="Times New Roman" w:cs="Times New Roman"/>
          <w:color w:val="000000" w:themeColor="text1"/>
          <w:sz w:val="24"/>
          <w:szCs w:val="24"/>
          <w:lang w:val="en-GB"/>
        </w:rPr>
        <w:t>Ilmanen</w:t>
      </w:r>
      <w:proofErr w:type="spellEnd"/>
      <w:r w:rsidRPr="00B92BDF">
        <w:rPr>
          <w:rFonts w:ascii="Times New Roman" w:hAnsi="Times New Roman" w:cs="Times New Roman"/>
          <w:color w:val="000000" w:themeColor="text1"/>
          <w:sz w:val="24"/>
          <w:szCs w:val="24"/>
          <w:lang w:val="en-GB"/>
        </w:rPr>
        <w:t xml:space="preserve">, 1995; </w:t>
      </w:r>
      <w:proofErr w:type="spellStart"/>
      <w:r w:rsidRPr="00B92BDF">
        <w:rPr>
          <w:rFonts w:ascii="Times New Roman" w:hAnsi="Times New Roman" w:cs="Times New Roman"/>
          <w:color w:val="000000" w:themeColor="text1"/>
          <w:sz w:val="24"/>
          <w:szCs w:val="24"/>
          <w:lang w:val="en-GB"/>
        </w:rPr>
        <w:t>Eling</w:t>
      </w:r>
      <w:proofErr w:type="spellEnd"/>
      <w:r w:rsidRPr="00B92BDF">
        <w:rPr>
          <w:rFonts w:ascii="Times New Roman" w:hAnsi="Times New Roman" w:cs="Times New Roman"/>
          <w:color w:val="000000" w:themeColor="text1"/>
          <w:sz w:val="24"/>
          <w:szCs w:val="24"/>
          <w:lang w:val="en-GB"/>
        </w:rPr>
        <w:t xml:space="preserve">, 2008). However, on some new instruments these rules do not apply. New financial instruments with the shorter term to maturity can offer bigger yields on the market in comparison with long-term bonds. This is not a matter of their higher </w:t>
      </w:r>
      <w:proofErr w:type="gramStart"/>
      <w:r w:rsidRPr="00B92BDF">
        <w:rPr>
          <w:rFonts w:ascii="Times New Roman" w:hAnsi="Times New Roman" w:cs="Times New Roman"/>
          <w:color w:val="000000" w:themeColor="text1"/>
          <w:sz w:val="24"/>
          <w:szCs w:val="24"/>
          <w:lang w:val="en-GB"/>
        </w:rPr>
        <w:t>risk,</w:t>
      </w:r>
      <w:proofErr w:type="gramEnd"/>
      <w:r w:rsidRPr="00B92BDF">
        <w:rPr>
          <w:rFonts w:ascii="Times New Roman" w:hAnsi="Times New Roman" w:cs="Times New Roman"/>
          <w:color w:val="000000" w:themeColor="text1"/>
          <w:sz w:val="24"/>
          <w:szCs w:val="24"/>
          <w:lang w:val="en-GB"/>
        </w:rPr>
        <w:t xml:space="preserve"> it’s a matter of their market attractiveness. We need to point out another interesting trend. We can see on figure 3 that only in the post-crisis period we have a growing trend of risk in relation to the growth of maturity, while the situation was reversed in the years before the crisis. The explanation is very rational if we compare this trend with the volatility of the instruments (Figure 1). In the same period, volatility on the money market was much higher than the volatility on the bond market, so we can conclude that this volatility has influenced the growth of their standard deviations. On the other hand, this is confirmed by the calculated Sharpe ratios. Short returns (higher volatility) and long term bonds offer the best semi-variance results - the asset performance. Such situation (non time-consistent Sharpe ratio) has already been explained earlier in the previous research of Lo (2002) and Hodges et al. (1997) with non-normal distributions </w:t>
      </w:r>
      <w:proofErr w:type="spellStart"/>
      <w:r w:rsidRPr="00B92BDF">
        <w:rPr>
          <w:rFonts w:ascii="Times New Roman" w:hAnsi="Times New Roman" w:cs="Times New Roman"/>
          <w:color w:val="000000" w:themeColor="text1"/>
          <w:sz w:val="24"/>
          <w:szCs w:val="24"/>
          <w:lang w:val="en-GB"/>
        </w:rPr>
        <w:t>Joro</w:t>
      </w:r>
      <w:proofErr w:type="spellEnd"/>
      <w:r w:rsidRPr="00B92BDF">
        <w:rPr>
          <w:rFonts w:ascii="Times New Roman" w:hAnsi="Times New Roman" w:cs="Times New Roman"/>
          <w:color w:val="000000" w:themeColor="text1"/>
          <w:sz w:val="24"/>
          <w:szCs w:val="24"/>
          <w:lang w:val="en-GB"/>
        </w:rPr>
        <w:t xml:space="preserve"> and Na (2006) and </w:t>
      </w:r>
      <w:proofErr w:type="spellStart"/>
      <w:r w:rsidRPr="00B92BDF">
        <w:rPr>
          <w:rFonts w:ascii="Times New Roman" w:hAnsi="Times New Roman" w:cs="Times New Roman"/>
          <w:color w:val="000000" w:themeColor="text1"/>
          <w:sz w:val="24"/>
          <w:szCs w:val="24"/>
          <w:lang w:val="en-GB"/>
        </w:rPr>
        <w:t>Farinelli</w:t>
      </w:r>
      <w:proofErr w:type="spellEnd"/>
      <w:r w:rsidRPr="00B92BDF">
        <w:rPr>
          <w:rFonts w:ascii="Times New Roman" w:hAnsi="Times New Roman" w:cs="Times New Roman"/>
          <w:color w:val="000000" w:themeColor="text1"/>
          <w:sz w:val="24"/>
          <w:szCs w:val="24"/>
          <w:lang w:val="en-GB"/>
        </w:rPr>
        <w:t xml:space="preserve"> et al. (2008). Lastly, these portfolios are close to the statement of </w:t>
      </w:r>
      <w:proofErr w:type="spellStart"/>
      <w:r w:rsidRPr="00B92BDF">
        <w:rPr>
          <w:rFonts w:ascii="Times New Roman" w:hAnsi="Times New Roman" w:cs="Times New Roman"/>
          <w:color w:val="000000" w:themeColor="text1"/>
          <w:sz w:val="24"/>
          <w:szCs w:val="24"/>
          <w:lang w:val="en-GB"/>
        </w:rPr>
        <w:t>Bodie</w:t>
      </w:r>
      <w:proofErr w:type="spellEnd"/>
      <w:r w:rsidRPr="00B92BDF">
        <w:rPr>
          <w:rFonts w:ascii="Times New Roman" w:hAnsi="Times New Roman" w:cs="Times New Roman"/>
          <w:color w:val="000000" w:themeColor="text1"/>
          <w:sz w:val="24"/>
          <w:szCs w:val="24"/>
          <w:lang w:val="en-GB"/>
        </w:rPr>
        <w:t xml:space="preserve"> et al. (2005) explanation that the Sharpe ratio is only suitable for investors who invest all their funds in just one asset </w:t>
      </w:r>
      <w:proofErr w:type="gramStart"/>
      <w:r w:rsidRPr="00B92BDF">
        <w:rPr>
          <w:rFonts w:ascii="Times New Roman" w:hAnsi="Times New Roman" w:cs="Times New Roman"/>
          <w:color w:val="000000" w:themeColor="text1"/>
          <w:sz w:val="24"/>
          <w:szCs w:val="24"/>
          <w:lang w:val="en-GB"/>
        </w:rPr>
        <w:t>because,</w:t>
      </w:r>
      <w:proofErr w:type="gramEnd"/>
      <w:r w:rsidRPr="00B92BDF">
        <w:rPr>
          <w:rFonts w:ascii="Times New Roman" w:hAnsi="Times New Roman" w:cs="Times New Roman"/>
          <w:color w:val="000000" w:themeColor="text1"/>
          <w:sz w:val="24"/>
          <w:szCs w:val="24"/>
          <w:lang w:val="en-GB"/>
        </w:rPr>
        <w:t xml:space="preserve"> the Sharpe ratio captures only total market risk. Since we can exclude the default risk on EMU market and term to maturity in researched portfolios, we conclude that yields and volatility were largely dependent on the attractiveness of debt instruments on EMU markets.</w:t>
      </w:r>
    </w:p>
    <w:p w:rsidR="007F5122" w:rsidRPr="00B92BDF" w:rsidRDefault="007F5122" w:rsidP="00EA5EAB">
      <w:pPr>
        <w:spacing w:line="240" w:lineRule="auto"/>
        <w:jc w:val="center"/>
        <w:rPr>
          <w:rFonts w:ascii="Times New Roman" w:hAnsi="Times New Roman" w:cs="Times New Roman"/>
          <w:color w:val="000000" w:themeColor="text1"/>
          <w:sz w:val="24"/>
          <w:szCs w:val="24"/>
          <w:lang w:val="en-GB"/>
        </w:rPr>
      </w:pPr>
    </w:p>
    <w:p w:rsidR="00A76009" w:rsidRPr="00B92BDF" w:rsidRDefault="00A76009" w:rsidP="00EA5EAB">
      <w:pPr>
        <w:spacing w:line="240" w:lineRule="auto"/>
        <w:jc w:val="center"/>
        <w:rPr>
          <w:rFonts w:ascii="Times New Roman" w:eastAsia="TimesNewRoman" w:hAnsi="Times New Roman" w:cs="Times New Roman"/>
          <w:b/>
          <w:color w:val="000000" w:themeColor="text1"/>
          <w:sz w:val="24"/>
          <w:szCs w:val="24"/>
          <w:lang w:val="es-ES_tradnl"/>
        </w:rPr>
      </w:pPr>
      <w:r w:rsidRPr="00B92BDF">
        <w:rPr>
          <w:rFonts w:ascii="Times New Roman" w:eastAsia="TimesNewRoman" w:hAnsi="Times New Roman" w:cs="Times New Roman"/>
          <w:b/>
          <w:color w:val="000000" w:themeColor="text1"/>
          <w:sz w:val="24"/>
          <w:szCs w:val="24"/>
          <w:lang w:val="es-ES_tradnl"/>
        </w:rPr>
        <w:lastRenderedPageBreak/>
        <w:t>References</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s-ES_tradnl" w:eastAsia="ru-RU"/>
        </w:rPr>
        <w:t xml:space="preserve">Amenc, N., El Bied, S., </w:t>
      </w:r>
      <w:proofErr w:type="spellStart"/>
      <w:r w:rsidR="00EA5EAB" w:rsidRPr="00B92BDF">
        <w:rPr>
          <w:rFonts w:ascii="Times New Roman" w:eastAsia="Times New Roman" w:hAnsi="Times New Roman" w:cs="Times New Roman"/>
          <w:color w:val="000000" w:themeColor="text1"/>
          <w:sz w:val="24"/>
          <w:szCs w:val="24"/>
          <w:lang w:val="es-ES_tradnl" w:eastAsia="ru-RU"/>
        </w:rPr>
        <w:t>Martellini</w:t>
      </w:r>
      <w:proofErr w:type="spellEnd"/>
      <w:r w:rsidR="00EA5EAB" w:rsidRPr="00B92BDF">
        <w:rPr>
          <w:rFonts w:ascii="Times New Roman" w:eastAsia="Times New Roman" w:hAnsi="Times New Roman" w:cs="Times New Roman"/>
          <w:color w:val="000000" w:themeColor="text1"/>
          <w:sz w:val="24"/>
          <w:szCs w:val="24"/>
          <w:lang w:val="es-ES_tradnl" w:eastAsia="ru-RU"/>
        </w:rPr>
        <w:t>, L., 2003</w:t>
      </w:r>
      <w:r w:rsidRPr="00B92BDF">
        <w:rPr>
          <w:rFonts w:ascii="Times New Roman" w:eastAsia="Times New Roman" w:hAnsi="Times New Roman" w:cs="Times New Roman"/>
          <w:color w:val="000000" w:themeColor="text1"/>
          <w:sz w:val="24"/>
          <w:szCs w:val="24"/>
          <w:lang w:val="es-ES_tradnl" w:eastAsia="ru-RU"/>
        </w:rPr>
        <w:t xml:space="preserve">. </w:t>
      </w:r>
      <w:r w:rsidRPr="00B92BDF">
        <w:rPr>
          <w:rFonts w:ascii="Times New Roman" w:eastAsia="Times New Roman" w:hAnsi="Times New Roman" w:cs="Times New Roman"/>
          <w:color w:val="000000" w:themeColor="text1"/>
          <w:sz w:val="24"/>
          <w:szCs w:val="24"/>
          <w:lang w:val="en-GB" w:eastAsia="ru-RU"/>
        </w:rPr>
        <w:t xml:space="preserve">Predictability in hedge fund returns. </w:t>
      </w:r>
      <w:r w:rsidR="00EA5EAB" w:rsidRPr="00B92BDF">
        <w:rPr>
          <w:rFonts w:ascii="Times New Roman" w:eastAsia="Times New Roman" w:hAnsi="Times New Roman" w:cs="Times New Roman"/>
          <w:iCs/>
          <w:color w:val="000000" w:themeColor="text1"/>
          <w:sz w:val="24"/>
          <w:szCs w:val="24"/>
          <w:lang w:val="en-GB" w:eastAsia="ru-RU"/>
        </w:rPr>
        <w:t xml:space="preserve">Financial </w:t>
      </w:r>
      <w:r w:rsidRPr="00B92BDF">
        <w:rPr>
          <w:rFonts w:ascii="Times New Roman" w:eastAsia="Times New Roman" w:hAnsi="Times New Roman" w:cs="Times New Roman"/>
          <w:iCs/>
          <w:color w:val="000000" w:themeColor="text1"/>
          <w:sz w:val="24"/>
          <w:szCs w:val="24"/>
          <w:lang w:val="en-GB" w:eastAsia="ru-RU"/>
        </w:rPr>
        <w:t>Analysts Journal</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59</w:t>
      </w:r>
      <w:r w:rsidRPr="00B92BDF">
        <w:rPr>
          <w:rFonts w:ascii="Times New Roman" w:eastAsia="Times New Roman" w:hAnsi="Times New Roman" w:cs="Times New Roman"/>
          <w:color w:val="000000" w:themeColor="text1"/>
          <w:sz w:val="24"/>
          <w:szCs w:val="24"/>
          <w:lang w:val="en-GB" w:eastAsia="ru-RU"/>
        </w:rPr>
        <w:t>(5), 32-46.</w:t>
      </w:r>
    </w:p>
    <w:p w:rsidR="00A76009" w:rsidRPr="00B92BDF" w:rsidRDefault="00EA5EAB"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Ang, J.</w:t>
      </w:r>
      <w:proofErr w:type="gramStart"/>
      <w:r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color w:val="000000" w:themeColor="text1"/>
          <w:sz w:val="24"/>
          <w:szCs w:val="24"/>
          <w:lang w:val="en-GB" w:eastAsia="ru-RU"/>
        </w:rPr>
        <w:t xml:space="preserve"> Chua</w:t>
      </w:r>
      <w:proofErr w:type="gramEnd"/>
      <w:r w:rsidR="00A76009" w:rsidRPr="00B92BDF">
        <w:rPr>
          <w:rFonts w:ascii="Times New Roman" w:eastAsia="Times New Roman" w:hAnsi="Times New Roman" w:cs="Times New Roman"/>
          <w:color w:val="000000" w:themeColor="text1"/>
          <w:sz w:val="24"/>
          <w:szCs w:val="24"/>
          <w:lang w:val="en-GB" w:eastAsia="ru-RU"/>
        </w:rPr>
        <w:t>, J.</w:t>
      </w:r>
      <w:r w:rsidRPr="00B92BDF">
        <w:rPr>
          <w:rFonts w:ascii="Times New Roman" w:eastAsia="Times New Roman" w:hAnsi="Times New Roman" w:cs="Times New Roman"/>
          <w:color w:val="000000" w:themeColor="text1"/>
          <w:sz w:val="24"/>
          <w:szCs w:val="24"/>
          <w:lang w:val="en-GB" w:eastAsia="ru-RU"/>
        </w:rPr>
        <w:t>,</w:t>
      </w:r>
      <w:r w:rsidR="00A76009"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1979</w:t>
      </w:r>
      <w:r w:rsidR="00A76009" w:rsidRPr="00B92BDF">
        <w:rPr>
          <w:rFonts w:ascii="Times New Roman" w:eastAsia="Times New Roman" w:hAnsi="Times New Roman" w:cs="Times New Roman"/>
          <w:color w:val="000000" w:themeColor="text1"/>
          <w:sz w:val="24"/>
          <w:szCs w:val="24"/>
          <w:lang w:val="en-GB" w:eastAsia="ru-RU"/>
        </w:rPr>
        <w:t xml:space="preserve">. </w:t>
      </w:r>
      <w:proofErr w:type="gramStart"/>
      <w:r w:rsidR="00A76009" w:rsidRPr="00B92BDF">
        <w:rPr>
          <w:rFonts w:ascii="Times New Roman" w:eastAsia="Times New Roman" w:hAnsi="Times New Roman" w:cs="Times New Roman"/>
          <w:color w:val="000000" w:themeColor="text1"/>
          <w:sz w:val="24"/>
          <w:szCs w:val="24"/>
          <w:lang w:val="en-GB" w:eastAsia="ru-RU"/>
        </w:rPr>
        <w:t>Composite measures for the evaluation of investment performance.</w:t>
      </w:r>
      <w:proofErr w:type="gramEnd"/>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Journal of Financial and Quantitative Analysis</w:t>
      </w:r>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14</w:t>
      </w:r>
      <w:r w:rsidR="00A76009" w:rsidRPr="00B92BDF">
        <w:rPr>
          <w:rFonts w:ascii="Times New Roman" w:eastAsia="Times New Roman" w:hAnsi="Times New Roman" w:cs="Times New Roman"/>
          <w:color w:val="000000" w:themeColor="text1"/>
          <w:sz w:val="24"/>
          <w:szCs w:val="24"/>
          <w:lang w:val="en-GB" w:eastAsia="ru-RU"/>
        </w:rPr>
        <w:t>(2), 361-384.</w:t>
      </w:r>
    </w:p>
    <w:p w:rsidR="00A76009" w:rsidRPr="00B92BDF" w:rsidRDefault="00A76009" w:rsidP="00EA5EAB">
      <w:pPr>
        <w:spacing w:after="0" w:line="240" w:lineRule="auto"/>
        <w:ind w:left="567" w:hanging="567"/>
        <w:jc w:val="both"/>
        <w:rPr>
          <w:color w:val="000000" w:themeColor="text1"/>
        </w:rPr>
      </w:pPr>
      <w:r w:rsidRPr="00B92BDF">
        <w:rPr>
          <w:rFonts w:ascii="Times New Roman" w:eastAsia="Times New Roman" w:hAnsi="Times New Roman" w:cs="Times New Roman"/>
          <w:color w:val="000000" w:themeColor="text1"/>
          <w:sz w:val="24"/>
          <w:szCs w:val="24"/>
          <w:lang w:val="en-GB" w:eastAsia="ru-RU"/>
        </w:rPr>
        <w:t>Auer, B.</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2015</w:t>
      </w:r>
      <w:r w:rsidRPr="00B92BDF">
        <w:rPr>
          <w:rFonts w:ascii="Times New Roman" w:eastAsia="Times New Roman" w:hAnsi="Times New Roman" w:cs="Times New Roman"/>
          <w:color w:val="000000" w:themeColor="text1"/>
          <w:sz w:val="24"/>
          <w:szCs w:val="24"/>
          <w:lang w:val="en-GB" w:eastAsia="ru-RU"/>
        </w:rPr>
        <w:t xml:space="preserve">. On the role of skewness, kurtosis, and the location and scale condition in a Sharpe ratio performance evaluation setting. </w:t>
      </w:r>
      <w:r w:rsidRPr="00B92BDF">
        <w:rPr>
          <w:rFonts w:ascii="Times New Roman" w:eastAsia="Times New Roman" w:hAnsi="Times New Roman" w:cs="Times New Roman"/>
          <w:iCs/>
          <w:color w:val="000000" w:themeColor="text1"/>
          <w:sz w:val="24"/>
          <w:szCs w:val="24"/>
          <w:lang w:eastAsia="ru-RU"/>
        </w:rPr>
        <w:t>International Journal of Theoretical and Applied</w:t>
      </w:r>
      <w:r w:rsidR="0034608E" w:rsidRPr="00B92BDF">
        <w:rPr>
          <w:rFonts w:ascii="Times New Roman" w:eastAsia="Times New Roman" w:hAnsi="Times New Roman" w:cs="Times New Roman"/>
          <w:iCs/>
          <w:color w:val="000000" w:themeColor="text1"/>
          <w:sz w:val="24"/>
          <w:szCs w:val="24"/>
          <w:lang w:eastAsia="ru-RU"/>
        </w:rPr>
        <w:t xml:space="preserve"> Finance, 18(6),</w:t>
      </w:r>
      <w:r w:rsidR="0034608E" w:rsidRPr="00B92BDF">
        <w:rPr>
          <w:color w:val="000000" w:themeColor="text1"/>
        </w:rPr>
        <w:t xml:space="preserve"> </w:t>
      </w:r>
      <w:r w:rsidR="0034608E" w:rsidRPr="00B92BDF">
        <w:rPr>
          <w:rFonts w:ascii="Times New Roman" w:eastAsia="Times New Roman" w:hAnsi="Times New Roman" w:cs="Times New Roman"/>
          <w:iCs/>
          <w:color w:val="000000" w:themeColor="text1"/>
          <w:sz w:val="24"/>
          <w:szCs w:val="24"/>
          <w:lang w:eastAsia="ru-RU"/>
        </w:rPr>
        <w:t>1550037:1-13.</w:t>
      </w:r>
    </w:p>
    <w:p w:rsidR="00A76009" w:rsidRPr="00B92BDF" w:rsidRDefault="007D01C2" w:rsidP="00EA5EAB">
      <w:pPr>
        <w:spacing w:after="0" w:line="240" w:lineRule="auto"/>
        <w:ind w:left="567" w:hanging="567"/>
        <w:jc w:val="both"/>
        <w:rPr>
          <w:rFonts w:ascii="Times New Roman" w:hAnsi="Times New Roman" w:cs="Times New Roman"/>
          <w:color w:val="000000" w:themeColor="text1"/>
          <w:sz w:val="24"/>
          <w:szCs w:val="24"/>
          <w:shd w:val="clear" w:color="auto" w:fill="FFFFFF"/>
        </w:rPr>
      </w:pPr>
      <w:proofErr w:type="spellStart"/>
      <w:r w:rsidRPr="00B92BDF">
        <w:rPr>
          <w:rFonts w:ascii="Times New Roman" w:eastAsia="Times New Roman" w:hAnsi="Times New Roman" w:cs="Times New Roman"/>
          <w:color w:val="000000" w:themeColor="text1"/>
          <w:sz w:val="24"/>
          <w:szCs w:val="24"/>
          <w:lang w:val="en-GB" w:eastAsia="ru-RU"/>
        </w:rPr>
        <w:t>Bacmann</w:t>
      </w:r>
      <w:proofErr w:type="spellEnd"/>
      <w:r w:rsidRPr="00B92BDF">
        <w:rPr>
          <w:rFonts w:ascii="Times New Roman" w:eastAsia="Times New Roman" w:hAnsi="Times New Roman" w:cs="Times New Roman"/>
          <w:color w:val="000000" w:themeColor="text1"/>
          <w:sz w:val="24"/>
          <w:szCs w:val="24"/>
          <w:lang w:val="en-GB" w:eastAsia="ru-RU"/>
        </w:rPr>
        <w:t xml:space="preserve">, J., </w:t>
      </w:r>
      <w:proofErr w:type="spellStart"/>
      <w:r w:rsidR="00A76009" w:rsidRPr="00B92BDF">
        <w:rPr>
          <w:rFonts w:ascii="Times New Roman" w:eastAsia="Times New Roman" w:hAnsi="Times New Roman" w:cs="Times New Roman"/>
          <w:color w:val="000000" w:themeColor="text1"/>
          <w:sz w:val="24"/>
          <w:szCs w:val="24"/>
          <w:lang w:val="en-GB" w:eastAsia="ru-RU"/>
        </w:rPr>
        <w:t>Pache</w:t>
      </w:r>
      <w:proofErr w:type="spellEnd"/>
      <w:r w:rsidR="00A76009" w:rsidRPr="00B92BDF">
        <w:rPr>
          <w:rFonts w:ascii="Times New Roman" w:eastAsia="Times New Roman" w:hAnsi="Times New Roman" w:cs="Times New Roman"/>
          <w:color w:val="000000" w:themeColor="text1"/>
          <w:sz w:val="24"/>
          <w:szCs w:val="24"/>
          <w:lang w:val="en-GB" w:eastAsia="ru-RU"/>
        </w:rPr>
        <w:t>, S.</w:t>
      </w:r>
      <w:r w:rsidR="00EA5EAB"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2003</w:t>
      </w:r>
      <w:r w:rsidR="00A76009" w:rsidRPr="00B92BDF">
        <w:rPr>
          <w:rFonts w:ascii="Times New Roman" w:eastAsia="Times New Roman" w:hAnsi="Times New Roman" w:cs="Times New Roman"/>
          <w:color w:val="000000" w:themeColor="text1"/>
          <w:sz w:val="24"/>
          <w:szCs w:val="24"/>
          <w:lang w:val="en-GB" w:eastAsia="ru-RU"/>
        </w:rPr>
        <w:t xml:space="preserve">. </w:t>
      </w:r>
      <w:proofErr w:type="gramStart"/>
      <w:r w:rsidR="00A76009" w:rsidRPr="00B92BDF">
        <w:rPr>
          <w:rFonts w:ascii="Times New Roman" w:eastAsia="Times New Roman" w:hAnsi="Times New Roman" w:cs="Times New Roman"/>
          <w:color w:val="000000" w:themeColor="text1"/>
          <w:sz w:val="24"/>
          <w:szCs w:val="24"/>
          <w:lang w:val="en-GB" w:eastAsia="ru-RU"/>
        </w:rPr>
        <w:t>Optimal hedge fund style allocation under higher moments.</w:t>
      </w:r>
      <w:proofErr w:type="gramEnd"/>
      <w:r w:rsidR="00A76009" w:rsidRPr="00B92BDF">
        <w:rPr>
          <w:rFonts w:ascii="Times New Roman" w:eastAsia="Times New Roman" w:hAnsi="Times New Roman" w:cs="Times New Roman"/>
          <w:color w:val="000000" w:themeColor="text1"/>
          <w:sz w:val="24"/>
          <w:szCs w:val="24"/>
          <w:lang w:val="en-GB" w:eastAsia="ru-RU"/>
        </w:rPr>
        <w:t xml:space="preserve"> </w:t>
      </w:r>
      <w:proofErr w:type="gramStart"/>
      <w:r w:rsidR="00A76009" w:rsidRPr="00B92BDF">
        <w:rPr>
          <w:rFonts w:ascii="Times New Roman" w:eastAsia="Times New Roman" w:hAnsi="Times New Roman" w:cs="Times New Roman"/>
          <w:iCs/>
          <w:color w:val="000000" w:themeColor="text1"/>
          <w:sz w:val="24"/>
          <w:szCs w:val="24"/>
          <w:lang w:val="en-GB" w:eastAsia="ru-RU"/>
        </w:rPr>
        <w:t>Intelligent Hedge Fund Investing</w:t>
      </w:r>
      <w:r w:rsidR="00A76009" w:rsidRPr="00B92BDF">
        <w:rPr>
          <w:rFonts w:ascii="Times New Roman" w:eastAsia="Times New Roman" w:hAnsi="Times New Roman" w:cs="Times New Roman"/>
          <w:color w:val="000000" w:themeColor="text1"/>
          <w:sz w:val="24"/>
          <w:szCs w:val="24"/>
          <w:lang w:val="en-GB" w:eastAsia="ru-RU"/>
        </w:rPr>
        <w:t>.</w:t>
      </w:r>
      <w:proofErr w:type="gramEnd"/>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Bacmann, J.,</w:t>
      </w:r>
      <w:r w:rsidR="007D01C2" w:rsidRPr="00B92BDF">
        <w:rPr>
          <w:rFonts w:ascii="Times New Roman" w:eastAsia="Times New Roman" w:hAnsi="Times New Roman" w:cs="Times New Roman"/>
          <w:color w:val="000000" w:themeColor="text1"/>
          <w:sz w:val="24"/>
          <w:szCs w:val="24"/>
          <w:lang w:val="en-GB" w:eastAsia="ru-RU"/>
        </w:rPr>
        <w:t xml:space="preserve"> </w:t>
      </w:r>
      <w:proofErr w:type="spellStart"/>
      <w:r w:rsidRPr="00B92BDF">
        <w:rPr>
          <w:rFonts w:ascii="Times New Roman" w:eastAsia="Times New Roman" w:hAnsi="Times New Roman" w:cs="Times New Roman"/>
          <w:color w:val="000000" w:themeColor="text1"/>
          <w:sz w:val="24"/>
          <w:szCs w:val="24"/>
          <w:lang w:val="en-GB" w:eastAsia="ru-RU"/>
        </w:rPr>
        <w:t>Scholz</w:t>
      </w:r>
      <w:proofErr w:type="spellEnd"/>
      <w:r w:rsidRPr="00B92BDF">
        <w:rPr>
          <w:rFonts w:ascii="Times New Roman" w:eastAsia="Times New Roman" w:hAnsi="Times New Roman" w:cs="Times New Roman"/>
          <w:color w:val="000000" w:themeColor="text1"/>
          <w:sz w:val="24"/>
          <w:szCs w:val="24"/>
          <w:lang w:val="en-GB" w:eastAsia="ru-RU"/>
        </w:rPr>
        <w:t>, S.</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2003</w:t>
      </w:r>
      <w:r w:rsidRPr="00B92BDF">
        <w:rPr>
          <w:rFonts w:ascii="Times New Roman" w:eastAsia="Times New Roman" w:hAnsi="Times New Roman" w:cs="Times New Roman"/>
          <w:color w:val="000000" w:themeColor="text1"/>
          <w:sz w:val="24"/>
          <w:szCs w:val="24"/>
          <w:lang w:val="en-GB" w:eastAsia="ru-RU"/>
        </w:rPr>
        <w:t xml:space="preserve">. Alternative performance measures for hedge funds. </w:t>
      </w:r>
      <w:r w:rsidRPr="00B92BDF">
        <w:rPr>
          <w:rFonts w:ascii="Times New Roman" w:eastAsia="Times New Roman" w:hAnsi="Times New Roman" w:cs="Times New Roman"/>
          <w:iCs/>
          <w:color w:val="000000" w:themeColor="text1"/>
          <w:sz w:val="24"/>
          <w:szCs w:val="24"/>
          <w:lang w:val="en-GB" w:eastAsia="ru-RU"/>
        </w:rPr>
        <w:t>AIMA Journal</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1</w:t>
      </w:r>
      <w:r w:rsidRPr="00B92BDF">
        <w:rPr>
          <w:rFonts w:ascii="Times New Roman" w:eastAsia="Times New Roman" w:hAnsi="Times New Roman" w:cs="Times New Roman"/>
          <w:color w:val="000000" w:themeColor="text1"/>
          <w:sz w:val="24"/>
          <w:szCs w:val="24"/>
          <w:lang w:val="en-GB" w:eastAsia="ru-RU"/>
        </w:rPr>
        <w:t>(1), 1-9.</w:t>
      </w:r>
    </w:p>
    <w:p w:rsidR="00A76009" w:rsidRPr="00B92BDF" w:rsidRDefault="00A76009" w:rsidP="00EA5EAB">
      <w:pPr>
        <w:spacing w:after="0" w:line="240" w:lineRule="auto"/>
        <w:ind w:left="567" w:hanging="567"/>
        <w:jc w:val="both"/>
        <w:rPr>
          <w:rFonts w:ascii="Times New Roman" w:hAnsi="Times New Roman" w:cs="Times New Roman"/>
          <w:color w:val="000000" w:themeColor="text1"/>
          <w:sz w:val="24"/>
          <w:szCs w:val="24"/>
          <w:lang w:val="en-GB"/>
        </w:rPr>
      </w:pPr>
      <w:proofErr w:type="spellStart"/>
      <w:r w:rsidRPr="00B92BDF">
        <w:rPr>
          <w:rFonts w:ascii="Times New Roman" w:hAnsi="Times New Roman" w:cs="Times New Roman"/>
          <w:color w:val="000000" w:themeColor="text1"/>
          <w:sz w:val="24"/>
          <w:szCs w:val="24"/>
          <w:lang w:val="en-GB"/>
        </w:rPr>
        <w:t>Bodie</w:t>
      </w:r>
      <w:proofErr w:type="spellEnd"/>
      <w:r w:rsidRPr="00B92BDF">
        <w:rPr>
          <w:rFonts w:ascii="Times New Roman" w:hAnsi="Times New Roman" w:cs="Times New Roman"/>
          <w:color w:val="000000" w:themeColor="text1"/>
          <w:sz w:val="24"/>
          <w:szCs w:val="24"/>
          <w:lang w:val="en-GB"/>
        </w:rPr>
        <w:t>, Z.</w:t>
      </w:r>
      <w:r w:rsidR="00EA5EAB" w:rsidRPr="00B92BDF">
        <w:rPr>
          <w:rFonts w:ascii="Times New Roman" w:hAnsi="Times New Roman" w:cs="Times New Roman"/>
          <w:color w:val="000000" w:themeColor="text1"/>
          <w:sz w:val="24"/>
          <w:szCs w:val="24"/>
          <w:lang w:val="en-GB"/>
        </w:rPr>
        <w:t>,</w:t>
      </w:r>
      <w:r w:rsidR="007D01C2" w:rsidRPr="00B92BDF">
        <w:rPr>
          <w:rFonts w:ascii="Times New Roman" w:hAnsi="Times New Roman" w:cs="Times New Roman"/>
          <w:color w:val="000000" w:themeColor="text1"/>
          <w:sz w:val="24"/>
          <w:szCs w:val="24"/>
          <w:lang w:val="en-GB"/>
        </w:rPr>
        <w:t xml:space="preserve"> 2013.</w:t>
      </w:r>
      <w:r w:rsidRPr="00B92BDF">
        <w:rPr>
          <w:rFonts w:ascii="Times New Roman" w:hAnsi="Times New Roman" w:cs="Times New Roman"/>
          <w:color w:val="000000" w:themeColor="text1"/>
          <w:sz w:val="24"/>
          <w:szCs w:val="24"/>
          <w:lang w:val="en-GB"/>
        </w:rPr>
        <w:t xml:space="preserve"> </w:t>
      </w:r>
      <w:proofErr w:type="gramStart"/>
      <w:r w:rsidRPr="00B92BDF">
        <w:rPr>
          <w:rFonts w:ascii="Times New Roman" w:hAnsi="Times New Roman" w:cs="Times New Roman"/>
          <w:color w:val="000000" w:themeColor="text1"/>
          <w:sz w:val="24"/>
          <w:szCs w:val="24"/>
          <w:lang w:val="en-GB"/>
        </w:rPr>
        <w:t xml:space="preserve">Managing </w:t>
      </w:r>
      <w:r w:rsidR="003C68C5" w:rsidRPr="00B92BDF">
        <w:rPr>
          <w:rFonts w:ascii="Times New Roman" w:hAnsi="Times New Roman" w:cs="Times New Roman"/>
          <w:color w:val="000000" w:themeColor="text1"/>
          <w:sz w:val="24"/>
          <w:szCs w:val="24"/>
          <w:lang w:val="en-GB"/>
        </w:rPr>
        <w:t>b</w:t>
      </w:r>
      <w:r w:rsidRPr="00B92BDF">
        <w:rPr>
          <w:rFonts w:ascii="Times New Roman" w:hAnsi="Times New Roman" w:cs="Times New Roman"/>
          <w:color w:val="000000" w:themeColor="text1"/>
          <w:sz w:val="24"/>
          <w:szCs w:val="24"/>
          <w:lang w:val="en-GB"/>
        </w:rPr>
        <w:t>ond portfolios.</w:t>
      </w:r>
      <w:proofErr w:type="gramEnd"/>
      <w:r w:rsidRPr="00B92BDF">
        <w:rPr>
          <w:rFonts w:ascii="Times New Roman" w:hAnsi="Times New Roman" w:cs="Times New Roman"/>
          <w:color w:val="000000" w:themeColor="text1"/>
          <w:sz w:val="24"/>
          <w:szCs w:val="24"/>
          <w:lang w:val="en-GB"/>
        </w:rPr>
        <w:t xml:space="preserve"> In: Bodie, Z., Kane, A. and Marcus, A.J. (eds.) Essentials of Investments (9</w:t>
      </w:r>
      <w:r w:rsidRPr="00B92BDF">
        <w:rPr>
          <w:rFonts w:ascii="Times New Roman" w:hAnsi="Times New Roman" w:cs="Times New Roman"/>
          <w:color w:val="000000" w:themeColor="text1"/>
          <w:sz w:val="24"/>
          <w:szCs w:val="24"/>
          <w:vertAlign w:val="superscript"/>
          <w:lang w:val="en-GB"/>
        </w:rPr>
        <w:t>th</w:t>
      </w:r>
      <w:r w:rsidRPr="00B92BDF">
        <w:rPr>
          <w:rFonts w:ascii="Times New Roman" w:hAnsi="Times New Roman" w:cs="Times New Roman"/>
          <w:color w:val="000000" w:themeColor="text1"/>
          <w:sz w:val="24"/>
          <w:szCs w:val="24"/>
          <w:lang w:val="en-GB"/>
        </w:rPr>
        <w:t xml:space="preserve"> </w:t>
      </w:r>
      <w:proofErr w:type="gramStart"/>
      <w:r w:rsidRPr="00B92BDF">
        <w:rPr>
          <w:rFonts w:ascii="Times New Roman" w:hAnsi="Times New Roman" w:cs="Times New Roman"/>
          <w:color w:val="000000" w:themeColor="text1"/>
          <w:sz w:val="24"/>
          <w:szCs w:val="24"/>
          <w:lang w:val="en-GB"/>
        </w:rPr>
        <w:t>ed</w:t>
      </w:r>
      <w:proofErr w:type="gramEnd"/>
      <w:r w:rsidRPr="00B92BDF">
        <w:rPr>
          <w:rFonts w:ascii="Times New Roman" w:hAnsi="Times New Roman" w:cs="Times New Roman"/>
          <w:color w:val="000000" w:themeColor="text1"/>
          <w:sz w:val="24"/>
          <w:szCs w:val="24"/>
          <w:lang w:val="en-GB"/>
        </w:rPr>
        <w:t>.). NY: McGraw-Hill/Irwin.</w:t>
      </w:r>
    </w:p>
    <w:p w:rsidR="00A76009" w:rsidRPr="00B92BDF" w:rsidRDefault="007D01C2"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gramStart"/>
      <w:r w:rsidRPr="00B92BDF">
        <w:rPr>
          <w:rFonts w:ascii="Times New Roman" w:eastAsia="Times New Roman" w:hAnsi="Times New Roman" w:cs="Times New Roman"/>
          <w:color w:val="000000" w:themeColor="text1"/>
          <w:sz w:val="24"/>
          <w:szCs w:val="24"/>
          <w:lang w:val="en-GB" w:eastAsia="ru-RU"/>
        </w:rPr>
        <w:t xml:space="preserve">Bodnar, T., </w:t>
      </w:r>
      <w:proofErr w:type="spellStart"/>
      <w:r w:rsidR="00A76009" w:rsidRPr="00B92BDF">
        <w:rPr>
          <w:rFonts w:ascii="Times New Roman" w:eastAsia="Times New Roman" w:hAnsi="Times New Roman" w:cs="Times New Roman"/>
          <w:color w:val="000000" w:themeColor="text1"/>
          <w:sz w:val="24"/>
          <w:szCs w:val="24"/>
          <w:lang w:val="en-GB" w:eastAsia="ru-RU"/>
        </w:rPr>
        <w:t>Zabolotskyy</w:t>
      </w:r>
      <w:proofErr w:type="spellEnd"/>
      <w:r w:rsidR="00A76009" w:rsidRPr="00B92BDF">
        <w:rPr>
          <w:rFonts w:ascii="Times New Roman" w:eastAsia="Times New Roman" w:hAnsi="Times New Roman" w:cs="Times New Roman"/>
          <w:color w:val="000000" w:themeColor="text1"/>
          <w:sz w:val="24"/>
          <w:szCs w:val="24"/>
          <w:lang w:val="en-GB" w:eastAsia="ru-RU"/>
        </w:rPr>
        <w:t>, T.</w:t>
      </w:r>
      <w:r w:rsidR="00EA5EAB"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2017</w:t>
      </w:r>
      <w:r w:rsidR="00A76009" w:rsidRPr="00B92BDF">
        <w:rPr>
          <w:rFonts w:ascii="Times New Roman" w:eastAsia="Times New Roman" w:hAnsi="Times New Roman" w:cs="Times New Roman"/>
          <w:color w:val="000000" w:themeColor="text1"/>
          <w:sz w:val="24"/>
          <w:szCs w:val="24"/>
          <w:lang w:val="en-GB" w:eastAsia="ru-RU"/>
        </w:rPr>
        <w:t>.</w:t>
      </w:r>
      <w:proofErr w:type="gramEnd"/>
      <w:r w:rsidR="00A76009" w:rsidRPr="00B92BDF">
        <w:rPr>
          <w:rFonts w:ascii="Times New Roman" w:eastAsia="Times New Roman" w:hAnsi="Times New Roman" w:cs="Times New Roman"/>
          <w:color w:val="000000" w:themeColor="text1"/>
          <w:sz w:val="24"/>
          <w:szCs w:val="24"/>
          <w:lang w:val="en-GB" w:eastAsia="ru-RU"/>
        </w:rPr>
        <w:t xml:space="preserve"> How risky is the optimal portfolio which maximizes the Sharpe ratio? </w:t>
      </w:r>
      <w:r w:rsidR="00A76009" w:rsidRPr="00B92BDF">
        <w:rPr>
          <w:rFonts w:ascii="Times New Roman" w:eastAsia="Times New Roman" w:hAnsi="Times New Roman" w:cs="Times New Roman"/>
          <w:iCs/>
          <w:color w:val="000000" w:themeColor="text1"/>
          <w:sz w:val="24"/>
          <w:szCs w:val="24"/>
          <w:lang w:val="en-GB" w:eastAsia="ru-RU"/>
        </w:rPr>
        <w:t>AStA Advances in Statistical Analysis</w:t>
      </w:r>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101</w:t>
      </w:r>
      <w:r w:rsidR="00A76009" w:rsidRPr="00B92BDF">
        <w:rPr>
          <w:rFonts w:ascii="Times New Roman" w:eastAsia="Times New Roman" w:hAnsi="Times New Roman" w:cs="Times New Roman"/>
          <w:color w:val="000000" w:themeColor="text1"/>
          <w:sz w:val="24"/>
          <w:szCs w:val="24"/>
          <w:lang w:val="en-GB" w:eastAsia="ru-RU"/>
        </w:rPr>
        <w:t>(1), 1-28.</w:t>
      </w:r>
    </w:p>
    <w:p w:rsidR="00A76009" w:rsidRPr="00B92BDF" w:rsidRDefault="00A76009" w:rsidP="00EA5EAB">
      <w:pPr>
        <w:shd w:val="clear" w:color="auto" w:fill="FFFFFF"/>
        <w:spacing w:after="0" w:line="240" w:lineRule="auto"/>
        <w:ind w:left="567" w:hanging="567"/>
        <w:jc w:val="both"/>
        <w:rPr>
          <w:rStyle w:val="HTMLCite"/>
          <w:rFonts w:ascii="Times New Roman" w:hAnsi="Times New Roman" w:cs="Times New Roman"/>
          <w:i w:val="0"/>
          <w:iCs w:val="0"/>
          <w:color w:val="000000" w:themeColor="text1"/>
          <w:sz w:val="24"/>
          <w:szCs w:val="24"/>
          <w:lang w:val="en-GB"/>
        </w:rPr>
      </w:pPr>
      <w:r w:rsidRPr="00B92BDF">
        <w:rPr>
          <w:rStyle w:val="HTMLCite"/>
          <w:rFonts w:ascii="Times New Roman" w:hAnsi="Times New Roman" w:cs="Times New Roman"/>
          <w:i w:val="0"/>
          <w:color w:val="000000" w:themeColor="text1"/>
          <w:sz w:val="24"/>
          <w:szCs w:val="24"/>
          <w:lang w:val="de-DE"/>
        </w:rPr>
        <w:t>Box, G., J</w:t>
      </w:r>
      <w:r w:rsidR="007D01C2" w:rsidRPr="00B92BDF">
        <w:rPr>
          <w:rStyle w:val="HTMLCite"/>
          <w:rFonts w:ascii="Times New Roman" w:hAnsi="Times New Roman" w:cs="Times New Roman"/>
          <w:i w:val="0"/>
          <w:color w:val="000000" w:themeColor="text1"/>
          <w:sz w:val="24"/>
          <w:szCs w:val="24"/>
          <w:lang w:val="de-DE"/>
        </w:rPr>
        <w:t>enkins, G.,</w:t>
      </w:r>
      <w:r w:rsidRPr="00B92BDF">
        <w:rPr>
          <w:rStyle w:val="HTMLCite"/>
          <w:rFonts w:ascii="Times New Roman" w:hAnsi="Times New Roman" w:cs="Times New Roman"/>
          <w:i w:val="0"/>
          <w:color w:val="000000" w:themeColor="text1"/>
          <w:sz w:val="24"/>
          <w:szCs w:val="24"/>
          <w:lang w:val="de-DE"/>
        </w:rPr>
        <w:t xml:space="preserve"> Reinsel, G.</w:t>
      </w:r>
      <w:r w:rsidR="00EA5EAB" w:rsidRPr="00B92BDF">
        <w:rPr>
          <w:rStyle w:val="HTMLCite"/>
          <w:rFonts w:ascii="Times New Roman" w:hAnsi="Times New Roman" w:cs="Times New Roman"/>
          <w:i w:val="0"/>
          <w:color w:val="000000" w:themeColor="text1"/>
          <w:sz w:val="24"/>
          <w:szCs w:val="24"/>
          <w:lang w:val="de-DE"/>
        </w:rPr>
        <w:t>,</w:t>
      </w:r>
      <w:r w:rsidR="007D01C2" w:rsidRPr="00B92BDF">
        <w:rPr>
          <w:rStyle w:val="HTMLCite"/>
          <w:rFonts w:ascii="Times New Roman" w:hAnsi="Times New Roman" w:cs="Times New Roman"/>
          <w:i w:val="0"/>
          <w:color w:val="000000" w:themeColor="text1"/>
          <w:sz w:val="24"/>
          <w:szCs w:val="24"/>
          <w:lang w:val="de-DE"/>
        </w:rPr>
        <w:t xml:space="preserve"> 2008</w:t>
      </w:r>
      <w:r w:rsidRPr="00B92BDF">
        <w:rPr>
          <w:rStyle w:val="HTMLCite"/>
          <w:rFonts w:ascii="Times New Roman" w:hAnsi="Times New Roman" w:cs="Times New Roman"/>
          <w:i w:val="0"/>
          <w:color w:val="000000" w:themeColor="text1"/>
          <w:sz w:val="24"/>
          <w:szCs w:val="24"/>
          <w:lang w:val="de-DE"/>
        </w:rPr>
        <w:t>. </w:t>
      </w:r>
      <w:r w:rsidRPr="00B92BDF">
        <w:rPr>
          <w:rStyle w:val="HTMLCite"/>
          <w:rFonts w:ascii="Times New Roman" w:hAnsi="Times New Roman" w:cs="Times New Roman"/>
          <w:i w:val="0"/>
          <w:color w:val="000000" w:themeColor="text1"/>
          <w:sz w:val="24"/>
          <w:szCs w:val="24"/>
        </w:rPr>
        <w:t>Time Series Analysis, Forecasting and Control (4</w:t>
      </w:r>
      <w:r w:rsidRPr="00B92BDF">
        <w:rPr>
          <w:rStyle w:val="HTMLCite"/>
          <w:rFonts w:ascii="Times New Roman" w:hAnsi="Times New Roman" w:cs="Times New Roman"/>
          <w:i w:val="0"/>
          <w:color w:val="000000" w:themeColor="text1"/>
          <w:sz w:val="24"/>
          <w:szCs w:val="24"/>
          <w:vertAlign w:val="superscript"/>
        </w:rPr>
        <w:t>th</w:t>
      </w:r>
      <w:r w:rsidRPr="00B92BDF">
        <w:rPr>
          <w:rStyle w:val="HTMLCite"/>
          <w:rFonts w:ascii="Times New Roman" w:hAnsi="Times New Roman" w:cs="Times New Roman"/>
          <w:i w:val="0"/>
          <w:color w:val="000000" w:themeColor="text1"/>
          <w:sz w:val="24"/>
          <w:szCs w:val="24"/>
        </w:rPr>
        <w:t xml:space="preserve"> </w:t>
      </w:r>
      <w:proofErr w:type="gramStart"/>
      <w:r w:rsidRPr="00B92BDF">
        <w:rPr>
          <w:rStyle w:val="HTMLCite"/>
          <w:rFonts w:ascii="Times New Roman" w:hAnsi="Times New Roman" w:cs="Times New Roman"/>
          <w:i w:val="0"/>
          <w:color w:val="000000" w:themeColor="text1"/>
          <w:sz w:val="24"/>
          <w:szCs w:val="24"/>
        </w:rPr>
        <w:t>ed</w:t>
      </w:r>
      <w:proofErr w:type="gramEnd"/>
      <w:r w:rsidRPr="00B92BDF">
        <w:rPr>
          <w:rStyle w:val="HTMLCite"/>
          <w:rFonts w:ascii="Times New Roman" w:hAnsi="Times New Roman" w:cs="Times New Roman"/>
          <w:i w:val="0"/>
          <w:color w:val="000000" w:themeColor="text1"/>
          <w:sz w:val="24"/>
          <w:szCs w:val="24"/>
        </w:rPr>
        <w:t xml:space="preserve">.). </w:t>
      </w:r>
      <w:r w:rsidRPr="00B92BDF">
        <w:rPr>
          <w:rStyle w:val="HTMLCite"/>
          <w:rFonts w:ascii="Times New Roman" w:hAnsi="Times New Roman" w:cs="Times New Roman"/>
          <w:i w:val="0"/>
          <w:color w:val="000000" w:themeColor="text1"/>
          <w:sz w:val="24"/>
          <w:szCs w:val="24"/>
          <w:lang w:val="en-GB"/>
        </w:rPr>
        <w:t>Hoboken, NJ: Wiley. </w:t>
      </w:r>
    </w:p>
    <w:p w:rsidR="00A76009" w:rsidRPr="00B92BDF" w:rsidRDefault="00A76009" w:rsidP="00EA5EAB">
      <w:pPr>
        <w:shd w:val="clear" w:color="auto" w:fill="FFFFFF"/>
        <w:spacing w:after="0" w:line="240" w:lineRule="auto"/>
        <w:ind w:left="567" w:hanging="567"/>
        <w:jc w:val="both"/>
        <w:rPr>
          <w:rFonts w:ascii="Times New Roman" w:hAnsi="Times New Roman" w:cs="Times New Roman"/>
          <w:color w:val="000000" w:themeColor="text1"/>
          <w:sz w:val="24"/>
          <w:szCs w:val="24"/>
        </w:rPr>
      </w:pPr>
      <w:proofErr w:type="spellStart"/>
      <w:r w:rsidRPr="00B92BDF">
        <w:rPr>
          <w:rFonts w:ascii="Times New Roman" w:hAnsi="Times New Roman" w:cs="Times New Roman"/>
          <w:color w:val="000000" w:themeColor="text1"/>
          <w:sz w:val="24"/>
          <w:szCs w:val="24"/>
          <w:shd w:val="clear" w:color="auto" w:fill="FFFFFF"/>
        </w:rPr>
        <w:t>Brockwell</w:t>
      </w:r>
      <w:proofErr w:type="spellEnd"/>
      <w:r w:rsidRPr="00B92BDF">
        <w:rPr>
          <w:rFonts w:ascii="Times New Roman" w:hAnsi="Times New Roman" w:cs="Times New Roman"/>
          <w:color w:val="000000" w:themeColor="text1"/>
          <w:sz w:val="24"/>
          <w:szCs w:val="24"/>
          <w:shd w:val="clear" w:color="auto" w:fill="FFFFFF"/>
        </w:rPr>
        <w:t>, P., Davis, R.</w:t>
      </w:r>
      <w:r w:rsidR="00EA5EAB" w:rsidRPr="00B92BDF">
        <w:rPr>
          <w:rFonts w:ascii="Times New Roman" w:hAnsi="Times New Roman" w:cs="Times New Roman"/>
          <w:color w:val="000000" w:themeColor="text1"/>
          <w:sz w:val="24"/>
          <w:szCs w:val="24"/>
          <w:shd w:val="clear" w:color="auto" w:fill="FFFFFF"/>
        </w:rPr>
        <w:t>,</w:t>
      </w:r>
      <w:r w:rsidR="007D01C2" w:rsidRPr="00B92BDF">
        <w:rPr>
          <w:rFonts w:ascii="Times New Roman" w:hAnsi="Times New Roman" w:cs="Times New Roman"/>
          <w:color w:val="000000" w:themeColor="text1"/>
          <w:sz w:val="24"/>
          <w:szCs w:val="24"/>
          <w:shd w:val="clear" w:color="auto" w:fill="FFFFFF"/>
        </w:rPr>
        <w:t xml:space="preserve"> 1996</w:t>
      </w:r>
      <w:r w:rsidRPr="00B92BDF">
        <w:rPr>
          <w:rFonts w:ascii="Times New Roman" w:hAnsi="Times New Roman" w:cs="Times New Roman"/>
          <w:color w:val="000000" w:themeColor="text1"/>
          <w:sz w:val="24"/>
          <w:szCs w:val="24"/>
          <w:shd w:val="clear" w:color="auto" w:fill="FFFFFF"/>
        </w:rPr>
        <w:t>. </w:t>
      </w:r>
      <w:proofErr w:type="gramStart"/>
      <w:r w:rsidRPr="00B92BDF">
        <w:rPr>
          <w:rStyle w:val="Emphasis"/>
          <w:rFonts w:ascii="Times New Roman" w:hAnsi="Times New Roman" w:cs="Times New Roman"/>
          <w:i w:val="0"/>
          <w:color w:val="000000" w:themeColor="text1"/>
          <w:sz w:val="24"/>
          <w:szCs w:val="24"/>
          <w:shd w:val="clear" w:color="auto" w:fill="FFFFFF"/>
        </w:rPr>
        <w:t>Introduction to Time Series and Forecasting</w:t>
      </w:r>
      <w:r w:rsidRPr="00B92BDF">
        <w:rPr>
          <w:rFonts w:ascii="Times New Roman" w:hAnsi="Times New Roman" w:cs="Times New Roman"/>
          <w:color w:val="000000" w:themeColor="text1"/>
          <w:sz w:val="24"/>
          <w:szCs w:val="24"/>
          <w:shd w:val="clear" w:color="auto" w:fill="FFFFFF"/>
        </w:rPr>
        <w:t>.</w:t>
      </w:r>
      <w:proofErr w:type="gramEnd"/>
      <w:r w:rsidRPr="00B92BDF">
        <w:rPr>
          <w:rFonts w:ascii="Times New Roman" w:hAnsi="Times New Roman" w:cs="Times New Roman"/>
          <w:color w:val="000000" w:themeColor="text1"/>
          <w:sz w:val="24"/>
          <w:szCs w:val="24"/>
          <w:shd w:val="clear" w:color="auto" w:fill="FFFFFF"/>
        </w:rPr>
        <w:t xml:space="preserve"> </w:t>
      </w:r>
      <w:r w:rsidRPr="00B92BDF">
        <w:rPr>
          <w:rStyle w:val="HTMLCite"/>
          <w:rFonts w:ascii="Times New Roman" w:hAnsi="Times New Roman" w:cs="Times New Roman"/>
          <w:i w:val="0"/>
          <w:color w:val="000000" w:themeColor="text1"/>
          <w:sz w:val="24"/>
          <w:szCs w:val="24"/>
          <w:lang w:val="en-GB"/>
        </w:rPr>
        <w:t>NY: Springer</w:t>
      </w:r>
      <w:r w:rsidRPr="00B92BDF">
        <w:rPr>
          <w:rFonts w:ascii="Times New Roman" w:hAnsi="Times New Roman" w:cs="Times New Roman"/>
          <w:color w:val="000000" w:themeColor="text1"/>
          <w:sz w:val="24"/>
          <w:szCs w:val="24"/>
          <w:shd w:val="clear" w:color="auto" w:fill="FFFFFF"/>
        </w:rPr>
        <w:t>.</w:t>
      </w:r>
    </w:p>
    <w:p w:rsidR="00A76009" w:rsidRPr="00B92BDF" w:rsidRDefault="007D01C2" w:rsidP="00EA5EAB">
      <w:pPr>
        <w:shd w:val="clear" w:color="auto" w:fill="FFFFFF"/>
        <w:spacing w:after="0" w:line="240" w:lineRule="auto"/>
        <w:ind w:left="567" w:hanging="567"/>
        <w:jc w:val="both"/>
        <w:rPr>
          <w:rStyle w:val="HTMLCite"/>
          <w:rFonts w:ascii="Times New Roman" w:hAnsi="Times New Roman" w:cs="Times New Roman"/>
          <w:i w:val="0"/>
          <w:iCs w:val="0"/>
          <w:color w:val="000000" w:themeColor="text1"/>
          <w:sz w:val="24"/>
          <w:szCs w:val="24"/>
          <w:lang w:val="en-GB"/>
        </w:rPr>
      </w:pPr>
      <w:proofErr w:type="spellStart"/>
      <w:r w:rsidRPr="00B92BDF">
        <w:rPr>
          <w:rStyle w:val="HTMLCite"/>
          <w:rFonts w:ascii="Times New Roman" w:hAnsi="Times New Roman" w:cs="Times New Roman"/>
          <w:i w:val="0"/>
          <w:color w:val="000000" w:themeColor="text1"/>
          <w:sz w:val="24"/>
          <w:szCs w:val="24"/>
        </w:rPr>
        <w:t>Brockwell</w:t>
      </w:r>
      <w:proofErr w:type="spellEnd"/>
      <w:r w:rsidRPr="00B92BDF">
        <w:rPr>
          <w:rStyle w:val="HTMLCite"/>
          <w:rFonts w:ascii="Times New Roman" w:hAnsi="Times New Roman" w:cs="Times New Roman"/>
          <w:i w:val="0"/>
          <w:color w:val="000000" w:themeColor="text1"/>
          <w:sz w:val="24"/>
          <w:szCs w:val="24"/>
        </w:rPr>
        <w:t>, P.,</w:t>
      </w:r>
      <w:r w:rsidR="00A76009" w:rsidRPr="00B92BDF">
        <w:rPr>
          <w:rStyle w:val="HTMLCite"/>
          <w:rFonts w:ascii="Times New Roman" w:hAnsi="Times New Roman" w:cs="Times New Roman"/>
          <w:i w:val="0"/>
          <w:color w:val="000000" w:themeColor="text1"/>
          <w:sz w:val="24"/>
          <w:szCs w:val="24"/>
        </w:rPr>
        <w:t xml:space="preserve"> Davis, R.</w:t>
      </w:r>
      <w:r w:rsidR="00EA5EAB" w:rsidRPr="00B92BDF">
        <w:rPr>
          <w:rStyle w:val="HTMLCite"/>
          <w:rFonts w:ascii="Times New Roman" w:hAnsi="Times New Roman" w:cs="Times New Roman"/>
          <w:i w:val="0"/>
          <w:color w:val="000000" w:themeColor="text1"/>
          <w:sz w:val="24"/>
          <w:szCs w:val="24"/>
        </w:rPr>
        <w:t>,</w:t>
      </w:r>
      <w:r w:rsidRPr="00B92BDF">
        <w:rPr>
          <w:rStyle w:val="HTMLCite"/>
          <w:rFonts w:ascii="Times New Roman" w:hAnsi="Times New Roman" w:cs="Times New Roman"/>
          <w:i w:val="0"/>
          <w:color w:val="000000" w:themeColor="text1"/>
          <w:sz w:val="24"/>
          <w:szCs w:val="24"/>
        </w:rPr>
        <w:t xml:space="preserve"> 2009</w:t>
      </w:r>
      <w:r w:rsidR="00A76009" w:rsidRPr="00B92BDF">
        <w:rPr>
          <w:rStyle w:val="HTMLCite"/>
          <w:rFonts w:ascii="Times New Roman" w:hAnsi="Times New Roman" w:cs="Times New Roman"/>
          <w:i w:val="0"/>
          <w:color w:val="000000" w:themeColor="text1"/>
          <w:sz w:val="24"/>
          <w:szCs w:val="24"/>
        </w:rPr>
        <w:t>. Time Series: Theory and Methods (2</w:t>
      </w:r>
      <w:r w:rsidR="00A76009" w:rsidRPr="00B92BDF">
        <w:rPr>
          <w:rStyle w:val="HTMLCite"/>
          <w:rFonts w:ascii="Times New Roman" w:hAnsi="Times New Roman" w:cs="Times New Roman"/>
          <w:i w:val="0"/>
          <w:color w:val="000000" w:themeColor="text1"/>
          <w:sz w:val="24"/>
          <w:szCs w:val="24"/>
          <w:vertAlign w:val="superscript"/>
        </w:rPr>
        <w:t>nd</w:t>
      </w:r>
      <w:r w:rsidR="00A76009" w:rsidRPr="00B92BDF">
        <w:rPr>
          <w:rStyle w:val="HTMLCite"/>
          <w:rFonts w:ascii="Times New Roman" w:hAnsi="Times New Roman" w:cs="Times New Roman"/>
          <w:i w:val="0"/>
          <w:color w:val="000000" w:themeColor="text1"/>
          <w:sz w:val="24"/>
          <w:szCs w:val="24"/>
        </w:rPr>
        <w:t xml:space="preserve"> </w:t>
      </w:r>
      <w:proofErr w:type="gramStart"/>
      <w:r w:rsidR="00A76009" w:rsidRPr="00B92BDF">
        <w:rPr>
          <w:rStyle w:val="HTMLCite"/>
          <w:rFonts w:ascii="Times New Roman" w:hAnsi="Times New Roman" w:cs="Times New Roman"/>
          <w:i w:val="0"/>
          <w:color w:val="000000" w:themeColor="text1"/>
          <w:sz w:val="24"/>
          <w:szCs w:val="24"/>
        </w:rPr>
        <w:t>ed</w:t>
      </w:r>
      <w:proofErr w:type="gramEnd"/>
      <w:r w:rsidR="00A76009" w:rsidRPr="00B92BDF">
        <w:rPr>
          <w:rStyle w:val="HTMLCite"/>
          <w:rFonts w:ascii="Times New Roman" w:hAnsi="Times New Roman" w:cs="Times New Roman"/>
          <w:i w:val="0"/>
          <w:color w:val="000000" w:themeColor="text1"/>
          <w:sz w:val="24"/>
          <w:szCs w:val="24"/>
        </w:rPr>
        <w:t xml:space="preserve">.). </w:t>
      </w:r>
      <w:r w:rsidR="00A76009" w:rsidRPr="00B92BDF">
        <w:rPr>
          <w:rStyle w:val="HTMLCite"/>
          <w:rFonts w:ascii="Times New Roman" w:hAnsi="Times New Roman" w:cs="Times New Roman"/>
          <w:i w:val="0"/>
          <w:color w:val="000000" w:themeColor="text1"/>
          <w:sz w:val="24"/>
          <w:szCs w:val="24"/>
          <w:lang w:val="en-GB"/>
        </w:rPr>
        <w:t>NY: Springer. </w:t>
      </w:r>
    </w:p>
    <w:p w:rsidR="00A76009" w:rsidRPr="00B92BDF" w:rsidRDefault="00A76009" w:rsidP="00EA5EAB">
      <w:pPr>
        <w:spacing w:after="0" w:line="240" w:lineRule="auto"/>
        <w:ind w:left="567" w:hanging="567"/>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Campbell, R., Huisman, R.</w:t>
      </w:r>
      <w:r w:rsidR="007D01C2" w:rsidRPr="00B92BDF">
        <w:rPr>
          <w:rFonts w:ascii="Times New Roman" w:hAnsi="Times New Roman" w:cs="Times New Roman"/>
          <w:color w:val="000000" w:themeColor="text1"/>
          <w:sz w:val="24"/>
          <w:szCs w:val="24"/>
          <w:lang w:val="en-GB"/>
        </w:rPr>
        <w:t xml:space="preserve">, </w:t>
      </w:r>
      <w:proofErr w:type="spellStart"/>
      <w:r w:rsidRPr="00B92BDF">
        <w:rPr>
          <w:rFonts w:ascii="Times New Roman" w:hAnsi="Times New Roman" w:cs="Times New Roman"/>
          <w:color w:val="000000" w:themeColor="text1"/>
          <w:sz w:val="24"/>
          <w:szCs w:val="24"/>
          <w:lang w:val="en-GB"/>
        </w:rPr>
        <w:t>Koedijk</w:t>
      </w:r>
      <w:proofErr w:type="spellEnd"/>
      <w:r w:rsidRPr="00B92BDF">
        <w:rPr>
          <w:rFonts w:ascii="Times New Roman" w:hAnsi="Times New Roman" w:cs="Times New Roman"/>
          <w:color w:val="000000" w:themeColor="text1"/>
          <w:sz w:val="24"/>
          <w:szCs w:val="24"/>
          <w:lang w:val="en-GB"/>
        </w:rPr>
        <w:t>, K.</w:t>
      </w:r>
      <w:r w:rsidR="00EA5EAB" w:rsidRPr="00B92BDF">
        <w:rPr>
          <w:rFonts w:ascii="Times New Roman" w:hAnsi="Times New Roman" w:cs="Times New Roman"/>
          <w:color w:val="000000" w:themeColor="text1"/>
          <w:sz w:val="24"/>
          <w:szCs w:val="24"/>
          <w:lang w:val="en-GB"/>
        </w:rPr>
        <w:t>,</w:t>
      </w:r>
      <w:r w:rsidRPr="00B92BDF">
        <w:rPr>
          <w:rFonts w:ascii="Times New Roman" w:hAnsi="Times New Roman" w:cs="Times New Roman"/>
          <w:color w:val="000000" w:themeColor="text1"/>
          <w:sz w:val="24"/>
          <w:szCs w:val="24"/>
          <w:lang w:val="en-GB"/>
        </w:rPr>
        <w:t xml:space="preserve"> 2001. </w:t>
      </w:r>
      <w:proofErr w:type="gramStart"/>
      <w:r w:rsidRPr="00B92BDF">
        <w:rPr>
          <w:rFonts w:ascii="Times New Roman" w:hAnsi="Times New Roman" w:cs="Times New Roman"/>
          <w:color w:val="000000" w:themeColor="text1"/>
          <w:sz w:val="24"/>
          <w:szCs w:val="24"/>
          <w:lang w:val="en-GB"/>
        </w:rPr>
        <w:t>Optimal portfolio selection in a value-at-risk framework.</w:t>
      </w:r>
      <w:proofErr w:type="gramEnd"/>
      <w:r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iCs/>
          <w:color w:val="000000" w:themeColor="text1"/>
          <w:sz w:val="24"/>
          <w:szCs w:val="24"/>
          <w:lang w:val="en-GB"/>
        </w:rPr>
        <w:t>Journal of Banking and Finance</w:t>
      </w:r>
      <w:r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iCs/>
          <w:color w:val="000000" w:themeColor="text1"/>
          <w:sz w:val="24"/>
          <w:szCs w:val="24"/>
          <w:lang w:val="en-GB"/>
        </w:rPr>
        <w:t>25</w:t>
      </w:r>
      <w:r w:rsidRPr="00B92BDF">
        <w:rPr>
          <w:rFonts w:ascii="Times New Roman" w:hAnsi="Times New Roman" w:cs="Times New Roman"/>
          <w:color w:val="000000" w:themeColor="text1"/>
          <w:sz w:val="24"/>
          <w:szCs w:val="24"/>
          <w:lang w:val="en-GB"/>
        </w:rPr>
        <w:t>(9), 1789-1804.</w:t>
      </w:r>
    </w:p>
    <w:p w:rsidR="00A76009" w:rsidRPr="00B92BDF" w:rsidRDefault="007D01C2" w:rsidP="00EA5EAB">
      <w:pPr>
        <w:spacing w:after="0" w:line="240" w:lineRule="auto"/>
        <w:ind w:left="567" w:hanging="567"/>
        <w:jc w:val="both"/>
        <w:rPr>
          <w:rFonts w:ascii="Times New Roman" w:hAnsi="Times New Roman" w:cs="Times New Roman"/>
          <w:color w:val="000000" w:themeColor="text1"/>
          <w:sz w:val="24"/>
          <w:szCs w:val="24"/>
          <w:shd w:val="clear" w:color="auto" w:fill="FFFFFF"/>
          <w:lang w:val="en-GB"/>
        </w:rPr>
      </w:pPr>
      <w:proofErr w:type="spellStart"/>
      <w:r w:rsidRPr="00B92BDF">
        <w:rPr>
          <w:rFonts w:ascii="Times New Roman" w:hAnsi="Times New Roman" w:cs="Times New Roman"/>
          <w:color w:val="000000" w:themeColor="text1"/>
          <w:sz w:val="24"/>
          <w:szCs w:val="24"/>
          <w:shd w:val="clear" w:color="auto" w:fill="FFFFFF"/>
        </w:rPr>
        <w:t>Cogneau</w:t>
      </w:r>
      <w:proofErr w:type="spellEnd"/>
      <w:r w:rsidRPr="00B92BDF">
        <w:rPr>
          <w:rFonts w:ascii="Times New Roman" w:hAnsi="Times New Roman" w:cs="Times New Roman"/>
          <w:color w:val="000000" w:themeColor="text1"/>
          <w:sz w:val="24"/>
          <w:szCs w:val="24"/>
          <w:shd w:val="clear" w:color="auto" w:fill="FFFFFF"/>
        </w:rPr>
        <w:t>, P.,</w:t>
      </w:r>
      <w:r w:rsidR="00A76009" w:rsidRPr="00B92BDF">
        <w:rPr>
          <w:rFonts w:ascii="Times New Roman" w:hAnsi="Times New Roman" w:cs="Times New Roman"/>
          <w:color w:val="000000" w:themeColor="text1"/>
          <w:sz w:val="24"/>
          <w:szCs w:val="24"/>
          <w:shd w:val="clear" w:color="auto" w:fill="FFFFFF"/>
        </w:rPr>
        <w:t xml:space="preserve"> </w:t>
      </w:r>
      <w:proofErr w:type="spellStart"/>
      <w:r w:rsidR="00A76009" w:rsidRPr="00B92BDF">
        <w:rPr>
          <w:rFonts w:ascii="Times New Roman" w:hAnsi="Times New Roman" w:cs="Times New Roman"/>
          <w:color w:val="000000" w:themeColor="text1"/>
          <w:sz w:val="24"/>
          <w:szCs w:val="24"/>
          <w:shd w:val="clear" w:color="auto" w:fill="FFFFFF"/>
        </w:rPr>
        <w:t>Hübner</w:t>
      </w:r>
      <w:proofErr w:type="spellEnd"/>
      <w:r w:rsidR="00A76009" w:rsidRPr="00B92BDF">
        <w:rPr>
          <w:rFonts w:ascii="Times New Roman" w:hAnsi="Times New Roman" w:cs="Times New Roman"/>
          <w:color w:val="000000" w:themeColor="text1"/>
          <w:sz w:val="24"/>
          <w:szCs w:val="24"/>
          <w:shd w:val="clear" w:color="auto" w:fill="FFFFFF"/>
        </w:rPr>
        <w:t>, G.</w:t>
      </w:r>
      <w:r w:rsidR="00EA5EAB" w:rsidRPr="00B92BDF">
        <w:rPr>
          <w:rFonts w:ascii="Times New Roman" w:hAnsi="Times New Roman" w:cs="Times New Roman"/>
          <w:color w:val="000000" w:themeColor="text1"/>
          <w:sz w:val="24"/>
          <w:szCs w:val="24"/>
          <w:shd w:val="clear" w:color="auto" w:fill="FFFFFF"/>
        </w:rPr>
        <w:t>,</w:t>
      </w:r>
      <w:r w:rsidRPr="00B92BDF">
        <w:rPr>
          <w:rFonts w:ascii="Times New Roman" w:hAnsi="Times New Roman" w:cs="Times New Roman"/>
          <w:color w:val="000000" w:themeColor="text1"/>
          <w:sz w:val="24"/>
          <w:szCs w:val="24"/>
          <w:shd w:val="clear" w:color="auto" w:fill="FFFFFF"/>
        </w:rPr>
        <w:t xml:space="preserve"> 2009</w:t>
      </w:r>
      <w:r w:rsidR="00A76009" w:rsidRPr="00B92BDF">
        <w:rPr>
          <w:rFonts w:ascii="Times New Roman" w:hAnsi="Times New Roman" w:cs="Times New Roman"/>
          <w:color w:val="000000" w:themeColor="text1"/>
          <w:sz w:val="24"/>
          <w:szCs w:val="24"/>
          <w:shd w:val="clear" w:color="auto" w:fill="FFFFFF"/>
        </w:rPr>
        <w:t xml:space="preserve">. </w:t>
      </w:r>
      <w:proofErr w:type="gramStart"/>
      <w:r w:rsidR="00A76009" w:rsidRPr="00B92BDF">
        <w:rPr>
          <w:rFonts w:ascii="Times New Roman" w:hAnsi="Times New Roman" w:cs="Times New Roman"/>
          <w:color w:val="000000" w:themeColor="text1"/>
          <w:sz w:val="24"/>
          <w:szCs w:val="24"/>
          <w:shd w:val="clear" w:color="auto" w:fill="FFFFFF"/>
        </w:rPr>
        <w:t>101 ways to measure portfolio performance.</w:t>
      </w:r>
      <w:proofErr w:type="gramEnd"/>
      <w:r w:rsidR="00A76009" w:rsidRPr="00B92BDF">
        <w:rPr>
          <w:rFonts w:ascii="Times New Roman" w:hAnsi="Times New Roman" w:cs="Times New Roman"/>
          <w:color w:val="000000" w:themeColor="text1"/>
          <w:sz w:val="24"/>
          <w:szCs w:val="24"/>
          <w:shd w:val="clear" w:color="auto" w:fill="FFFFFF"/>
        </w:rPr>
        <w:t> </w:t>
      </w:r>
      <w:r w:rsidR="00A76009" w:rsidRPr="00B92BDF">
        <w:rPr>
          <w:rFonts w:ascii="Times New Roman" w:hAnsi="Times New Roman" w:cs="Times New Roman"/>
          <w:iCs/>
          <w:color w:val="000000" w:themeColor="text1"/>
          <w:sz w:val="24"/>
          <w:szCs w:val="24"/>
          <w:shd w:val="clear" w:color="auto" w:fill="FFFFFF"/>
          <w:lang w:val="en-GB"/>
        </w:rPr>
        <w:t>Journal of Performance Measurement</w:t>
      </w:r>
      <w:r w:rsidR="00A76009" w:rsidRPr="00B92BDF">
        <w:rPr>
          <w:rFonts w:ascii="Times New Roman" w:hAnsi="Times New Roman" w:cs="Times New Roman"/>
          <w:color w:val="000000" w:themeColor="text1"/>
          <w:sz w:val="24"/>
          <w:szCs w:val="24"/>
          <w:shd w:val="clear" w:color="auto" w:fill="FFFFFF"/>
          <w:lang w:val="en-GB"/>
        </w:rPr>
        <w:t>, </w:t>
      </w:r>
      <w:r w:rsidR="00A76009" w:rsidRPr="00B92BDF">
        <w:rPr>
          <w:rFonts w:ascii="Times New Roman" w:hAnsi="Times New Roman" w:cs="Times New Roman"/>
          <w:iCs/>
          <w:color w:val="000000" w:themeColor="text1"/>
          <w:sz w:val="24"/>
          <w:szCs w:val="24"/>
          <w:shd w:val="clear" w:color="auto" w:fill="FFFFFF"/>
          <w:lang w:val="en-GB"/>
        </w:rPr>
        <w:t>14</w:t>
      </w:r>
      <w:r w:rsidR="00A76009" w:rsidRPr="00B92BDF">
        <w:rPr>
          <w:rFonts w:ascii="Times New Roman" w:hAnsi="Times New Roman" w:cs="Times New Roman"/>
          <w:color w:val="000000" w:themeColor="text1"/>
          <w:sz w:val="24"/>
          <w:szCs w:val="24"/>
          <w:shd w:val="clear" w:color="auto" w:fill="FFFFFF"/>
          <w:lang w:val="en-GB"/>
        </w:rPr>
        <w:t>, 56-69.</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spellStart"/>
      <w:proofErr w:type="gramStart"/>
      <w:r w:rsidRPr="00B92BDF">
        <w:rPr>
          <w:rFonts w:ascii="Times New Roman" w:eastAsia="Times New Roman" w:hAnsi="Times New Roman" w:cs="Times New Roman"/>
          <w:color w:val="000000" w:themeColor="text1"/>
          <w:sz w:val="24"/>
          <w:szCs w:val="24"/>
          <w:lang w:val="en-GB" w:eastAsia="ru-RU"/>
        </w:rPr>
        <w:t>Eling</w:t>
      </w:r>
      <w:proofErr w:type="spellEnd"/>
      <w:r w:rsidRPr="00B92BDF">
        <w:rPr>
          <w:rFonts w:ascii="Times New Roman" w:eastAsia="Times New Roman" w:hAnsi="Times New Roman" w:cs="Times New Roman"/>
          <w:color w:val="000000" w:themeColor="text1"/>
          <w:sz w:val="24"/>
          <w:szCs w:val="24"/>
          <w:lang w:val="en-GB" w:eastAsia="ru-RU"/>
        </w:rPr>
        <w:t>, M.</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2008.</w:t>
      </w:r>
      <w:proofErr w:type="gramEnd"/>
      <w:r w:rsidRPr="00B92BDF">
        <w:rPr>
          <w:rFonts w:ascii="Times New Roman" w:eastAsia="Times New Roman" w:hAnsi="Times New Roman" w:cs="Times New Roman"/>
          <w:color w:val="000000" w:themeColor="text1"/>
          <w:sz w:val="24"/>
          <w:szCs w:val="24"/>
          <w:lang w:val="en-GB" w:eastAsia="ru-RU"/>
        </w:rPr>
        <w:t xml:space="preserve"> Performance measurement in the investment industry: Does the measure matter. </w:t>
      </w:r>
      <w:proofErr w:type="gramStart"/>
      <w:r w:rsidRPr="00B92BDF">
        <w:rPr>
          <w:rFonts w:ascii="Times New Roman" w:eastAsia="Times New Roman" w:hAnsi="Times New Roman" w:cs="Times New Roman"/>
          <w:iCs/>
          <w:color w:val="000000" w:themeColor="text1"/>
          <w:sz w:val="24"/>
          <w:szCs w:val="24"/>
          <w:lang w:val="en-GB" w:eastAsia="ru-RU"/>
        </w:rPr>
        <w:t>Working Papers on Risk Management №</w:t>
      </w:r>
      <w:r w:rsidRPr="00B92BDF">
        <w:rPr>
          <w:rFonts w:ascii="Times New Roman" w:eastAsia="Times New Roman" w:hAnsi="Times New Roman" w:cs="Times New Roman"/>
          <w:color w:val="000000" w:themeColor="text1"/>
          <w:sz w:val="24"/>
          <w:szCs w:val="24"/>
          <w:lang w:val="en-GB" w:eastAsia="ru-RU"/>
        </w:rPr>
        <w:t>49.</w:t>
      </w:r>
      <w:proofErr w:type="gramEnd"/>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spellStart"/>
      <w:proofErr w:type="gramStart"/>
      <w:r w:rsidRPr="00B92BDF">
        <w:rPr>
          <w:rFonts w:ascii="Times New Roman" w:eastAsia="Times New Roman" w:hAnsi="Times New Roman" w:cs="Times New Roman"/>
          <w:color w:val="000000" w:themeColor="text1"/>
          <w:sz w:val="24"/>
          <w:szCs w:val="24"/>
          <w:lang w:val="en-GB" w:eastAsia="ru-RU"/>
        </w:rPr>
        <w:t>Farinelli</w:t>
      </w:r>
      <w:proofErr w:type="spellEnd"/>
      <w:r w:rsidRPr="00B92BDF">
        <w:rPr>
          <w:rFonts w:ascii="Times New Roman" w:eastAsia="Times New Roman" w:hAnsi="Times New Roman" w:cs="Times New Roman"/>
          <w:color w:val="000000" w:themeColor="text1"/>
          <w:sz w:val="24"/>
          <w:szCs w:val="24"/>
          <w:lang w:val="en-GB" w:eastAsia="ru-RU"/>
        </w:rPr>
        <w:t xml:space="preserve">, S., Ferreira, M., Rossello, D., </w:t>
      </w:r>
      <w:proofErr w:type="spellStart"/>
      <w:r w:rsidRPr="00B92BDF">
        <w:rPr>
          <w:rFonts w:ascii="Times New Roman" w:eastAsia="Times New Roman" w:hAnsi="Times New Roman" w:cs="Times New Roman"/>
          <w:color w:val="000000" w:themeColor="text1"/>
          <w:sz w:val="24"/>
          <w:szCs w:val="24"/>
          <w:lang w:val="en-GB" w:eastAsia="ru-RU"/>
        </w:rPr>
        <w:t>Thoeny</w:t>
      </w:r>
      <w:proofErr w:type="spellEnd"/>
      <w:r w:rsidRPr="00B92BDF">
        <w:rPr>
          <w:rFonts w:ascii="Times New Roman" w:eastAsia="Times New Roman" w:hAnsi="Times New Roman" w:cs="Times New Roman"/>
          <w:color w:val="000000" w:themeColor="text1"/>
          <w:sz w:val="24"/>
          <w:szCs w:val="24"/>
          <w:lang w:val="en-GB" w:eastAsia="ru-RU"/>
        </w:rPr>
        <w:t xml:space="preserve">, M., </w:t>
      </w:r>
      <w:proofErr w:type="spellStart"/>
      <w:r w:rsidRPr="00B92BDF">
        <w:rPr>
          <w:rFonts w:ascii="Times New Roman" w:eastAsia="Times New Roman" w:hAnsi="Times New Roman" w:cs="Times New Roman"/>
          <w:color w:val="000000" w:themeColor="text1"/>
          <w:sz w:val="24"/>
          <w:szCs w:val="24"/>
          <w:lang w:val="en-GB" w:eastAsia="ru-RU"/>
        </w:rPr>
        <w:t>Tibiletti</w:t>
      </w:r>
      <w:proofErr w:type="spellEnd"/>
      <w:r w:rsidRPr="00B92BDF">
        <w:rPr>
          <w:rFonts w:ascii="Times New Roman" w:eastAsia="Times New Roman" w:hAnsi="Times New Roman" w:cs="Times New Roman"/>
          <w:color w:val="000000" w:themeColor="text1"/>
          <w:sz w:val="24"/>
          <w:szCs w:val="24"/>
          <w:lang w:val="en-GB" w:eastAsia="ru-RU"/>
        </w:rPr>
        <w:t>, L.</w:t>
      </w:r>
      <w:r w:rsidR="00EA5EAB"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2008.</w:t>
      </w:r>
      <w:proofErr w:type="gramEnd"/>
      <w:r w:rsidRPr="00B92BDF">
        <w:rPr>
          <w:rFonts w:ascii="Times New Roman" w:eastAsia="Times New Roman" w:hAnsi="Times New Roman" w:cs="Times New Roman"/>
          <w:color w:val="000000" w:themeColor="text1"/>
          <w:sz w:val="24"/>
          <w:szCs w:val="24"/>
          <w:lang w:val="en-GB" w:eastAsia="ru-RU"/>
        </w:rPr>
        <w:t xml:space="preserve"> Beyond Sharpe ratio: Optimal asset allocation using different performance ratios. </w:t>
      </w:r>
      <w:r w:rsidRPr="00B92BDF">
        <w:rPr>
          <w:rFonts w:ascii="Times New Roman" w:eastAsia="Times New Roman" w:hAnsi="Times New Roman" w:cs="Times New Roman"/>
          <w:iCs/>
          <w:color w:val="000000" w:themeColor="text1"/>
          <w:sz w:val="24"/>
          <w:szCs w:val="24"/>
          <w:lang w:val="en-GB" w:eastAsia="ru-RU"/>
        </w:rPr>
        <w:t>Journal of Banking and Finance</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32</w:t>
      </w:r>
      <w:r w:rsidRPr="00B92BDF">
        <w:rPr>
          <w:rFonts w:ascii="Times New Roman" w:eastAsia="Times New Roman" w:hAnsi="Times New Roman" w:cs="Times New Roman"/>
          <w:color w:val="000000" w:themeColor="text1"/>
          <w:sz w:val="24"/>
          <w:szCs w:val="24"/>
          <w:lang w:val="en-GB" w:eastAsia="ru-RU"/>
        </w:rPr>
        <w:t>(10), 2057-2063.</w:t>
      </w:r>
    </w:p>
    <w:p w:rsidR="00A76009" w:rsidRPr="00B92BDF" w:rsidRDefault="00A76009" w:rsidP="00EA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567" w:hanging="567"/>
        <w:jc w:val="both"/>
        <w:rPr>
          <w:rFonts w:ascii="Times New Roman" w:eastAsia="Times New Roman" w:hAnsi="Times New Roman" w:cs="Times New Roman"/>
          <w:color w:val="000000" w:themeColor="text1"/>
          <w:sz w:val="24"/>
          <w:szCs w:val="24"/>
          <w:bdr w:val="none" w:sz="0" w:space="0" w:color="auto" w:frame="1"/>
          <w:lang w:val="en-GB" w:eastAsia="ru-RU"/>
        </w:rPr>
      </w:pPr>
      <w:proofErr w:type="gramStart"/>
      <w:r w:rsidRPr="00B92BDF">
        <w:rPr>
          <w:rFonts w:ascii="Times New Roman" w:hAnsi="Times New Roman" w:cs="Times New Roman"/>
          <w:color w:val="000000" w:themeColor="text1"/>
          <w:sz w:val="24"/>
          <w:szCs w:val="24"/>
          <w:lang w:val="en-GB"/>
        </w:rPr>
        <w:t>Fuller, W.</w:t>
      </w:r>
      <w:r w:rsidR="00EA5EAB" w:rsidRPr="00B92BDF">
        <w:rPr>
          <w:rFonts w:ascii="Times New Roman" w:hAnsi="Times New Roman" w:cs="Times New Roman"/>
          <w:color w:val="000000" w:themeColor="text1"/>
          <w:sz w:val="24"/>
          <w:szCs w:val="24"/>
          <w:lang w:val="en-GB"/>
        </w:rPr>
        <w:t>,</w:t>
      </w:r>
      <w:r w:rsidR="007D01C2" w:rsidRPr="00B92BDF">
        <w:rPr>
          <w:rFonts w:ascii="Times New Roman" w:hAnsi="Times New Roman" w:cs="Times New Roman"/>
          <w:color w:val="000000" w:themeColor="text1"/>
          <w:sz w:val="24"/>
          <w:szCs w:val="24"/>
          <w:lang w:val="en-GB"/>
        </w:rPr>
        <w:t xml:space="preserve"> 1996</w:t>
      </w:r>
      <w:r w:rsidRPr="00B92BDF">
        <w:rPr>
          <w:rFonts w:ascii="Times New Roman" w:hAnsi="Times New Roman" w:cs="Times New Roman"/>
          <w:color w:val="000000" w:themeColor="text1"/>
          <w:sz w:val="24"/>
          <w:szCs w:val="24"/>
          <w:lang w:val="en-GB"/>
        </w:rPr>
        <w:t>.</w:t>
      </w:r>
      <w:proofErr w:type="gramEnd"/>
      <w:r w:rsidRPr="00B92BDF">
        <w:rPr>
          <w:rFonts w:ascii="Times New Roman" w:hAnsi="Times New Roman" w:cs="Times New Roman"/>
          <w:color w:val="000000" w:themeColor="text1"/>
          <w:sz w:val="24"/>
          <w:szCs w:val="24"/>
          <w:lang w:val="en-GB"/>
        </w:rPr>
        <w:t xml:space="preserve"> Introduction to statistical time series (2</w:t>
      </w:r>
      <w:r w:rsidRPr="00B92BDF">
        <w:rPr>
          <w:rFonts w:ascii="Times New Roman" w:hAnsi="Times New Roman" w:cs="Times New Roman"/>
          <w:color w:val="000000" w:themeColor="text1"/>
          <w:sz w:val="24"/>
          <w:szCs w:val="24"/>
          <w:vertAlign w:val="superscript"/>
          <w:lang w:val="en-GB"/>
        </w:rPr>
        <w:t>nd</w:t>
      </w:r>
      <w:r w:rsidRPr="00B92BDF">
        <w:rPr>
          <w:rFonts w:ascii="Times New Roman" w:hAnsi="Times New Roman" w:cs="Times New Roman"/>
          <w:color w:val="000000" w:themeColor="text1"/>
          <w:sz w:val="24"/>
          <w:szCs w:val="24"/>
          <w:lang w:val="en-GB"/>
        </w:rPr>
        <w:t xml:space="preserve"> </w:t>
      </w:r>
      <w:proofErr w:type="gramStart"/>
      <w:r w:rsidRPr="00B92BDF">
        <w:rPr>
          <w:rFonts w:ascii="Times New Roman" w:hAnsi="Times New Roman" w:cs="Times New Roman"/>
          <w:color w:val="000000" w:themeColor="text1"/>
          <w:sz w:val="24"/>
          <w:szCs w:val="24"/>
          <w:lang w:val="en-GB"/>
        </w:rPr>
        <w:t>ed</w:t>
      </w:r>
      <w:proofErr w:type="gramEnd"/>
      <w:r w:rsidRPr="00B92BDF">
        <w:rPr>
          <w:rFonts w:ascii="Times New Roman" w:hAnsi="Times New Roman" w:cs="Times New Roman"/>
          <w:color w:val="000000" w:themeColor="text1"/>
          <w:sz w:val="24"/>
          <w:szCs w:val="24"/>
          <w:lang w:val="en-GB"/>
        </w:rPr>
        <w:t>.). NY: John Wiley and Sons.</w:t>
      </w:r>
    </w:p>
    <w:p w:rsidR="0032168B" w:rsidRPr="00B92BDF" w:rsidRDefault="007D01C2" w:rsidP="00EA5EAB">
      <w:pPr>
        <w:spacing w:after="0" w:line="240" w:lineRule="auto"/>
        <w:ind w:left="567" w:hanging="567"/>
        <w:jc w:val="both"/>
        <w:rPr>
          <w:rFonts w:ascii="Times New Roman" w:hAnsi="Times New Roman" w:cs="Times New Roman"/>
          <w:color w:val="000000" w:themeColor="text1"/>
          <w:sz w:val="24"/>
          <w:szCs w:val="24"/>
          <w:shd w:val="clear" w:color="auto" w:fill="FFFFFF"/>
        </w:rPr>
      </w:pPr>
      <w:proofErr w:type="spellStart"/>
      <w:r w:rsidRPr="00B92BDF">
        <w:rPr>
          <w:rFonts w:ascii="Times New Roman" w:hAnsi="Times New Roman" w:cs="Times New Roman"/>
          <w:color w:val="000000" w:themeColor="text1"/>
          <w:sz w:val="24"/>
          <w:szCs w:val="24"/>
          <w:shd w:val="clear" w:color="auto" w:fill="FFFFFF"/>
        </w:rPr>
        <w:t>Geman</w:t>
      </w:r>
      <w:proofErr w:type="spellEnd"/>
      <w:r w:rsidRPr="00B92BDF">
        <w:rPr>
          <w:rFonts w:ascii="Times New Roman" w:hAnsi="Times New Roman" w:cs="Times New Roman"/>
          <w:color w:val="000000" w:themeColor="text1"/>
          <w:sz w:val="24"/>
          <w:szCs w:val="24"/>
          <w:shd w:val="clear" w:color="auto" w:fill="FFFFFF"/>
        </w:rPr>
        <w:t>, H.</w:t>
      </w:r>
      <w:proofErr w:type="gramStart"/>
      <w:r w:rsidRPr="00B92BDF">
        <w:rPr>
          <w:rFonts w:ascii="Times New Roman" w:hAnsi="Times New Roman" w:cs="Times New Roman"/>
          <w:color w:val="000000" w:themeColor="text1"/>
          <w:sz w:val="24"/>
          <w:szCs w:val="24"/>
          <w:shd w:val="clear" w:color="auto" w:fill="FFFFFF"/>
        </w:rPr>
        <w:t xml:space="preserve">, </w:t>
      </w:r>
      <w:r w:rsidR="00A76009" w:rsidRPr="00B92BDF">
        <w:rPr>
          <w:rFonts w:ascii="Times New Roman" w:hAnsi="Times New Roman" w:cs="Times New Roman"/>
          <w:color w:val="000000" w:themeColor="text1"/>
          <w:sz w:val="24"/>
          <w:szCs w:val="24"/>
          <w:shd w:val="clear" w:color="auto" w:fill="FFFFFF"/>
        </w:rPr>
        <w:t xml:space="preserve"> </w:t>
      </w:r>
      <w:proofErr w:type="spellStart"/>
      <w:r w:rsidR="00A76009" w:rsidRPr="00B92BDF">
        <w:rPr>
          <w:rFonts w:ascii="Times New Roman" w:hAnsi="Times New Roman" w:cs="Times New Roman"/>
          <w:color w:val="000000" w:themeColor="text1"/>
          <w:sz w:val="24"/>
          <w:szCs w:val="24"/>
          <w:shd w:val="clear" w:color="auto" w:fill="FFFFFF"/>
        </w:rPr>
        <w:t>Kharoubi</w:t>
      </w:r>
      <w:proofErr w:type="spellEnd"/>
      <w:proofErr w:type="gramEnd"/>
      <w:r w:rsidR="00A76009" w:rsidRPr="00B92BDF">
        <w:rPr>
          <w:rFonts w:ascii="Times New Roman" w:hAnsi="Times New Roman" w:cs="Times New Roman"/>
          <w:color w:val="000000" w:themeColor="text1"/>
          <w:sz w:val="24"/>
          <w:szCs w:val="24"/>
          <w:shd w:val="clear" w:color="auto" w:fill="FFFFFF"/>
        </w:rPr>
        <w:t>, C.</w:t>
      </w:r>
      <w:r w:rsidR="00EA5EAB" w:rsidRPr="00B92BDF">
        <w:rPr>
          <w:rFonts w:ascii="Times New Roman" w:hAnsi="Times New Roman" w:cs="Times New Roman"/>
          <w:color w:val="000000" w:themeColor="text1"/>
          <w:sz w:val="24"/>
          <w:szCs w:val="24"/>
          <w:shd w:val="clear" w:color="auto" w:fill="FFFFFF"/>
        </w:rPr>
        <w:t>,</w:t>
      </w:r>
      <w:r w:rsidRPr="00B92BDF">
        <w:rPr>
          <w:rFonts w:ascii="Times New Roman" w:hAnsi="Times New Roman" w:cs="Times New Roman"/>
          <w:color w:val="000000" w:themeColor="text1"/>
          <w:sz w:val="24"/>
          <w:szCs w:val="24"/>
          <w:shd w:val="clear" w:color="auto" w:fill="FFFFFF"/>
        </w:rPr>
        <w:t xml:space="preserve"> 2003</w:t>
      </w:r>
      <w:r w:rsidR="00A76009" w:rsidRPr="00B92BDF">
        <w:rPr>
          <w:rFonts w:ascii="Times New Roman" w:hAnsi="Times New Roman" w:cs="Times New Roman"/>
          <w:color w:val="000000" w:themeColor="text1"/>
          <w:sz w:val="24"/>
          <w:szCs w:val="24"/>
          <w:shd w:val="clear" w:color="auto" w:fill="FFFFFF"/>
        </w:rPr>
        <w:t>. </w:t>
      </w:r>
      <w:r w:rsidR="00A76009" w:rsidRPr="00B92BDF">
        <w:rPr>
          <w:rFonts w:ascii="Times New Roman" w:hAnsi="Times New Roman" w:cs="Times New Roman"/>
          <w:iCs/>
          <w:color w:val="000000" w:themeColor="text1"/>
          <w:sz w:val="24"/>
          <w:szCs w:val="24"/>
          <w:shd w:val="clear" w:color="auto" w:fill="FFFFFF"/>
        </w:rPr>
        <w:t>Hedge funds revisited: Distributional characteristics, dependence structure and diversification</w:t>
      </w:r>
      <w:r w:rsidR="00A76009" w:rsidRPr="00B92BDF">
        <w:rPr>
          <w:rFonts w:ascii="Times New Roman" w:hAnsi="Times New Roman" w:cs="Times New Roman"/>
          <w:color w:val="000000" w:themeColor="text1"/>
          <w:sz w:val="24"/>
          <w:szCs w:val="24"/>
          <w:shd w:val="clear" w:color="auto" w:fill="FFFFFF"/>
        </w:rPr>
        <w:t>. Journal of Risk, 5(4)</w:t>
      </w:r>
      <w:r w:rsidR="0034608E" w:rsidRPr="00B92BDF">
        <w:rPr>
          <w:rFonts w:ascii="Times New Roman" w:hAnsi="Times New Roman" w:cs="Times New Roman"/>
          <w:color w:val="000000" w:themeColor="text1"/>
          <w:sz w:val="24"/>
          <w:szCs w:val="24"/>
          <w:shd w:val="clear" w:color="auto" w:fill="FFFFFF"/>
        </w:rPr>
        <w:t>, 13-32.</w:t>
      </w:r>
    </w:p>
    <w:p w:rsidR="0032168B" w:rsidRPr="00B92BDF" w:rsidRDefault="0032168B" w:rsidP="00EA5EAB">
      <w:pPr>
        <w:spacing w:after="0" w:line="240" w:lineRule="auto"/>
        <w:ind w:left="567" w:hanging="567"/>
        <w:jc w:val="both"/>
        <w:rPr>
          <w:rFonts w:ascii="Times New Roman" w:hAnsi="Times New Roman" w:cs="Times New Roman"/>
          <w:color w:val="000000" w:themeColor="text1"/>
          <w:sz w:val="24"/>
          <w:szCs w:val="24"/>
          <w:shd w:val="clear" w:color="auto" w:fill="FFFFFF"/>
        </w:rPr>
      </w:pPr>
      <w:proofErr w:type="spellStart"/>
      <w:r w:rsidRPr="00B92BDF">
        <w:rPr>
          <w:rFonts w:ascii="Times New Roman" w:hAnsi="Times New Roman" w:cs="Times New Roman"/>
          <w:color w:val="000000" w:themeColor="text1"/>
          <w:sz w:val="24"/>
          <w:szCs w:val="24"/>
          <w:shd w:val="clear" w:color="auto" w:fill="FFFFFF"/>
        </w:rPr>
        <w:t>Grubisic</w:t>
      </w:r>
      <w:proofErr w:type="spellEnd"/>
      <w:r w:rsidRPr="00B92BDF">
        <w:rPr>
          <w:rFonts w:ascii="Times New Roman" w:hAnsi="Times New Roman" w:cs="Times New Roman"/>
          <w:color w:val="000000" w:themeColor="text1"/>
          <w:sz w:val="24"/>
          <w:szCs w:val="24"/>
          <w:shd w:val="clear" w:color="auto" w:fill="FFFFFF"/>
        </w:rPr>
        <w:t xml:space="preserve">, Z., </w:t>
      </w:r>
      <w:proofErr w:type="spellStart"/>
      <w:r w:rsidRPr="00B92BDF">
        <w:rPr>
          <w:rFonts w:ascii="Times New Roman" w:hAnsi="Times New Roman" w:cs="Times New Roman"/>
          <w:color w:val="000000" w:themeColor="text1"/>
          <w:sz w:val="24"/>
          <w:szCs w:val="24"/>
          <w:shd w:val="clear" w:color="auto" w:fill="FFFFFF"/>
        </w:rPr>
        <w:t>Zaric</w:t>
      </w:r>
      <w:proofErr w:type="spellEnd"/>
      <w:r w:rsidR="007D01C2" w:rsidRPr="00B92BDF">
        <w:rPr>
          <w:rFonts w:ascii="Times New Roman" w:hAnsi="Times New Roman" w:cs="Times New Roman"/>
          <w:color w:val="000000" w:themeColor="text1"/>
          <w:sz w:val="24"/>
          <w:szCs w:val="24"/>
          <w:shd w:val="clear" w:color="auto" w:fill="FFFFFF"/>
        </w:rPr>
        <w:t>, S.</w:t>
      </w:r>
      <w:proofErr w:type="gramStart"/>
      <w:r w:rsidR="007D01C2" w:rsidRPr="00B92BDF">
        <w:rPr>
          <w:rFonts w:ascii="Times New Roman" w:hAnsi="Times New Roman" w:cs="Times New Roman"/>
          <w:color w:val="000000" w:themeColor="text1"/>
          <w:sz w:val="24"/>
          <w:szCs w:val="24"/>
          <w:shd w:val="clear" w:color="auto" w:fill="FFFFFF"/>
        </w:rPr>
        <w:t xml:space="preserve">, </w:t>
      </w:r>
      <w:r w:rsidRPr="00B92BDF">
        <w:rPr>
          <w:rFonts w:ascii="Times New Roman" w:hAnsi="Times New Roman" w:cs="Times New Roman"/>
          <w:color w:val="000000" w:themeColor="text1"/>
          <w:sz w:val="24"/>
          <w:szCs w:val="24"/>
          <w:shd w:val="clear" w:color="auto" w:fill="FFFFFF"/>
        </w:rPr>
        <w:t xml:space="preserve"> </w:t>
      </w:r>
      <w:proofErr w:type="spellStart"/>
      <w:r w:rsidRPr="00B92BDF">
        <w:rPr>
          <w:rFonts w:ascii="Times New Roman" w:hAnsi="Times New Roman" w:cs="Times New Roman"/>
          <w:color w:val="000000" w:themeColor="text1"/>
          <w:sz w:val="24"/>
          <w:szCs w:val="24"/>
          <w:shd w:val="clear" w:color="auto" w:fill="FFFFFF"/>
        </w:rPr>
        <w:t>Vukovic</w:t>
      </w:r>
      <w:proofErr w:type="spellEnd"/>
      <w:proofErr w:type="gramEnd"/>
      <w:r w:rsidRPr="00B92BDF">
        <w:rPr>
          <w:rFonts w:ascii="Times New Roman" w:hAnsi="Times New Roman" w:cs="Times New Roman"/>
          <w:color w:val="000000" w:themeColor="text1"/>
          <w:sz w:val="24"/>
          <w:szCs w:val="24"/>
          <w:shd w:val="clear" w:color="auto" w:fill="FFFFFF"/>
        </w:rPr>
        <w:t>, D.</w:t>
      </w:r>
      <w:r w:rsidR="00EA5EAB" w:rsidRPr="00B92BDF">
        <w:rPr>
          <w:rFonts w:ascii="Times New Roman" w:hAnsi="Times New Roman" w:cs="Times New Roman"/>
          <w:color w:val="000000" w:themeColor="text1"/>
          <w:sz w:val="24"/>
          <w:szCs w:val="24"/>
          <w:shd w:val="clear" w:color="auto" w:fill="FFFFFF"/>
        </w:rPr>
        <w:t>,</w:t>
      </w:r>
      <w:r w:rsidR="007D01C2" w:rsidRPr="00B92BDF">
        <w:rPr>
          <w:rFonts w:ascii="Times New Roman" w:hAnsi="Times New Roman" w:cs="Times New Roman"/>
          <w:color w:val="000000" w:themeColor="text1"/>
          <w:sz w:val="24"/>
          <w:szCs w:val="24"/>
          <w:shd w:val="clear" w:color="auto" w:fill="FFFFFF"/>
        </w:rPr>
        <w:t xml:space="preserve"> 2011</w:t>
      </w:r>
      <w:r w:rsidRPr="00B92BDF">
        <w:rPr>
          <w:rFonts w:ascii="Times New Roman" w:hAnsi="Times New Roman" w:cs="Times New Roman"/>
          <w:color w:val="000000" w:themeColor="text1"/>
          <w:sz w:val="24"/>
          <w:szCs w:val="24"/>
          <w:shd w:val="clear" w:color="auto" w:fill="FFFFFF"/>
        </w:rPr>
        <w:t xml:space="preserve">. </w:t>
      </w:r>
      <w:proofErr w:type="gramStart"/>
      <w:r w:rsidRPr="00B92BDF">
        <w:rPr>
          <w:rFonts w:ascii="Times New Roman" w:hAnsi="Times New Roman" w:cs="Times New Roman"/>
          <w:color w:val="000000" w:themeColor="text1"/>
          <w:sz w:val="24"/>
          <w:szCs w:val="24"/>
          <w:shd w:val="clear" w:color="auto" w:fill="FFFFFF"/>
        </w:rPr>
        <w:t>FDI Inflow in see Countries and its Consequences in the Context of the Financial Crisis.</w:t>
      </w:r>
      <w:proofErr w:type="gramEnd"/>
      <w:r w:rsidRPr="00B92BDF">
        <w:rPr>
          <w:rFonts w:ascii="Times New Roman" w:hAnsi="Times New Roman" w:cs="Times New Roman"/>
          <w:color w:val="000000" w:themeColor="text1"/>
          <w:sz w:val="24"/>
          <w:szCs w:val="24"/>
          <w:shd w:val="clear" w:color="auto" w:fill="FFFFFF"/>
        </w:rPr>
        <w:t xml:space="preserve"> </w:t>
      </w:r>
      <w:proofErr w:type="gramStart"/>
      <w:r w:rsidRPr="00B92BDF">
        <w:rPr>
          <w:rFonts w:ascii="Times New Roman" w:hAnsi="Times New Roman" w:cs="Times New Roman"/>
          <w:color w:val="000000" w:themeColor="text1"/>
          <w:sz w:val="24"/>
          <w:szCs w:val="24"/>
          <w:shd w:val="clear" w:color="auto" w:fill="FFFFFF"/>
        </w:rPr>
        <w:t>Finance and the Performance of Firms in Science, Education, and Practice.</w:t>
      </w:r>
      <w:proofErr w:type="gramEnd"/>
      <w:r w:rsidRPr="00B92BDF">
        <w:rPr>
          <w:rFonts w:ascii="Times New Roman" w:hAnsi="Times New Roman" w:cs="Times New Roman"/>
          <w:color w:val="000000" w:themeColor="text1"/>
          <w:sz w:val="24"/>
          <w:szCs w:val="24"/>
          <w:shd w:val="clear" w:color="auto" w:fill="FFFFFF"/>
        </w:rPr>
        <w:t xml:space="preserve"> </w:t>
      </w:r>
      <w:proofErr w:type="gramStart"/>
      <w:r w:rsidRPr="00B92BDF">
        <w:rPr>
          <w:rFonts w:ascii="Times New Roman" w:hAnsi="Times New Roman" w:cs="Times New Roman"/>
          <w:color w:val="000000" w:themeColor="text1"/>
          <w:sz w:val="24"/>
          <w:szCs w:val="24"/>
          <w:shd w:val="clear" w:color="auto" w:fill="FFFFFF"/>
        </w:rPr>
        <w:t xml:space="preserve">Tomas Bata University in </w:t>
      </w:r>
      <w:proofErr w:type="spellStart"/>
      <w:r w:rsidRPr="00B92BDF">
        <w:rPr>
          <w:rFonts w:ascii="Times New Roman" w:hAnsi="Times New Roman" w:cs="Times New Roman"/>
          <w:color w:val="000000" w:themeColor="text1"/>
          <w:sz w:val="24"/>
          <w:szCs w:val="24"/>
          <w:shd w:val="clear" w:color="auto" w:fill="FFFFFF"/>
        </w:rPr>
        <w:t>Zlin</w:t>
      </w:r>
      <w:proofErr w:type="spellEnd"/>
      <w:r w:rsidRPr="00B92BDF">
        <w:rPr>
          <w:rFonts w:ascii="Times New Roman" w:hAnsi="Times New Roman" w:cs="Times New Roman"/>
          <w:color w:val="000000" w:themeColor="text1"/>
          <w:sz w:val="24"/>
          <w:szCs w:val="24"/>
          <w:shd w:val="clear" w:color="auto" w:fill="FFFFFF"/>
        </w:rPr>
        <w:t>, Faculty of management and economics, Czech Republic.</w:t>
      </w:r>
      <w:proofErr w:type="gramEnd"/>
      <w:r w:rsidRPr="00B92BDF">
        <w:rPr>
          <w:rFonts w:ascii="Times New Roman" w:hAnsi="Times New Roman" w:cs="Times New Roman"/>
          <w:color w:val="000000" w:themeColor="text1"/>
          <w:sz w:val="24"/>
          <w:szCs w:val="24"/>
          <w:shd w:val="clear" w:color="auto" w:fill="FFFFFF"/>
        </w:rPr>
        <w:t xml:space="preserve"> (</w:t>
      </w:r>
      <w:proofErr w:type="spellStart"/>
      <w:proofErr w:type="gramStart"/>
      <w:r w:rsidRPr="00B92BDF">
        <w:rPr>
          <w:rFonts w:ascii="Times New Roman" w:hAnsi="Times New Roman" w:cs="Times New Roman"/>
          <w:color w:val="000000" w:themeColor="text1"/>
          <w:sz w:val="24"/>
          <w:szCs w:val="24"/>
          <w:shd w:val="clear" w:color="auto" w:fill="FFFFFF"/>
        </w:rPr>
        <w:t>edt</w:t>
      </w:r>
      <w:proofErr w:type="spellEnd"/>
      <w:proofErr w:type="gramEnd"/>
      <w:r w:rsidRPr="00B92BDF">
        <w:rPr>
          <w:rFonts w:ascii="Times New Roman" w:hAnsi="Times New Roman" w:cs="Times New Roman"/>
          <w:color w:val="000000" w:themeColor="text1"/>
          <w:sz w:val="24"/>
          <w:szCs w:val="24"/>
          <w:shd w:val="clear" w:color="auto" w:fill="FFFFFF"/>
        </w:rPr>
        <w:t xml:space="preserve">.) </w:t>
      </w:r>
      <w:proofErr w:type="spellStart"/>
      <w:proofErr w:type="gramStart"/>
      <w:r w:rsidRPr="00B92BDF">
        <w:rPr>
          <w:rFonts w:ascii="Times New Roman" w:hAnsi="Times New Roman" w:cs="Times New Roman"/>
          <w:color w:val="000000" w:themeColor="text1"/>
          <w:sz w:val="24"/>
          <w:szCs w:val="24"/>
          <w:shd w:val="clear" w:color="auto" w:fill="FFFFFF"/>
        </w:rPr>
        <w:t>DrahomiraPavelkova</w:t>
      </w:r>
      <w:proofErr w:type="spellEnd"/>
      <w:r w:rsidRPr="00B92BDF">
        <w:rPr>
          <w:rFonts w:ascii="Times New Roman" w:hAnsi="Times New Roman" w:cs="Times New Roman"/>
          <w:color w:val="000000" w:themeColor="text1"/>
          <w:sz w:val="24"/>
          <w:szCs w:val="24"/>
          <w:shd w:val="clear" w:color="auto" w:fill="FFFFFF"/>
        </w:rPr>
        <w:t>, (Proceedings paper), 116-129.</w:t>
      </w:r>
      <w:proofErr w:type="gramEnd"/>
      <w:r w:rsidRPr="00B92BDF">
        <w:rPr>
          <w:rFonts w:ascii="Times New Roman" w:hAnsi="Times New Roman" w:cs="Times New Roman"/>
          <w:color w:val="000000" w:themeColor="text1"/>
          <w:sz w:val="24"/>
          <w:szCs w:val="24"/>
          <w:shd w:val="clear" w:color="auto" w:fill="FFFFFF"/>
        </w:rPr>
        <w:t xml:space="preserve"> </w:t>
      </w:r>
      <w:proofErr w:type="gramStart"/>
      <w:r w:rsidRPr="00B92BDF">
        <w:rPr>
          <w:rFonts w:ascii="Times New Roman" w:hAnsi="Times New Roman" w:cs="Times New Roman"/>
          <w:color w:val="000000" w:themeColor="text1"/>
          <w:sz w:val="24"/>
          <w:szCs w:val="24"/>
          <w:shd w:val="clear" w:color="auto" w:fill="FFFFFF"/>
        </w:rPr>
        <w:t>ISBN 978-80-7454-020-2.</w:t>
      </w:r>
      <w:proofErr w:type="gramEnd"/>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Harvey, C.</w:t>
      </w:r>
      <w:proofErr w:type="gramStart"/>
      <w:r w:rsidR="007D01C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 xml:space="preserve"> Siddique</w:t>
      </w:r>
      <w:proofErr w:type="gramEnd"/>
      <w:r w:rsidRPr="00B92BDF">
        <w:rPr>
          <w:rFonts w:ascii="Times New Roman" w:eastAsia="Times New Roman" w:hAnsi="Times New Roman" w:cs="Times New Roman"/>
          <w:color w:val="000000" w:themeColor="text1"/>
          <w:sz w:val="24"/>
          <w:szCs w:val="24"/>
          <w:lang w:val="en-GB" w:eastAsia="ru-RU"/>
        </w:rPr>
        <w:t>, A.</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2000</w:t>
      </w:r>
      <w:r w:rsidRPr="00B92BDF">
        <w:rPr>
          <w:rFonts w:ascii="Times New Roman" w:eastAsia="Times New Roman" w:hAnsi="Times New Roman" w:cs="Times New Roman"/>
          <w:color w:val="000000" w:themeColor="text1"/>
          <w:sz w:val="24"/>
          <w:szCs w:val="24"/>
          <w:lang w:val="en-GB" w:eastAsia="ru-RU"/>
        </w:rPr>
        <w:t xml:space="preserve">. Time-varying conditional skewness and the market risk premium. </w:t>
      </w:r>
      <w:r w:rsidRPr="00B92BDF">
        <w:rPr>
          <w:rFonts w:ascii="Times New Roman" w:eastAsia="Times New Roman" w:hAnsi="Times New Roman" w:cs="Times New Roman"/>
          <w:iCs/>
          <w:color w:val="000000" w:themeColor="text1"/>
          <w:sz w:val="24"/>
          <w:szCs w:val="24"/>
          <w:lang w:val="en-GB" w:eastAsia="ru-RU"/>
        </w:rPr>
        <w:t>Research in Banking and Finance</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1</w:t>
      </w:r>
      <w:r w:rsidRPr="00B92BDF">
        <w:rPr>
          <w:rFonts w:ascii="Times New Roman" w:eastAsia="Times New Roman" w:hAnsi="Times New Roman" w:cs="Times New Roman"/>
          <w:color w:val="000000" w:themeColor="text1"/>
          <w:sz w:val="24"/>
          <w:szCs w:val="24"/>
          <w:lang w:val="en-GB" w:eastAsia="ru-RU"/>
        </w:rPr>
        <w:t>(1), 27-60.</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Hodges, C., Taylor, W.</w:t>
      </w:r>
      <w:proofErr w:type="gramStart"/>
      <w:r w:rsidRPr="00B92BDF">
        <w:rPr>
          <w:rFonts w:ascii="Times New Roman" w:eastAsia="Times New Roman" w:hAnsi="Times New Roman" w:cs="Times New Roman"/>
          <w:color w:val="000000" w:themeColor="text1"/>
          <w:sz w:val="24"/>
          <w:szCs w:val="24"/>
          <w:lang w:val="en-GB" w:eastAsia="ru-RU"/>
        </w:rPr>
        <w:t>,  Yoder</w:t>
      </w:r>
      <w:proofErr w:type="gramEnd"/>
      <w:r w:rsidRPr="00B92BDF">
        <w:rPr>
          <w:rFonts w:ascii="Times New Roman" w:eastAsia="Times New Roman" w:hAnsi="Times New Roman" w:cs="Times New Roman"/>
          <w:color w:val="000000" w:themeColor="text1"/>
          <w:sz w:val="24"/>
          <w:szCs w:val="24"/>
          <w:lang w:val="en-GB" w:eastAsia="ru-RU"/>
        </w:rPr>
        <w:t>, J.</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 xml:space="preserve">1997. </w:t>
      </w:r>
      <w:proofErr w:type="gramStart"/>
      <w:r w:rsidRPr="00B92BDF">
        <w:rPr>
          <w:rFonts w:ascii="Times New Roman" w:eastAsia="Times New Roman" w:hAnsi="Times New Roman" w:cs="Times New Roman"/>
          <w:color w:val="000000" w:themeColor="text1"/>
          <w:sz w:val="24"/>
          <w:szCs w:val="24"/>
          <w:lang w:val="en-GB" w:eastAsia="ru-RU"/>
        </w:rPr>
        <w:t>Stocks, bonds, the Sharpe ratio, and the investment horizon.</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Financial Analysts Journal</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53</w:t>
      </w:r>
      <w:r w:rsidRPr="00B92BDF">
        <w:rPr>
          <w:rFonts w:ascii="Times New Roman" w:eastAsia="Times New Roman" w:hAnsi="Times New Roman" w:cs="Times New Roman"/>
          <w:color w:val="000000" w:themeColor="text1"/>
          <w:sz w:val="24"/>
          <w:szCs w:val="24"/>
          <w:lang w:val="en-GB" w:eastAsia="ru-RU"/>
        </w:rPr>
        <w:t>(6), 74-80.</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spellStart"/>
      <w:r w:rsidRPr="00B92BDF">
        <w:rPr>
          <w:rFonts w:ascii="Times New Roman" w:eastAsia="Times New Roman" w:hAnsi="Times New Roman" w:cs="Times New Roman"/>
          <w:color w:val="000000" w:themeColor="text1"/>
          <w:sz w:val="24"/>
          <w:szCs w:val="24"/>
          <w:lang w:val="en-GB" w:eastAsia="ru-RU"/>
        </w:rPr>
        <w:t>Ilmanen</w:t>
      </w:r>
      <w:proofErr w:type="spellEnd"/>
      <w:r w:rsidRPr="00B92BDF">
        <w:rPr>
          <w:rFonts w:ascii="Times New Roman" w:eastAsia="Times New Roman" w:hAnsi="Times New Roman" w:cs="Times New Roman"/>
          <w:color w:val="000000" w:themeColor="text1"/>
          <w:sz w:val="24"/>
          <w:szCs w:val="24"/>
          <w:lang w:val="en-GB" w:eastAsia="ru-RU"/>
        </w:rPr>
        <w:t>, A.</w:t>
      </w:r>
      <w:r w:rsidR="00EA5EAB"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1995. Time</w:t>
      </w:r>
      <w:r w:rsidRPr="00B92BDF">
        <w:rPr>
          <w:rFonts w:ascii="Cambria Math" w:eastAsia="Times New Roman" w:hAnsi="Cambria Math" w:cs="Cambria Math"/>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varying expected returns in international bond markets. </w:t>
      </w:r>
      <w:r w:rsidRPr="00B92BDF">
        <w:rPr>
          <w:rFonts w:ascii="Times New Roman" w:eastAsia="Times New Roman" w:hAnsi="Times New Roman" w:cs="Times New Roman"/>
          <w:iCs/>
          <w:color w:val="000000" w:themeColor="text1"/>
          <w:sz w:val="24"/>
          <w:szCs w:val="24"/>
          <w:lang w:val="en-GB" w:eastAsia="ru-RU"/>
        </w:rPr>
        <w:t>The Journal of Finance</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50</w:t>
      </w:r>
      <w:r w:rsidRPr="00B92BDF">
        <w:rPr>
          <w:rFonts w:ascii="Times New Roman" w:eastAsia="Times New Roman" w:hAnsi="Times New Roman" w:cs="Times New Roman"/>
          <w:color w:val="000000" w:themeColor="text1"/>
          <w:sz w:val="24"/>
          <w:szCs w:val="24"/>
          <w:lang w:val="en-GB" w:eastAsia="ru-RU"/>
        </w:rPr>
        <w:t>(2), 481-506.</w:t>
      </w:r>
    </w:p>
    <w:p w:rsidR="00A76009" w:rsidRPr="00B92BDF" w:rsidRDefault="00A76009" w:rsidP="00EA5EAB">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sz w:val="24"/>
          <w:szCs w:val="24"/>
          <w:lang w:val="en-GB"/>
        </w:rPr>
      </w:pPr>
      <w:proofErr w:type="spellStart"/>
      <w:r w:rsidRPr="00B92BDF">
        <w:rPr>
          <w:rFonts w:ascii="Times New Roman" w:eastAsia="TimesNewRoman" w:hAnsi="Times New Roman" w:cs="Times New Roman"/>
          <w:color w:val="000000" w:themeColor="text1"/>
          <w:sz w:val="24"/>
          <w:szCs w:val="24"/>
          <w:lang w:val="en-GB"/>
        </w:rPr>
        <w:t>Israelsen</w:t>
      </w:r>
      <w:proofErr w:type="spellEnd"/>
      <w:r w:rsidRPr="00B92BDF">
        <w:rPr>
          <w:rFonts w:ascii="Times New Roman" w:eastAsia="TimesNewRoman" w:hAnsi="Times New Roman" w:cs="Times New Roman"/>
          <w:color w:val="000000" w:themeColor="text1"/>
          <w:sz w:val="24"/>
          <w:szCs w:val="24"/>
          <w:lang w:val="en-GB"/>
        </w:rPr>
        <w:t>, C.</w:t>
      </w:r>
      <w:r w:rsidR="00EA5EAB" w:rsidRPr="00B92BDF">
        <w:rPr>
          <w:rFonts w:ascii="Times New Roman" w:eastAsia="TimesNewRoman" w:hAnsi="Times New Roman" w:cs="Times New Roman"/>
          <w:color w:val="000000" w:themeColor="text1"/>
          <w:sz w:val="24"/>
          <w:szCs w:val="24"/>
          <w:lang w:val="en-GB"/>
        </w:rPr>
        <w:t>,</w:t>
      </w:r>
      <w:r w:rsidRPr="00B92BDF">
        <w:rPr>
          <w:rFonts w:ascii="Times New Roman" w:eastAsia="TimesNewRoman" w:hAnsi="Times New Roman" w:cs="Times New Roman"/>
          <w:color w:val="000000" w:themeColor="text1"/>
          <w:sz w:val="24"/>
          <w:szCs w:val="24"/>
          <w:lang w:val="en-GB"/>
        </w:rPr>
        <w:t xml:space="preserve"> </w:t>
      </w:r>
      <w:r w:rsidR="007D01C2" w:rsidRPr="00B92BDF">
        <w:rPr>
          <w:rFonts w:ascii="Times New Roman" w:eastAsia="TimesNewRoman" w:hAnsi="Times New Roman" w:cs="Times New Roman"/>
          <w:color w:val="000000" w:themeColor="text1"/>
          <w:sz w:val="24"/>
          <w:szCs w:val="24"/>
          <w:lang w:val="en-GB"/>
        </w:rPr>
        <w:t>2005</w:t>
      </w:r>
      <w:r w:rsidRPr="00B92BDF">
        <w:rPr>
          <w:rFonts w:ascii="Times New Roman" w:eastAsia="TimesNewRoman" w:hAnsi="Times New Roman" w:cs="Times New Roman"/>
          <w:color w:val="000000" w:themeColor="text1"/>
          <w:sz w:val="24"/>
          <w:szCs w:val="24"/>
          <w:lang w:val="en-GB"/>
        </w:rPr>
        <w:t xml:space="preserve">. </w:t>
      </w:r>
      <w:proofErr w:type="gramStart"/>
      <w:r w:rsidRPr="00B92BDF">
        <w:rPr>
          <w:rFonts w:ascii="Times New Roman" w:eastAsia="TimesNewRoman" w:hAnsi="Times New Roman" w:cs="Times New Roman"/>
          <w:color w:val="000000" w:themeColor="text1"/>
          <w:sz w:val="24"/>
          <w:szCs w:val="24"/>
          <w:lang w:val="en-GB"/>
        </w:rPr>
        <w:t>A refinement to the Sharpe ratio and information ratio.</w:t>
      </w:r>
      <w:proofErr w:type="gramEnd"/>
      <w:r w:rsidRPr="00B92BDF">
        <w:rPr>
          <w:rFonts w:ascii="Times New Roman" w:eastAsia="TimesNewRoman" w:hAnsi="Times New Roman" w:cs="Times New Roman"/>
          <w:color w:val="000000" w:themeColor="text1"/>
          <w:sz w:val="24"/>
          <w:szCs w:val="24"/>
          <w:lang w:val="en-GB"/>
        </w:rPr>
        <w:t xml:space="preserve"> </w:t>
      </w:r>
      <w:r w:rsidR="00EA54F2" w:rsidRPr="00B92BDF">
        <w:rPr>
          <w:rFonts w:ascii="Times New Roman" w:eastAsia="TimesNewRoman" w:hAnsi="Times New Roman" w:cs="Times New Roman"/>
          <w:color w:val="000000" w:themeColor="text1"/>
          <w:sz w:val="24"/>
          <w:szCs w:val="24"/>
          <w:lang w:val="en-GB"/>
        </w:rPr>
        <w:t xml:space="preserve">Journal of Asset </w:t>
      </w:r>
      <w:r w:rsidRPr="00B92BDF">
        <w:rPr>
          <w:rFonts w:ascii="Times New Roman" w:eastAsia="TimesNewRoman" w:hAnsi="Times New Roman" w:cs="Times New Roman"/>
          <w:color w:val="000000" w:themeColor="text1"/>
          <w:sz w:val="24"/>
          <w:szCs w:val="24"/>
          <w:lang w:val="en-GB"/>
        </w:rPr>
        <w:t>Management, 5(6), 423-427.</w:t>
      </w:r>
    </w:p>
    <w:p w:rsidR="00A76009" w:rsidRPr="00B92BDF" w:rsidRDefault="00A76009" w:rsidP="00EA5EAB">
      <w:pPr>
        <w:spacing w:after="0" w:line="240" w:lineRule="auto"/>
        <w:ind w:left="567" w:hanging="567"/>
        <w:jc w:val="both"/>
        <w:rPr>
          <w:rFonts w:ascii="Times New Roman" w:hAnsi="Times New Roman" w:cs="Times New Roman"/>
          <w:color w:val="000000" w:themeColor="text1"/>
          <w:sz w:val="24"/>
          <w:szCs w:val="24"/>
        </w:rPr>
      </w:pPr>
      <w:proofErr w:type="spellStart"/>
      <w:r w:rsidRPr="00B92BDF">
        <w:rPr>
          <w:rFonts w:ascii="Times New Roman" w:eastAsia="Times New Roman" w:hAnsi="Times New Roman" w:cs="Times New Roman"/>
          <w:color w:val="000000" w:themeColor="text1"/>
          <w:sz w:val="24"/>
          <w:szCs w:val="24"/>
          <w:lang w:val="en-GB" w:eastAsia="ru-RU"/>
        </w:rPr>
        <w:t>Israelsen</w:t>
      </w:r>
      <w:proofErr w:type="spellEnd"/>
      <w:r w:rsidRPr="00B92BDF">
        <w:rPr>
          <w:rFonts w:ascii="Times New Roman" w:eastAsia="Times New Roman" w:hAnsi="Times New Roman" w:cs="Times New Roman"/>
          <w:color w:val="000000" w:themeColor="text1"/>
          <w:sz w:val="24"/>
          <w:szCs w:val="24"/>
          <w:lang w:val="en-GB" w:eastAsia="ru-RU"/>
        </w:rPr>
        <w:t>, C.</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2009</w:t>
      </w:r>
      <w:r w:rsidR="007D01C2"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Refining the Sharpe ratio.</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Journal of Performance Measurement</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13</w:t>
      </w:r>
      <w:r w:rsidRPr="00B92BDF">
        <w:rPr>
          <w:rFonts w:ascii="Times New Roman" w:eastAsia="Times New Roman" w:hAnsi="Times New Roman" w:cs="Times New Roman"/>
          <w:color w:val="000000" w:themeColor="text1"/>
          <w:sz w:val="24"/>
          <w:szCs w:val="24"/>
          <w:lang w:val="en-GB" w:eastAsia="ru-RU"/>
        </w:rPr>
        <w:t>(3), 23-27.</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Jarque, C.</w:t>
      </w:r>
      <w:proofErr w:type="gramStart"/>
      <w:r w:rsidR="007D01C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 xml:space="preserve"> </w:t>
      </w:r>
      <w:proofErr w:type="spellStart"/>
      <w:r w:rsidRPr="00B92BDF">
        <w:rPr>
          <w:rFonts w:ascii="Times New Roman" w:eastAsia="Times New Roman" w:hAnsi="Times New Roman" w:cs="Times New Roman"/>
          <w:color w:val="000000" w:themeColor="text1"/>
          <w:sz w:val="24"/>
          <w:szCs w:val="24"/>
          <w:lang w:val="en-GB" w:eastAsia="ru-RU"/>
        </w:rPr>
        <w:t>Bera</w:t>
      </w:r>
      <w:proofErr w:type="spellEnd"/>
      <w:proofErr w:type="gramEnd"/>
      <w:r w:rsidRPr="00B92BDF">
        <w:rPr>
          <w:rFonts w:ascii="Times New Roman" w:eastAsia="Times New Roman" w:hAnsi="Times New Roman" w:cs="Times New Roman"/>
          <w:color w:val="000000" w:themeColor="text1"/>
          <w:sz w:val="24"/>
          <w:szCs w:val="24"/>
          <w:lang w:val="en-GB" w:eastAsia="ru-RU"/>
        </w:rPr>
        <w:t>, A.</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1987</w:t>
      </w:r>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A test for normality of observations and regression residuals.</w:t>
      </w:r>
      <w:proofErr w:type="gramEnd"/>
      <w:r w:rsidRPr="00B92BDF">
        <w:rPr>
          <w:rFonts w:ascii="Times New Roman" w:eastAsia="Times New Roman" w:hAnsi="Times New Roman" w:cs="Times New Roman"/>
          <w:color w:val="000000" w:themeColor="text1"/>
          <w:sz w:val="24"/>
          <w:szCs w:val="24"/>
          <w:lang w:val="en-GB" w:eastAsia="ru-RU"/>
        </w:rPr>
        <w:t xml:space="preserve"> International Statistical Review, 55, 163–172.</w:t>
      </w:r>
    </w:p>
    <w:p w:rsidR="00A76009" w:rsidRPr="00B92BDF" w:rsidRDefault="00A76009" w:rsidP="00EA5EAB">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spellStart"/>
      <w:r w:rsidRPr="00B92BDF">
        <w:rPr>
          <w:rFonts w:ascii="Times New Roman" w:eastAsia="Times New Roman" w:hAnsi="Times New Roman" w:cs="Times New Roman"/>
          <w:color w:val="000000" w:themeColor="text1"/>
          <w:sz w:val="24"/>
          <w:szCs w:val="24"/>
          <w:lang w:val="en-GB" w:eastAsia="ru-RU"/>
        </w:rPr>
        <w:lastRenderedPageBreak/>
        <w:t>Joro</w:t>
      </w:r>
      <w:proofErr w:type="spellEnd"/>
      <w:r w:rsidRPr="00B92BDF">
        <w:rPr>
          <w:rFonts w:ascii="Times New Roman" w:eastAsia="Times New Roman" w:hAnsi="Times New Roman" w:cs="Times New Roman"/>
          <w:color w:val="000000" w:themeColor="text1"/>
          <w:sz w:val="24"/>
          <w:szCs w:val="24"/>
          <w:lang w:val="en-GB" w:eastAsia="ru-RU"/>
        </w:rPr>
        <w:t>, T.</w:t>
      </w:r>
      <w:proofErr w:type="gramStart"/>
      <w:r w:rsidRPr="00B92BDF">
        <w:rPr>
          <w:rFonts w:ascii="Times New Roman" w:eastAsia="Times New Roman" w:hAnsi="Times New Roman" w:cs="Times New Roman"/>
          <w:color w:val="000000" w:themeColor="text1"/>
          <w:sz w:val="24"/>
          <w:szCs w:val="24"/>
          <w:lang w:val="en-GB" w:eastAsia="ru-RU"/>
        </w:rPr>
        <w:t>,  Na</w:t>
      </w:r>
      <w:proofErr w:type="gramEnd"/>
      <w:r w:rsidRPr="00B92BDF">
        <w:rPr>
          <w:rFonts w:ascii="Times New Roman" w:eastAsia="Times New Roman" w:hAnsi="Times New Roman" w:cs="Times New Roman"/>
          <w:color w:val="000000" w:themeColor="text1"/>
          <w:sz w:val="24"/>
          <w:szCs w:val="24"/>
          <w:lang w:val="en-GB" w:eastAsia="ru-RU"/>
        </w:rPr>
        <w:t>, P.</w:t>
      </w:r>
      <w:r w:rsidR="00EA5EAB"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2006. </w:t>
      </w:r>
      <w:proofErr w:type="gramStart"/>
      <w:r w:rsidRPr="00B92BDF">
        <w:rPr>
          <w:rFonts w:ascii="Times New Roman" w:eastAsia="Times New Roman" w:hAnsi="Times New Roman" w:cs="Times New Roman"/>
          <w:color w:val="000000" w:themeColor="text1"/>
          <w:sz w:val="24"/>
          <w:szCs w:val="24"/>
          <w:lang w:val="en-GB" w:eastAsia="ru-RU"/>
        </w:rPr>
        <w:t>Portfolio performance evaluation in a mean–variance–skewness framework.</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European Journal of Operational Research</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175</w:t>
      </w:r>
      <w:r w:rsidRPr="00B92BDF">
        <w:rPr>
          <w:rFonts w:ascii="Times New Roman" w:eastAsia="Times New Roman" w:hAnsi="Times New Roman" w:cs="Times New Roman"/>
          <w:color w:val="000000" w:themeColor="text1"/>
          <w:sz w:val="24"/>
          <w:szCs w:val="24"/>
          <w:lang w:val="en-GB" w:eastAsia="ru-RU"/>
        </w:rPr>
        <w:t>(1), 446-461.</w:t>
      </w:r>
    </w:p>
    <w:p w:rsidR="00A76009" w:rsidRPr="00B92BDF" w:rsidRDefault="00A76009" w:rsidP="00EA5EAB">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sz w:val="24"/>
          <w:szCs w:val="24"/>
          <w:lang w:val="en-GB"/>
        </w:rPr>
      </w:pPr>
      <w:r w:rsidRPr="00B92BDF">
        <w:rPr>
          <w:rFonts w:ascii="Times New Roman" w:eastAsia="TimesNewRoman" w:hAnsi="Times New Roman" w:cs="Times New Roman"/>
          <w:color w:val="000000" w:themeColor="text1"/>
          <w:sz w:val="24"/>
          <w:szCs w:val="24"/>
          <w:lang w:val="en-GB"/>
        </w:rPr>
        <w:t xml:space="preserve">Kahneman, </w:t>
      </w:r>
      <w:r w:rsidR="007D01C2" w:rsidRPr="00B92BDF">
        <w:rPr>
          <w:rFonts w:ascii="Times New Roman" w:eastAsia="TimesNewRoman" w:hAnsi="Times New Roman" w:cs="Times New Roman"/>
          <w:color w:val="000000" w:themeColor="text1"/>
          <w:sz w:val="24"/>
          <w:szCs w:val="24"/>
          <w:lang w:val="en-GB"/>
        </w:rPr>
        <w:t>D.</w:t>
      </w:r>
      <w:proofErr w:type="gramStart"/>
      <w:r w:rsidR="007D01C2" w:rsidRPr="00B92BDF">
        <w:rPr>
          <w:rFonts w:ascii="Times New Roman" w:eastAsia="TimesNewRoman" w:hAnsi="Times New Roman" w:cs="Times New Roman"/>
          <w:color w:val="000000" w:themeColor="text1"/>
          <w:sz w:val="24"/>
          <w:szCs w:val="24"/>
          <w:lang w:val="en-GB"/>
        </w:rPr>
        <w:t xml:space="preserve">, </w:t>
      </w:r>
      <w:r w:rsidRPr="00B92BDF">
        <w:rPr>
          <w:rFonts w:ascii="Times New Roman" w:eastAsia="TimesNewRoman" w:hAnsi="Times New Roman" w:cs="Times New Roman"/>
          <w:color w:val="000000" w:themeColor="text1"/>
          <w:sz w:val="24"/>
          <w:szCs w:val="24"/>
          <w:lang w:val="en-GB"/>
        </w:rPr>
        <w:t xml:space="preserve"> </w:t>
      </w:r>
      <w:proofErr w:type="spellStart"/>
      <w:r w:rsidRPr="00B92BDF">
        <w:rPr>
          <w:rFonts w:ascii="Times New Roman" w:eastAsia="TimesNewRoman" w:hAnsi="Times New Roman" w:cs="Times New Roman"/>
          <w:color w:val="000000" w:themeColor="text1"/>
          <w:sz w:val="24"/>
          <w:szCs w:val="24"/>
          <w:lang w:val="en-GB"/>
        </w:rPr>
        <w:t>Tversky</w:t>
      </w:r>
      <w:proofErr w:type="spellEnd"/>
      <w:proofErr w:type="gramEnd"/>
      <w:r w:rsidRPr="00B92BDF">
        <w:rPr>
          <w:rFonts w:ascii="Times New Roman" w:eastAsia="TimesNewRoman" w:hAnsi="Times New Roman" w:cs="Times New Roman"/>
          <w:color w:val="000000" w:themeColor="text1"/>
          <w:sz w:val="24"/>
          <w:szCs w:val="24"/>
          <w:lang w:val="en-GB"/>
        </w:rPr>
        <w:t>, A.</w:t>
      </w:r>
      <w:r w:rsidR="00EA5EAB" w:rsidRPr="00B92BDF">
        <w:rPr>
          <w:rFonts w:ascii="Times New Roman" w:eastAsia="TimesNewRoman" w:hAnsi="Times New Roman" w:cs="Times New Roman"/>
          <w:color w:val="000000" w:themeColor="text1"/>
          <w:sz w:val="24"/>
          <w:szCs w:val="24"/>
          <w:lang w:val="en-GB"/>
        </w:rPr>
        <w:t>,</w:t>
      </w:r>
      <w:r w:rsidR="007D01C2" w:rsidRPr="00B92BDF">
        <w:rPr>
          <w:rFonts w:ascii="Times New Roman" w:eastAsia="TimesNewRoman" w:hAnsi="Times New Roman" w:cs="Times New Roman"/>
          <w:color w:val="000000" w:themeColor="text1"/>
          <w:sz w:val="24"/>
          <w:szCs w:val="24"/>
          <w:lang w:val="en-GB"/>
        </w:rPr>
        <w:t xml:space="preserve"> 1979</w:t>
      </w:r>
      <w:r w:rsidRPr="00B92BDF">
        <w:rPr>
          <w:rFonts w:ascii="Times New Roman" w:eastAsia="TimesNewRoman" w:hAnsi="Times New Roman" w:cs="Times New Roman"/>
          <w:color w:val="000000" w:themeColor="text1"/>
          <w:sz w:val="24"/>
          <w:szCs w:val="24"/>
          <w:lang w:val="en-GB"/>
        </w:rPr>
        <w:t>. Prospect theory: An analysis of decision under risk. Econometrica, 47(2), 263-291.</w:t>
      </w:r>
    </w:p>
    <w:p w:rsidR="00A76009" w:rsidRPr="00B92BDF" w:rsidRDefault="007D01C2" w:rsidP="00EA5EAB">
      <w:pPr>
        <w:spacing w:after="0" w:line="240" w:lineRule="auto"/>
        <w:ind w:left="567" w:hanging="567"/>
        <w:jc w:val="both"/>
        <w:rPr>
          <w:rFonts w:ascii="Times New Roman" w:eastAsia="TimesNewRoman" w:hAnsi="Times New Roman" w:cs="Times New Roman"/>
          <w:color w:val="000000" w:themeColor="text1"/>
          <w:sz w:val="24"/>
          <w:szCs w:val="24"/>
          <w:lang w:val="en-GB"/>
        </w:rPr>
      </w:pPr>
      <w:proofErr w:type="spellStart"/>
      <w:r w:rsidRPr="00B92BDF">
        <w:rPr>
          <w:rFonts w:ascii="Times New Roman" w:hAnsi="Times New Roman" w:cs="Times New Roman"/>
          <w:color w:val="000000" w:themeColor="text1"/>
          <w:sz w:val="24"/>
          <w:szCs w:val="24"/>
          <w:shd w:val="clear" w:color="auto" w:fill="FFFFFF"/>
        </w:rPr>
        <w:t>Koekebakker</w:t>
      </w:r>
      <w:proofErr w:type="spellEnd"/>
      <w:r w:rsidRPr="00B92BDF">
        <w:rPr>
          <w:rFonts w:ascii="Times New Roman" w:hAnsi="Times New Roman" w:cs="Times New Roman"/>
          <w:color w:val="000000" w:themeColor="text1"/>
          <w:sz w:val="24"/>
          <w:szCs w:val="24"/>
          <w:shd w:val="clear" w:color="auto" w:fill="FFFFFF"/>
        </w:rPr>
        <w:t>, S.</w:t>
      </w:r>
      <w:proofErr w:type="gramStart"/>
      <w:r w:rsidRPr="00B92BDF">
        <w:rPr>
          <w:rFonts w:ascii="Times New Roman" w:hAnsi="Times New Roman" w:cs="Times New Roman"/>
          <w:color w:val="000000" w:themeColor="text1"/>
          <w:sz w:val="24"/>
          <w:szCs w:val="24"/>
          <w:shd w:val="clear" w:color="auto" w:fill="FFFFFF"/>
        </w:rPr>
        <w:t xml:space="preserve">, </w:t>
      </w:r>
      <w:r w:rsidR="00A76009" w:rsidRPr="00B92BDF">
        <w:rPr>
          <w:rFonts w:ascii="Times New Roman" w:hAnsi="Times New Roman" w:cs="Times New Roman"/>
          <w:color w:val="000000" w:themeColor="text1"/>
          <w:sz w:val="24"/>
          <w:szCs w:val="24"/>
          <w:shd w:val="clear" w:color="auto" w:fill="FFFFFF"/>
        </w:rPr>
        <w:t xml:space="preserve"> </w:t>
      </w:r>
      <w:proofErr w:type="spellStart"/>
      <w:r w:rsidR="00A76009" w:rsidRPr="00B92BDF">
        <w:rPr>
          <w:rFonts w:ascii="Times New Roman" w:hAnsi="Times New Roman" w:cs="Times New Roman"/>
          <w:color w:val="000000" w:themeColor="text1"/>
          <w:sz w:val="24"/>
          <w:szCs w:val="24"/>
          <w:shd w:val="clear" w:color="auto" w:fill="FFFFFF"/>
        </w:rPr>
        <w:t>Zakamouline</w:t>
      </w:r>
      <w:proofErr w:type="spellEnd"/>
      <w:proofErr w:type="gramEnd"/>
      <w:r w:rsidR="00A76009" w:rsidRPr="00B92BDF">
        <w:rPr>
          <w:rFonts w:ascii="Times New Roman" w:hAnsi="Times New Roman" w:cs="Times New Roman"/>
          <w:color w:val="000000" w:themeColor="text1"/>
          <w:sz w:val="24"/>
          <w:szCs w:val="24"/>
          <w:shd w:val="clear" w:color="auto" w:fill="FFFFFF"/>
        </w:rPr>
        <w:t>, V.</w:t>
      </w:r>
      <w:r w:rsidR="00EA5EAB" w:rsidRPr="00B92BDF">
        <w:rPr>
          <w:rFonts w:ascii="Times New Roman" w:hAnsi="Times New Roman" w:cs="Times New Roman"/>
          <w:color w:val="000000" w:themeColor="text1"/>
          <w:sz w:val="24"/>
          <w:szCs w:val="24"/>
          <w:shd w:val="clear" w:color="auto" w:fill="FFFFFF"/>
        </w:rPr>
        <w:t>,</w:t>
      </w:r>
      <w:r w:rsidRPr="00B92BDF">
        <w:rPr>
          <w:rFonts w:ascii="Times New Roman" w:hAnsi="Times New Roman" w:cs="Times New Roman"/>
          <w:color w:val="000000" w:themeColor="text1"/>
          <w:sz w:val="24"/>
          <w:szCs w:val="24"/>
          <w:shd w:val="clear" w:color="auto" w:fill="FFFFFF"/>
        </w:rPr>
        <w:t xml:space="preserve"> 2008</w:t>
      </w:r>
      <w:r w:rsidR="00A76009" w:rsidRPr="00B92BDF">
        <w:rPr>
          <w:rFonts w:ascii="Times New Roman" w:hAnsi="Times New Roman" w:cs="Times New Roman"/>
          <w:color w:val="000000" w:themeColor="text1"/>
          <w:sz w:val="24"/>
          <w:szCs w:val="24"/>
          <w:shd w:val="clear" w:color="auto" w:fill="FFFFFF"/>
        </w:rPr>
        <w:t xml:space="preserve">. </w:t>
      </w:r>
      <w:proofErr w:type="gramStart"/>
      <w:r w:rsidR="00A76009" w:rsidRPr="00B92BDF">
        <w:rPr>
          <w:rFonts w:ascii="Times New Roman" w:hAnsi="Times New Roman" w:cs="Times New Roman"/>
          <w:color w:val="000000" w:themeColor="text1"/>
          <w:sz w:val="24"/>
          <w:szCs w:val="24"/>
          <w:shd w:val="clear" w:color="auto" w:fill="FFFFFF"/>
        </w:rPr>
        <w:t>Analysis of financial decision making with loss aversion.</w:t>
      </w:r>
      <w:proofErr w:type="gramEnd"/>
      <w:r w:rsidR="00A76009" w:rsidRPr="00B92BDF">
        <w:rPr>
          <w:rFonts w:ascii="Times New Roman" w:hAnsi="Times New Roman" w:cs="Times New Roman"/>
          <w:color w:val="000000" w:themeColor="text1"/>
          <w:sz w:val="24"/>
          <w:szCs w:val="24"/>
          <w:shd w:val="clear" w:color="auto" w:fill="FFFFFF"/>
        </w:rPr>
        <w:t xml:space="preserve"> </w:t>
      </w:r>
      <w:proofErr w:type="gramStart"/>
      <w:r w:rsidR="00A76009" w:rsidRPr="00B92BDF">
        <w:rPr>
          <w:rFonts w:ascii="Times New Roman" w:hAnsi="Times New Roman" w:cs="Times New Roman"/>
          <w:iCs/>
          <w:color w:val="000000" w:themeColor="text1"/>
          <w:sz w:val="24"/>
          <w:szCs w:val="24"/>
          <w:shd w:val="clear" w:color="auto" w:fill="FFFFFF"/>
          <w:lang w:val="en-GB"/>
        </w:rPr>
        <w:t>European Financial Management Association Annual Meeting, Athens</w:t>
      </w:r>
      <w:r w:rsidR="00A76009" w:rsidRPr="00B92BDF">
        <w:rPr>
          <w:rFonts w:ascii="Times New Roman" w:hAnsi="Times New Roman" w:cs="Times New Roman"/>
          <w:color w:val="000000" w:themeColor="text1"/>
          <w:sz w:val="24"/>
          <w:szCs w:val="24"/>
          <w:shd w:val="clear" w:color="auto" w:fill="FFFFFF"/>
          <w:lang w:val="en-GB"/>
        </w:rPr>
        <w:t>.</w:t>
      </w:r>
      <w:proofErr w:type="gramEnd"/>
      <w:r w:rsidR="00A76009" w:rsidRPr="00B92BDF">
        <w:rPr>
          <w:rFonts w:ascii="Times New Roman" w:eastAsia="TimesNewRoman" w:hAnsi="Times New Roman" w:cs="Times New Roman"/>
          <w:color w:val="000000" w:themeColor="text1"/>
          <w:sz w:val="24"/>
          <w:szCs w:val="24"/>
          <w:lang w:val="en-GB"/>
        </w:rPr>
        <w:t xml:space="preserve"> </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spellStart"/>
      <w:r w:rsidRPr="00B92BDF">
        <w:rPr>
          <w:rFonts w:ascii="Times New Roman" w:eastAsia="Times New Roman" w:hAnsi="Times New Roman" w:cs="Times New Roman"/>
          <w:color w:val="000000" w:themeColor="text1"/>
          <w:sz w:val="24"/>
          <w:szCs w:val="24"/>
          <w:lang w:val="en-GB" w:eastAsia="ru-RU"/>
        </w:rPr>
        <w:t>Kourtis</w:t>
      </w:r>
      <w:proofErr w:type="spellEnd"/>
      <w:r w:rsidRPr="00B92BDF">
        <w:rPr>
          <w:rFonts w:ascii="Times New Roman" w:eastAsia="Times New Roman" w:hAnsi="Times New Roman" w:cs="Times New Roman"/>
          <w:color w:val="000000" w:themeColor="text1"/>
          <w:sz w:val="24"/>
          <w:szCs w:val="24"/>
          <w:lang w:val="en-GB" w:eastAsia="ru-RU"/>
        </w:rPr>
        <w:t>, A.</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2016</w:t>
      </w:r>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The Sharpe ratio of estimated efficient portfolios.</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Finance Research Letters</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17</w:t>
      </w:r>
      <w:r w:rsidRPr="00B92BDF">
        <w:rPr>
          <w:rFonts w:ascii="Times New Roman" w:eastAsia="Times New Roman" w:hAnsi="Times New Roman" w:cs="Times New Roman"/>
          <w:color w:val="000000" w:themeColor="text1"/>
          <w:sz w:val="24"/>
          <w:szCs w:val="24"/>
          <w:lang w:val="en-GB" w:eastAsia="ru-RU"/>
        </w:rPr>
        <w:t>, 72-78.</w:t>
      </w:r>
    </w:p>
    <w:p w:rsidR="00A76009" w:rsidRPr="00B92BDF" w:rsidRDefault="00A76009" w:rsidP="00EA5EAB">
      <w:pPr>
        <w:spacing w:after="0" w:line="240" w:lineRule="auto"/>
        <w:ind w:left="567" w:hanging="567"/>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 xml:space="preserve">Kwiatkowski, D., Phillips, P., Schmidt, </w:t>
      </w:r>
      <w:r w:rsidR="007D01C2" w:rsidRPr="00B92BDF">
        <w:rPr>
          <w:rFonts w:ascii="Times New Roman" w:hAnsi="Times New Roman" w:cs="Times New Roman"/>
          <w:color w:val="000000" w:themeColor="text1"/>
          <w:sz w:val="24"/>
          <w:szCs w:val="24"/>
          <w:lang w:val="en-GB"/>
        </w:rPr>
        <w:t>P.</w:t>
      </w:r>
      <w:proofErr w:type="gramStart"/>
      <w:r w:rsidR="007D01C2"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 xml:space="preserve"> Shin</w:t>
      </w:r>
      <w:proofErr w:type="gramEnd"/>
      <w:r w:rsidRPr="00B92BDF">
        <w:rPr>
          <w:rFonts w:ascii="Times New Roman" w:hAnsi="Times New Roman" w:cs="Times New Roman"/>
          <w:color w:val="000000" w:themeColor="text1"/>
          <w:sz w:val="24"/>
          <w:szCs w:val="24"/>
          <w:lang w:val="en-GB"/>
        </w:rPr>
        <w:t>, Y.</w:t>
      </w:r>
      <w:r w:rsidR="00EA5EAB" w:rsidRPr="00B92BDF">
        <w:rPr>
          <w:rFonts w:ascii="Times New Roman" w:hAnsi="Times New Roman" w:cs="Times New Roman"/>
          <w:color w:val="000000" w:themeColor="text1"/>
          <w:sz w:val="24"/>
          <w:szCs w:val="24"/>
          <w:lang w:val="en-GB"/>
        </w:rPr>
        <w:t>,</w:t>
      </w:r>
      <w:r w:rsidR="007D01C2" w:rsidRPr="00B92BDF">
        <w:rPr>
          <w:rFonts w:ascii="Times New Roman" w:hAnsi="Times New Roman" w:cs="Times New Roman"/>
          <w:color w:val="000000" w:themeColor="text1"/>
          <w:sz w:val="24"/>
          <w:szCs w:val="24"/>
          <w:lang w:val="en-GB"/>
        </w:rPr>
        <w:t xml:space="preserve"> 1992</w:t>
      </w:r>
      <w:r w:rsidRPr="00B92BDF">
        <w:rPr>
          <w:rFonts w:ascii="Times New Roman" w:hAnsi="Times New Roman" w:cs="Times New Roman"/>
          <w:color w:val="000000" w:themeColor="text1"/>
          <w:sz w:val="24"/>
          <w:szCs w:val="24"/>
          <w:lang w:val="en-GB"/>
        </w:rPr>
        <w:t xml:space="preserve">. </w:t>
      </w:r>
      <w:proofErr w:type="gramStart"/>
      <w:r w:rsidRPr="00B92BDF">
        <w:rPr>
          <w:rFonts w:ascii="Times New Roman" w:hAnsi="Times New Roman" w:cs="Times New Roman"/>
          <w:color w:val="000000" w:themeColor="text1"/>
          <w:sz w:val="24"/>
          <w:szCs w:val="24"/>
          <w:lang w:val="en-GB"/>
        </w:rPr>
        <w:t>Testing the null hypothesis of stationarity against the alternative of a unit root.</w:t>
      </w:r>
      <w:proofErr w:type="gramEnd"/>
      <w:r w:rsidRPr="00B92BDF">
        <w:rPr>
          <w:rFonts w:ascii="Times New Roman" w:hAnsi="Times New Roman" w:cs="Times New Roman"/>
          <w:color w:val="000000" w:themeColor="text1"/>
          <w:sz w:val="24"/>
          <w:szCs w:val="24"/>
          <w:lang w:val="en-GB"/>
        </w:rPr>
        <w:t xml:space="preserve"> </w:t>
      </w:r>
      <w:r w:rsidRPr="00B92BDF">
        <w:rPr>
          <w:rStyle w:val="Emphasis"/>
          <w:rFonts w:ascii="Times New Roman" w:hAnsi="Times New Roman" w:cs="Times New Roman"/>
          <w:i w:val="0"/>
          <w:color w:val="000000" w:themeColor="text1"/>
          <w:sz w:val="24"/>
          <w:szCs w:val="24"/>
          <w:lang w:val="en-GB"/>
        </w:rPr>
        <w:t xml:space="preserve">Journal of Econometrics, 54, </w:t>
      </w:r>
      <w:r w:rsidRPr="00B92BDF">
        <w:rPr>
          <w:rFonts w:ascii="Times New Roman" w:hAnsi="Times New Roman" w:cs="Times New Roman"/>
          <w:color w:val="000000" w:themeColor="text1"/>
          <w:sz w:val="24"/>
          <w:szCs w:val="24"/>
          <w:lang w:val="en-GB"/>
        </w:rPr>
        <w:t>159-178.</w:t>
      </w:r>
    </w:p>
    <w:p w:rsidR="00A76009" w:rsidRPr="00B92BDF" w:rsidRDefault="00A76009" w:rsidP="00EA5EAB">
      <w:pPr>
        <w:spacing w:after="0" w:line="240" w:lineRule="auto"/>
        <w:ind w:left="567" w:hanging="567"/>
        <w:jc w:val="both"/>
        <w:rPr>
          <w:rFonts w:ascii="Times New Roman" w:hAnsi="Times New Roman" w:cs="Times New Roman"/>
          <w:color w:val="000000" w:themeColor="text1"/>
          <w:sz w:val="24"/>
          <w:szCs w:val="24"/>
          <w:shd w:val="clear" w:color="auto" w:fill="FFFFFF"/>
        </w:rPr>
      </w:pPr>
      <w:proofErr w:type="spellStart"/>
      <w:r w:rsidRPr="00B92BDF">
        <w:rPr>
          <w:rFonts w:ascii="Times New Roman" w:hAnsi="Times New Roman" w:cs="Times New Roman"/>
          <w:color w:val="000000" w:themeColor="text1"/>
          <w:sz w:val="24"/>
          <w:szCs w:val="24"/>
          <w:shd w:val="clear" w:color="auto" w:fill="FFFFFF"/>
        </w:rPr>
        <w:t>Lamm</w:t>
      </w:r>
      <w:proofErr w:type="spellEnd"/>
      <w:r w:rsidRPr="00B92BDF">
        <w:rPr>
          <w:rFonts w:ascii="Times New Roman" w:hAnsi="Times New Roman" w:cs="Times New Roman"/>
          <w:color w:val="000000" w:themeColor="text1"/>
          <w:sz w:val="24"/>
          <w:szCs w:val="24"/>
          <w:shd w:val="clear" w:color="auto" w:fill="FFFFFF"/>
        </w:rPr>
        <w:t>, R.</w:t>
      </w:r>
      <w:r w:rsidR="00EA5EAB" w:rsidRPr="00B92BDF">
        <w:rPr>
          <w:rFonts w:ascii="Times New Roman" w:hAnsi="Times New Roman" w:cs="Times New Roman"/>
          <w:color w:val="000000" w:themeColor="text1"/>
          <w:sz w:val="24"/>
          <w:szCs w:val="24"/>
          <w:shd w:val="clear" w:color="auto" w:fill="FFFFFF"/>
        </w:rPr>
        <w:t>,</w:t>
      </w:r>
      <w:r w:rsidRPr="00B92BDF">
        <w:rPr>
          <w:rFonts w:ascii="Times New Roman" w:hAnsi="Times New Roman" w:cs="Times New Roman"/>
          <w:color w:val="000000" w:themeColor="text1"/>
          <w:sz w:val="24"/>
          <w:szCs w:val="24"/>
          <w:shd w:val="clear" w:color="auto" w:fill="FFFFFF"/>
        </w:rPr>
        <w:t xml:space="preserve"> 20</w:t>
      </w:r>
      <w:r w:rsidR="007D01C2" w:rsidRPr="00B92BDF">
        <w:rPr>
          <w:rFonts w:ascii="Times New Roman" w:hAnsi="Times New Roman" w:cs="Times New Roman"/>
          <w:color w:val="000000" w:themeColor="text1"/>
          <w:sz w:val="24"/>
          <w:szCs w:val="24"/>
          <w:shd w:val="clear" w:color="auto" w:fill="FFFFFF"/>
        </w:rPr>
        <w:t>03</w:t>
      </w:r>
      <w:r w:rsidRPr="00B92BDF">
        <w:rPr>
          <w:rFonts w:ascii="Times New Roman" w:hAnsi="Times New Roman" w:cs="Times New Roman"/>
          <w:color w:val="000000" w:themeColor="text1"/>
          <w:sz w:val="24"/>
          <w:szCs w:val="24"/>
          <w:shd w:val="clear" w:color="auto" w:fill="FFFFFF"/>
        </w:rPr>
        <w:t xml:space="preserve">. </w:t>
      </w:r>
      <w:proofErr w:type="gramStart"/>
      <w:r w:rsidRPr="00B92BDF">
        <w:rPr>
          <w:rFonts w:ascii="Times New Roman" w:hAnsi="Times New Roman" w:cs="Times New Roman"/>
          <w:color w:val="000000" w:themeColor="text1"/>
          <w:sz w:val="24"/>
          <w:szCs w:val="24"/>
          <w:shd w:val="clear" w:color="auto" w:fill="FFFFFF"/>
        </w:rPr>
        <w:t>Asymmetric returns and optimal hedge fund portfolios.</w:t>
      </w:r>
      <w:proofErr w:type="gramEnd"/>
      <w:r w:rsidRPr="00B92BDF">
        <w:rPr>
          <w:rFonts w:ascii="Times New Roman" w:hAnsi="Times New Roman" w:cs="Times New Roman"/>
          <w:color w:val="000000" w:themeColor="text1"/>
          <w:sz w:val="24"/>
          <w:szCs w:val="24"/>
          <w:shd w:val="clear" w:color="auto" w:fill="FFFFFF"/>
        </w:rPr>
        <w:t> </w:t>
      </w:r>
      <w:r w:rsidRPr="00B92BDF">
        <w:rPr>
          <w:rFonts w:ascii="Times New Roman" w:hAnsi="Times New Roman" w:cs="Times New Roman"/>
          <w:iCs/>
          <w:color w:val="000000" w:themeColor="text1"/>
          <w:sz w:val="24"/>
          <w:szCs w:val="24"/>
          <w:shd w:val="clear" w:color="auto" w:fill="FFFFFF"/>
        </w:rPr>
        <w:t>Journal of Alternative Investments</w:t>
      </w:r>
      <w:r w:rsidRPr="00B92BDF">
        <w:rPr>
          <w:rFonts w:ascii="Times New Roman" w:hAnsi="Times New Roman" w:cs="Times New Roman"/>
          <w:color w:val="000000" w:themeColor="text1"/>
          <w:sz w:val="24"/>
          <w:szCs w:val="24"/>
          <w:shd w:val="clear" w:color="auto" w:fill="FFFFFF"/>
        </w:rPr>
        <w:t>, </w:t>
      </w:r>
      <w:r w:rsidRPr="00B92BDF">
        <w:rPr>
          <w:rFonts w:ascii="Times New Roman" w:hAnsi="Times New Roman" w:cs="Times New Roman"/>
          <w:iCs/>
          <w:color w:val="000000" w:themeColor="text1"/>
          <w:sz w:val="24"/>
          <w:szCs w:val="24"/>
          <w:shd w:val="clear" w:color="auto" w:fill="FFFFFF"/>
        </w:rPr>
        <w:t>6</w:t>
      </w:r>
      <w:r w:rsidRPr="00B92BDF">
        <w:rPr>
          <w:rFonts w:ascii="Times New Roman" w:hAnsi="Times New Roman" w:cs="Times New Roman"/>
          <w:color w:val="000000" w:themeColor="text1"/>
          <w:sz w:val="24"/>
          <w:szCs w:val="24"/>
          <w:shd w:val="clear" w:color="auto" w:fill="FFFFFF"/>
        </w:rPr>
        <w:t>, 9-21.</w:t>
      </w:r>
    </w:p>
    <w:p w:rsidR="00A76009" w:rsidRPr="00B92BDF" w:rsidRDefault="00A76009" w:rsidP="00EA5EAB">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sz w:val="24"/>
          <w:szCs w:val="24"/>
          <w:lang w:val="en-GB"/>
        </w:rPr>
      </w:pPr>
      <w:r w:rsidRPr="00B92BDF">
        <w:rPr>
          <w:rFonts w:ascii="Times New Roman" w:eastAsia="TimesNewRoman" w:hAnsi="Times New Roman" w:cs="Times New Roman"/>
          <w:color w:val="000000" w:themeColor="text1"/>
          <w:sz w:val="24"/>
          <w:szCs w:val="24"/>
          <w:lang w:val="en-GB"/>
        </w:rPr>
        <w:t>Leland, H.</w:t>
      </w:r>
      <w:r w:rsidR="00EA5EAB" w:rsidRPr="00B92BDF">
        <w:rPr>
          <w:rFonts w:ascii="Times New Roman" w:eastAsia="TimesNewRoman" w:hAnsi="Times New Roman" w:cs="Times New Roman"/>
          <w:color w:val="000000" w:themeColor="text1"/>
          <w:sz w:val="24"/>
          <w:szCs w:val="24"/>
          <w:lang w:val="en-GB"/>
        </w:rPr>
        <w:t>,</w:t>
      </w:r>
      <w:r w:rsidRPr="00B92BDF">
        <w:rPr>
          <w:rFonts w:ascii="Times New Roman" w:eastAsia="TimesNewRoman" w:hAnsi="Times New Roman" w:cs="Times New Roman"/>
          <w:color w:val="000000" w:themeColor="text1"/>
          <w:sz w:val="24"/>
          <w:szCs w:val="24"/>
          <w:lang w:val="en-GB"/>
        </w:rPr>
        <w:t xml:space="preserve"> </w:t>
      </w:r>
      <w:r w:rsidR="007D01C2" w:rsidRPr="00B92BDF">
        <w:rPr>
          <w:rFonts w:ascii="Times New Roman" w:eastAsia="TimesNewRoman" w:hAnsi="Times New Roman" w:cs="Times New Roman"/>
          <w:color w:val="000000" w:themeColor="text1"/>
          <w:sz w:val="24"/>
          <w:szCs w:val="24"/>
          <w:lang w:val="en-GB"/>
        </w:rPr>
        <w:t>1999</w:t>
      </w:r>
      <w:r w:rsidRPr="00B92BDF">
        <w:rPr>
          <w:rFonts w:ascii="Times New Roman" w:eastAsia="TimesNewRoman" w:hAnsi="Times New Roman" w:cs="Times New Roman"/>
          <w:color w:val="000000" w:themeColor="text1"/>
          <w:sz w:val="24"/>
          <w:szCs w:val="24"/>
          <w:lang w:val="en-GB"/>
        </w:rPr>
        <w:t>. Beyond mean-variance: Performance measurement in a non-symmetrical world. Financial Analysts Journal, 55(1), 27-36.</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Lo, A.</w:t>
      </w:r>
      <w:proofErr w:type="gramStart"/>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2002</w:t>
      </w:r>
      <w:proofErr w:type="gramEnd"/>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The statistics of Sharpe ratios.</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Financial Analysts Journal</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58</w:t>
      </w:r>
      <w:r w:rsidRPr="00B92BDF">
        <w:rPr>
          <w:rFonts w:ascii="Times New Roman" w:eastAsia="Times New Roman" w:hAnsi="Times New Roman" w:cs="Times New Roman"/>
          <w:color w:val="000000" w:themeColor="text1"/>
          <w:sz w:val="24"/>
          <w:szCs w:val="24"/>
          <w:lang w:val="en-GB" w:eastAsia="ru-RU"/>
        </w:rPr>
        <w:t>(4), 36-52.</w:t>
      </w:r>
    </w:p>
    <w:p w:rsidR="00A76009" w:rsidRPr="00B92BDF" w:rsidRDefault="00A76009" w:rsidP="00EA5EAB">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sz w:val="24"/>
          <w:szCs w:val="24"/>
          <w:lang w:val="en-GB"/>
        </w:rPr>
      </w:pPr>
      <w:proofErr w:type="spellStart"/>
      <w:proofErr w:type="gramStart"/>
      <w:r w:rsidRPr="00B92BDF">
        <w:rPr>
          <w:rFonts w:ascii="Times New Roman" w:eastAsia="TimesNewRoman" w:hAnsi="Times New Roman" w:cs="Times New Roman"/>
          <w:color w:val="000000" w:themeColor="text1"/>
          <w:sz w:val="24"/>
          <w:szCs w:val="24"/>
          <w:lang w:val="en-GB"/>
        </w:rPr>
        <w:t>Mahdavi</w:t>
      </w:r>
      <w:proofErr w:type="spellEnd"/>
      <w:r w:rsidRPr="00B92BDF">
        <w:rPr>
          <w:rFonts w:ascii="Times New Roman" w:eastAsia="TimesNewRoman" w:hAnsi="Times New Roman" w:cs="Times New Roman"/>
          <w:color w:val="000000" w:themeColor="text1"/>
          <w:sz w:val="24"/>
          <w:szCs w:val="24"/>
          <w:lang w:val="en-GB"/>
        </w:rPr>
        <w:t>, M.</w:t>
      </w:r>
      <w:r w:rsidR="00EA5EAB" w:rsidRPr="00B92BDF">
        <w:rPr>
          <w:rFonts w:ascii="Times New Roman" w:eastAsia="TimesNewRoman" w:hAnsi="Times New Roman" w:cs="Times New Roman"/>
          <w:color w:val="000000" w:themeColor="text1"/>
          <w:sz w:val="24"/>
          <w:szCs w:val="24"/>
          <w:lang w:val="en-GB"/>
        </w:rPr>
        <w:t>,</w:t>
      </w:r>
      <w:r w:rsidRPr="00B92BDF">
        <w:rPr>
          <w:rFonts w:ascii="Times New Roman" w:eastAsia="TimesNewRoman" w:hAnsi="Times New Roman" w:cs="Times New Roman"/>
          <w:color w:val="000000" w:themeColor="text1"/>
          <w:sz w:val="24"/>
          <w:szCs w:val="24"/>
          <w:lang w:val="en-GB"/>
        </w:rPr>
        <w:t xml:space="preserve"> </w:t>
      </w:r>
      <w:r w:rsidR="007D01C2" w:rsidRPr="00B92BDF">
        <w:rPr>
          <w:rFonts w:ascii="Times New Roman" w:eastAsia="TimesNewRoman" w:hAnsi="Times New Roman" w:cs="Times New Roman"/>
          <w:color w:val="000000" w:themeColor="text1"/>
          <w:sz w:val="24"/>
          <w:szCs w:val="24"/>
          <w:lang w:val="en-GB"/>
        </w:rPr>
        <w:t>2004</w:t>
      </w:r>
      <w:r w:rsidRPr="00B92BDF">
        <w:rPr>
          <w:rFonts w:ascii="Times New Roman" w:eastAsia="TimesNewRoman" w:hAnsi="Times New Roman" w:cs="Times New Roman"/>
          <w:color w:val="000000" w:themeColor="text1"/>
          <w:sz w:val="24"/>
          <w:szCs w:val="24"/>
          <w:lang w:val="en-GB"/>
        </w:rPr>
        <w:t>.</w:t>
      </w:r>
      <w:proofErr w:type="gramEnd"/>
      <w:r w:rsidRPr="00B92BDF">
        <w:rPr>
          <w:rFonts w:ascii="Times New Roman" w:eastAsia="TimesNewRoman" w:hAnsi="Times New Roman" w:cs="Times New Roman"/>
          <w:color w:val="000000" w:themeColor="text1"/>
          <w:sz w:val="24"/>
          <w:szCs w:val="24"/>
          <w:lang w:val="en-GB"/>
        </w:rPr>
        <w:t xml:space="preserve"> Risk-adjusted return when returns are not normally distributed: Adjusted Sharpe ratio. Journal of Alternative Investments, 6(4), 47-57.</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Maller, R., Durand, R.</w:t>
      </w:r>
      <w:proofErr w:type="gramStart"/>
      <w:r w:rsidRPr="00B92BDF">
        <w:rPr>
          <w:rFonts w:ascii="Times New Roman" w:eastAsia="Times New Roman" w:hAnsi="Times New Roman" w:cs="Times New Roman"/>
          <w:color w:val="000000" w:themeColor="text1"/>
          <w:sz w:val="24"/>
          <w:szCs w:val="24"/>
          <w:lang w:val="en-GB" w:eastAsia="ru-RU"/>
        </w:rPr>
        <w:t xml:space="preserve">,  </w:t>
      </w:r>
      <w:proofErr w:type="spellStart"/>
      <w:r w:rsidRPr="00B92BDF">
        <w:rPr>
          <w:rFonts w:ascii="Times New Roman" w:eastAsia="Times New Roman" w:hAnsi="Times New Roman" w:cs="Times New Roman"/>
          <w:color w:val="000000" w:themeColor="text1"/>
          <w:sz w:val="24"/>
          <w:szCs w:val="24"/>
          <w:lang w:val="en-GB" w:eastAsia="ru-RU"/>
        </w:rPr>
        <w:t>Jafarpour</w:t>
      </w:r>
      <w:proofErr w:type="spellEnd"/>
      <w:proofErr w:type="gramEnd"/>
      <w:r w:rsidRPr="00B92BDF">
        <w:rPr>
          <w:rFonts w:ascii="Times New Roman" w:eastAsia="Times New Roman" w:hAnsi="Times New Roman" w:cs="Times New Roman"/>
          <w:color w:val="000000" w:themeColor="text1"/>
          <w:sz w:val="24"/>
          <w:szCs w:val="24"/>
          <w:lang w:val="en-GB" w:eastAsia="ru-RU"/>
        </w:rPr>
        <w:t>, H.</w:t>
      </w:r>
      <w:r w:rsidR="00EA5EAB" w:rsidRPr="00B92BDF">
        <w:rPr>
          <w:rFonts w:ascii="Times New Roman" w:eastAsia="Times New Roman" w:hAnsi="Times New Roman" w:cs="Times New Roman"/>
          <w:color w:val="000000" w:themeColor="text1"/>
          <w:sz w:val="24"/>
          <w:szCs w:val="24"/>
          <w:lang w:val="en-GB" w:eastAsia="ru-RU"/>
        </w:rPr>
        <w:t>,</w:t>
      </w:r>
      <w:r w:rsidR="007D01C2" w:rsidRPr="00B92BDF">
        <w:rPr>
          <w:rFonts w:ascii="Times New Roman" w:eastAsia="Times New Roman" w:hAnsi="Times New Roman" w:cs="Times New Roman"/>
          <w:color w:val="000000" w:themeColor="text1"/>
          <w:sz w:val="24"/>
          <w:szCs w:val="24"/>
          <w:lang w:val="en-GB" w:eastAsia="ru-RU"/>
        </w:rPr>
        <w:t xml:space="preserve"> 2010</w:t>
      </w:r>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Optimal portfolio choice using the maximum Sharpe ratio.</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The Journal of Risk</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12</w:t>
      </w:r>
      <w:r w:rsidRPr="00B92BDF">
        <w:rPr>
          <w:rFonts w:ascii="Times New Roman" w:eastAsia="Times New Roman" w:hAnsi="Times New Roman" w:cs="Times New Roman"/>
          <w:color w:val="000000" w:themeColor="text1"/>
          <w:sz w:val="24"/>
          <w:szCs w:val="24"/>
          <w:lang w:val="en-GB" w:eastAsia="ru-RU"/>
        </w:rPr>
        <w:t xml:space="preserve">(4), </w:t>
      </w:r>
      <w:r w:rsidR="00301CEC" w:rsidRPr="00B92BDF">
        <w:rPr>
          <w:rFonts w:ascii="Times New Roman" w:eastAsia="Times New Roman" w:hAnsi="Times New Roman" w:cs="Times New Roman"/>
          <w:color w:val="000000" w:themeColor="text1"/>
          <w:sz w:val="24"/>
          <w:szCs w:val="24"/>
          <w:lang w:val="en-GB" w:eastAsia="ru-RU"/>
        </w:rPr>
        <w:t>49-73</w:t>
      </w:r>
      <w:r w:rsidRPr="00B92BDF">
        <w:rPr>
          <w:rFonts w:ascii="Times New Roman" w:eastAsia="Times New Roman" w:hAnsi="Times New Roman" w:cs="Times New Roman"/>
          <w:color w:val="000000" w:themeColor="text1"/>
          <w:sz w:val="24"/>
          <w:szCs w:val="24"/>
          <w:lang w:val="en-GB" w:eastAsia="ru-RU"/>
        </w:rPr>
        <w:t>.</w:t>
      </w:r>
    </w:p>
    <w:p w:rsidR="00A76009" w:rsidRPr="00B92BDF" w:rsidRDefault="00A76009" w:rsidP="00EA5EAB">
      <w:pPr>
        <w:spacing w:after="0" w:line="240" w:lineRule="auto"/>
        <w:ind w:left="567" w:hanging="567"/>
        <w:jc w:val="both"/>
        <w:rPr>
          <w:rFonts w:ascii="Times New Roman" w:hAnsi="Times New Roman" w:cs="Times New Roman"/>
          <w:color w:val="000000" w:themeColor="text1"/>
          <w:sz w:val="24"/>
          <w:szCs w:val="24"/>
          <w:shd w:val="clear" w:color="auto" w:fill="FFFFFF"/>
        </w:rPr>
      </w:pPr>
      <w:proofErr w:type="spellStart"/>
      <w:r w:rsidRPr="00B92BDF">
        <w:rPr>
          <w:rFonts w:ascii="Times New Roman" w:hAnsi="Times New Roman" w:cs="Times New Roman"/>
          <w:color w:val="000000" w:themeColor="text1"/>
          <w:sz w:val="24"/>
          <w:szCs w:val="24"/>
          <w:shd w:val="clear" w:color="auto" w:fill="FFFFFF"/>
        </w:rPr>
        <w:t>Memmel</w:t>
      </w:r>
      <w:proofErr w:type="spellEnd"/>
      <w:r w:rsidRPr="00B92BDF">
        <w:rPr>
          <w:rFonts w:ascii="Times New Roman" w:hAnsi="Times New Roman" w:cs="Times New Roman"/>
          <w:color w:val="000000" w:themeColor="text1"/>
          <w:sz w:val="24"/>
          <w:szCs w:val="24"/>
          <w:shd w:val="clear" w:color="auto" w:fill="FFFFFF"/>
        </w:rPr>
        <w:t>, C.</w:t>
      </w:r>
      <w:r w:rsidR="00EA5EAB" w:rsidRPr="00B92BDF">
        <w:rPr>
          <w:rFonts w:ascii="Times New Roman" w:hAnsi="Times New Roman" w:cs="Times New Roman"/>
          <w:color w:val="000000" w:themeColor="text1"/>
          <w:sz w:val="24"/>
          <w:szCs w:val="24"/>
          <w:shd w:val="clear" w:color="auto" w:fill="FFFFFF"/>
        </w:rPr>
        <w:t>,</w:t>
      </w:r>
      <w:r w:rsidR="007D01C2" w:rsidRPr="00B92BDF">
        <w:rPr>
          <w:rFonts w:ascii="Times New Roman" w:hAnsi="Times New Roman" w:cs="Times New Roman"/>
          <w:color w:val="000000" w:themeColor="text1"/>
          <w:sz w:val="24"/>
          <w:szCs w:val="24"/>
          <w:shd w:val="clear" w:color="auto" w:fill="FFFFFF"/>
        </w:rPr>
        <w:t xml:space="preserve"> 2003</w:t>
      </w:r>
      <w:r w:rsidRPr="00B92BDF">
        <w:rPr>
          <w:rFonts w:ascii="Times New Roman" w:hAnsi="Times New Roman" w:cs="Times New Roman"/>
          <w:color w:val="000000" w:themeColor="text1"/>
          <w:sz w:val="24"/>
          <w:szCs w:val="24"/>
          <w:shd w:val="clear" w:color="auto" w:fill="FFFFFF"/>
        </w:rPr>
        <w:t xml:space="preserve">. </w:t>
      </w:r>
      <w:proofErr w:type="gramStart"/>
      <w:r w:rsidRPr="00B92BDF">
        <w:rPr>
          <w:rFonts w:ascii="Times New Roman" w:hAnsi="Times New Roman" w:cs="Times New Roman"/>
          <w:color w:val="000000" w:themeColor="text1"/>
          <w:sz w:val="24"/>
          <w:szCs w:val="24"/>
          <w:shd w:val="clear" w:color="auto" w:fill="FFFFFF"/>
        </w:rPr>
        <w:t>Performance hypothesis testing with Sharpe ratio.</w:t>
      </w:r>
      <w:proofErr w:type="gramEnd"/>
      <w:r w:rsidRPr="00B92BDF">
        <w:rPr>
          <w:rFonts w:ascii="Times New Roman" w:hAnsi="Times New Roman" w:cs="Times New Roman"/>
          <w:color w:val="000000" w:themeColor="text1"/>
          <w:sz w:val="24"/>
          <w:szCs w:val="24"/>
          <w:shd w:val="clear" w:color="auto" w:fill="FFFFFF"/>
        </w:rPr>
        <w:t xml:space="preserve"> Finance Letters, 1(1)</w:t>
      </w:r>
      <w:r w:rsidR="00301CEC" w:rsidRPr="00B92BDF">
        <w:rPr>
          <w:rFonts w:ascii="Times New Roman" w:hAnsi="Times New Roman" w:cs="Times New Roman"/>
          <w:color w:val="000000" w:themeColor="text1"/>
          <w:sz w:val="24"/>
          <w:szCs w:val="24"/>
          <w:shd w:val="clear" w:color="auto" w:fill="FFFFFF"/>
        </w:rPr>
        <w:t>, 21-23.</w:t>
      </w:r>
    </w:p>
    <w:p w:rsidR="00A76009" w:rsidRPr="00B92BDF" w:rsidRDefault="007D01C2" w:rsidP="00EA5EAB">
      <w:pPr>
        <w:spacing w:after="0" w:line="240" w:lineRule="auto"/>
        <w:ind w:left="567" w:hanging="567"/>
        <w:jc w:val="both"/>
        <w:rPr>
          <w:rFonts w:ascii="Times New Roman" w:hAnsi="Times New Roman" w:cs="Times New Roman"/>
          <w:color w:val="000000" w:themeColor="text1"/>
          <w:sz w:val="24"/>
          <w:szCs w:val="24"/>
          <w:shd w:val="clear" w:color="auto" w:fill="FFFFFF"/>
        </w:rPr>
      </w:pPr>
      <w:r w:rsidRPr="00B92BDF">
        <w:rPr>
          <w:rFonts w:ascii="Times New Roman" w:hAnsi="Times New Roman" w:cs="Times New Roman"/>
          <w:color w:val="000000" w:themeColor="text1"/>
          <w:sz w:val="24"/>
          <w:szCs w:val="24"/>
          <w:shd w:val="clear" w:color="auto" w:fill="FFFFFF"/>
        </w:rPr>
        <w:t>Modigliani, F.</w:t>
      </w:r>
      <w:proofErr w:type="gramStart"/>
      <w:r w:rsidRPr="00B92BDF">
        <w:rPr>
          <w:rFonts w:ascii="Times New Roman" w:hAnsi="Times New Roman" w:cs="Times New Roman"/>
          <w:color w:val="000000" w:themeColor="text1"/>
          <w:sz w:val="24"/>
          <w:szCs w:val="24"/>
          <w:shd w:val="clear" w:color="auto" w:fill="FFFFFF"/>
        </w:rPr>
        <w:t xml:space="preserve">, </w:t>
      </w:r>
      <w:r w:rsidR="00A76009" w:rsidRPr="00B92BDF">
        <w:rPr>
          <w:rFonts w:ascii="Times New Roman" w:hAnsi="Times New Roman" w:cs="Times New Roman"/>
          <w:color w:val="000000" w:themeColor="text1"/>
          <w:sz w:val="24"/>
          <w:szCs w:val="24"/>
          <w:shd w:val="clear" w:color="auto" w:fill="FFFFFF"/>
        </w:rPr>
        <w:t xml:space="preserve"> Modigliani</w:t>
      </w:r>
      <w:proofErr w:type="gramEnd"/>
      <w:r w:rsidR="00A76009" w:rsidRPr="00B92BDF">
        <w:rPr>
          <w:rFonts w:ascii="Times New Roman" w:hAnsi="Times New Roman" w:cs="Times New Roman"/>
          <w:color w:val="000000" w:themeColor="text1"/>
          <w:sz w:val="24"/>
          <w:szCs w:val="24"/>
          <w:shd w:val="clear" w:color="auto" w:fill="FFFFFF"/>
        </w:rPr>
        <w:t>, L.</w:t>
      </w:r>
      <w:r w:rsidR="00EA5EAB" w:rsidRPr="00B92BDF">
        <w:rPr>
          <w:rFonts w:ascii="Times New Roman" w:hAnsi="Times New Roman" w:cs="Times New Roman"/>
          <w:color w:val="000000" w:themeColor="text1"/>
          <w:sz w:val="24"/>
          <w:szCs w:val="24"/>
          <w:shd w:val="clear" w:color="auto" w:fill="FFFFFF"/>
        </w:rPr>
        <w:t>,</w:t>
      </w:r>
      <w:r w:rsidRPr="00B92BDF">
        <w:rPr>
          <w:rFonts w:ascii="Times New Roman" w:hAnsi="Times New Roman" w:cs="Times New Roman"/>
          <w:color w:val="000000" w:themeColor="text1"/>
          <w:sz w:val="24"/>
          <w:szCs w:val="24"/>
          <w:shd w:val="clear" w:color="auto" w:fill="FFFFFF"/>
        </w:rPr>
        <w:t xml:space="preserve"> 1997</w:t>
      </w:r>
      <w:r w:rsidR="00A76009" w:rsidRPr="00B92BDF">
        <w:rPr>
          <w:rFonts w:ascii="Times New Roman" w:hAnsi="Times New Roman" w:cs="Times New Roman"/>
          <w:color w:val="000000" w:themeColor="text1"/>
          <w:sz w:val="24"/>
          <w:szCs w:val="24"/>
          <w:shd w:val="clear" w:color="auto" w:fill="FFFFFF"/>
        </w:rPr>
        <w:t xml:space="preserve">. </w:t>
      </w:r>
      <w:proofErr w:type="gramStart"/>
      <w:r w:rsidR="00A76009" w:rsidRPr="00B92BDF">
        <w:rPr>
          <w:rFonts w:ascii="Times New Roman" w:hAnsi="Times New Roman" w:cs="Times New Roman"/>
          <w:color w:val="000000" w:themeColor="text1"/>
          <w:sz w:val="24"/>
          <w:szCs w:val="24"/>
          <w:shd w:val="clear" w:color="auto" w:fill="FFFFFF"/>
        </w:rPr>
        <w:t>Risk-adjusted performance.</w:t>
      </w:r>
      <w:proofErr w:type="gramEnd"/>
      <w:r w:rsidR="00A76009" w:rsidRPr="00B92BDF">
        <w:rPr>
          <w:rFonts w:ascii="Times New Roman" w:hAnsi="Times New Roman" w:cs="Times New Roman"/>
          <w:color w:val="000000" w:themeColor="text1"/>
          <w:sz w:val="24"/>
          <w:szCs w:val="24"/>
          <w:shd w:val="clear" w:color="auto" w:fill="FFFFFF"/>
        </w:rPr>
        <w:t> </w:t>
      </w:r>
      <w:r w:rsidR="00A76009" w:rsidRPr="00B92BDF">
        <w:rPr>
          <w:rFonts w:ascii="Times New Roman" w:hAnsi="Times New Roman" w:cs="Times New Roman"/>
          <w:iCs/>
          <w:color w:val="000000" w:themeColor="text1"/>
          <w:sz w:val="24"/>
          <w:szCs w:val="24"/>
          <w:shd w:val="clear" w:color="auto" w:fill="FFFFFF"/>
        </w:rPr>
        <w:t>The Journal of Portfolio Management</w:t>
      </w:r>
      <w:r w:rsidR="00A76009" w:rsidRPr="00B92BDF">
        <w:rPr>
          <w:rFonts w:ascii="Times New Roman" w:hAnsi="Times New Roman" w:cs="Times New Roman"/>
          <w:color w:val="000000" w:themeColor="text1"/>
          <w:sz w:val="24"/>
          <w:szCs w:val="24"/>
          <w:shd w:val="clear" w:color="auto" w:fill="FFFFFF"/>
        </w:rPr>
        <w:t>, </w:t>
      </w:r>
      <w:r w:rsidR="00A76009" w:rsidRPr="00B92BDF">
        <w:rPr>
          <w:rFonts w:ascii="Times New Roman" w:hAnsi="Times New Roman" w:cs="Times New Roman"/>
          <w:iCs/>
          <w:color w:val="000000" w:themeColor="text1"/>
          <w:sz w:val="24"/>
          <w:szCs w:val="24"/>
          <w:shd w:val="clear" w:color="auto" w:fill="FFFFFF"/>
        </w:rPr>
        <w:t>23</w:t>
      </w:r>
      <w:r w:rsidR="00A76009" w:rsidRPr="00B92BDF">
        <w:rPr>
          <w:rFonts w:ascii="Times New Roman" w:hAnsi="Times New Roman" w:cs="Times New Roman"/>
          <w:color w:val="000000" w:themeColor="text1"/>
          <w:sz w:val="24"/>
          <w:szCs w:val="24"/>
          <w:shd w:val="clear" w:color="auto" w:fill="FFFFFF"/>
        </w:rPr>
        <w:t>(2), 45-54.</w:t>
      </w:r>
    </w:p>
    <w:p w:rsidR="00A76009" w:rsidRPr="00B92BDF" w:rsidRDefault="007D01C2"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Schmidhuber, C.</w:t>
      </w:r>
      <w:proofErr w:type="gramStart"/>
      <w:r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color w:val="000000" w:themeColor="text1"/>
          <w:sz w:val="24"/>
          <w:szCs w:val="24"/>
          <w:lang w:val="en-GB" w:eastAsia="ru-RU"/>
        </w:rPr>
        <w:t xml:space="preserve"> </w:t>
      </w:r>
      <w:proofErr w:type="spellStart"/>
      <w:r w:rsidR="00A76009" w:rsidRPr="00B92BDF">
        <w:rPr>
          <w:rFonts w:ascii="Times New Roman" w:eastAsia="Times New Roman" w:hAnsi="Times New Roman" w:cs="Times New Roman"/>
          <w:color w:val="000000" w:themeColor="text1"/>
          <w:sz w:val="24"/>
          <w:szCs w:val="24"/>
          <w:lang w:val="en-GB" w:eastAsia="ru-RU"/>
        </w:rPr>
        <w:t>Moix</w:t>
      </w:r>
      <w:proofErr w:type="spellEnd"/>
      <w:proofErr w:type="gramEnd"/>
      <w:r w:rsidR="00A76009" w:rsidRPr="00B92BDF">
        <w:rPr>
          <w:rFonts w:ascii="Times New Roman" w:eastAsia="Times New Roman" w:hAnsi="Times New Roman" w:cs="Times New Roman"/>
          <w:color w:val="000000" w:themeColor="text1"/>
          <w:sz w:val="24"/>
          <w:szCs w:val="24"/>
          <w:lang w:val="en-GB" w:eastAsia="ru-RU"/>
        </w:rPr>
        <w:t>, P.</w:t>
      </w:r>
      <w:r w:rsidR="00EA5EAB"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2001</w:t>
      </w:r>
      <w:r w:rsidR="00A76009" w:rsidRPr="00B92BDF">
        <w:rPr>
          <w:rFonts w:ascii="Times New Roman" w:eastAsia="Times New Roman" w:hAnsi="Times New Roman" w:cs="Times New Roman"/>
          <w:color w:val="000000" w:themeColor="text1"/>
          <w:sz w:val="24"/>
          <w:szCs w:val="24"/>
          <w:lang w:val="en-GB" w:eastAsia="ru-RU"/>
        </w:rPr>
        <w:t xml:space="preserve">. Fat tail risk: The case for hedge funds. </w:t>
      </w:r>
      <w:r w:rsidR="00A76009" w:rsidRPr="00B92BDF">
        <w:rPr>
          <w:rFonts w:ascii="Times New Roman" w:eastAsia="Times New Roman" w:hAnsi="Times New Roman" w:cs="Times New Roman"/>
          <w:iCs/>
          <w:color w:val="000000" w:themeColor="text1"/>
          <w:sz w:val="24"/>
          <w:szCs w:val="24"/>
          <w:lang w:val="en-GB" w:eastAsia="ru-RU"/>
        </w:rPr>
        <w:t>AIMA Newsletter</w:t>
      </w:r>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48</w:t>
      </w:r>
      <w:r w:rsidR="00A76009" w:rsidRPr="00B92BDF">
        <w:rPr>
          <w:rFonts w:ascii="Times New Roman" w:eastAsia="Times New Roman" w:hAnsi="Times New Roman" w:cs="Times New Roman"/>
          <w:color w:val="000000" w:themeColor="text1"/>
          <w:sz w:val="24"/>
          <w:szCs w:val="24"/>
          <w:lang w:val="en-GB" w:eastAsia="ru-RU"/>
        </w:rPr>
        <w:t>(1), 29-31.</w:t>
      </w:r>
    </w:p>
    <w:p w:rsidR="00A76009" w:rsidRPr="00B92BDF" w:rsidRDefault="007D01C2"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Pilotte, E.</w:t>
      </w:r>
      <w:proofErr w:type="gramStart"/>
      <w:r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color w:val="000000" w:themeColor="text1"/>
          <w:sz w:val="24"/>
          <w:szCs w:val="24"/>
          <w:lang w:val="en-GB" w:eastAsia="ru-RU"/>
        </w:rPr>
        <w:t xml:space="preserve"> </w:t>
      </w:r>
      <w:proofErr w:type="spellStart"/>
      <w:r w:rsidR="00A76009" w:rsidRPr="00B92BDF">
        <w:rPr>
          <w:rFonts w:ascii="Times New Roman" w:eastAsia="Times New Roman" w:hAnsi="Times New Roman" w:cs="Times New Roman"/>
          <w:color w:val="000000" w:themeColor="text1"/>
          <w:sz w:val="24"/>
          <w:szCs w:val="24"/>
          <w:lang w:val="en-GB" w:eastAsia="ru-RU"/>
        </w:rPr>
        <w:t>Sterbenz</w:t>
      </w:r>
      <w:proofErr w:type="spellEnd"/>
      <w:proofErr w:type="gramEnd"/>
      <w:r w:rsidR="00A76009" w:rsidRPr="00B92BDF">
        <w:rPr>
          <w:rFonts w:ascii="Times New Roman" w:eastAsia="Times New Roman" w:hAnsi="Times New Roman" w:cs="Times New Roman"/>
          <w:color w:val="000000" w:themeColor="text1"/>
          <w:sz w:val="24"/>
          <w:szCs w:val="24"/>
          <w:lang w:val="en-GB" w:eastAsia="ru-RU"/>
        </w:rPr>
        <w:t>, F.</w:t>
      </w:r>
      <w:r w:rsidR="00EA5EAB"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2006</w:t>
      </w:r>
      <w:r w:rsidR="00A76009" w:rsidRPr="00B92BDF">
        <w:rPr>
          <w:rFonts w:ascii="Times New Roman" w:eastAsia="Times New Roman" w:hAnsi="Times New Roman" w:cs="Times New Roman"/>
          <w:color w:val="000000" w:themeColor="text1"/>
          <w:sz w:val="24"/>
          <w:szCs w:val="24"/>
          <w:lang w:val="en-GB" w:eastAsia="ru-RU"/>
        </w:rPr>
        <w:t xml:space="preserve">. </w:t>
      </w:r>
      <w:proofErr w:type="gramStart"/>
      <w:r w:rsidR="00A76009" w:rsidRPr="00B92BDF">
        <w:rPr>
          <w:rFonts w:ascii="Times New Roman" w:eastAsia="Times New Roman" w:hAnsi="Times New Roman" w:cs="Times New Roman"/>
          <w:color w:val="000000" w:themeColor="text1"/>
          <w:sz w:val="24"/>
          <w:szCs w:val="24"/>
          <w:lang w:val="en-GB" w:eastAsia="ru-RU"/>
        </w:rPr>
        <w:t>Sharpe and Treynor ratios on treasury bonds.</w:t>
      </w:r>
      <w:proofErr w:type="gramEnd"/>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The Journal of Business</w:t>
      </w:r>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79</w:t>
      </w:r>
      <w:r w:rsidR="00A76009" w:rsidRPr="00B92BDF">
        <w:rPr>
          <w:rFonts w:ascii="Times New Roman" w:eastAsia="Times New Roman" w:hAnsi="Times New Roman" w:cs="Times New Roman"/>
          <w:color w:val="000000" w:themeColor="text1"/>
          <w:sz w:val="24"/>
          <w:szCs w:val="24"/>
          <w:lang w:val="en-GB" w:eastAsia="ru-RU"/>
        </w:rPr>
        <w:t>(1), 149-180.</w:t>
      </w:r>
    </w:p>
    <w:p w:rsidR="00A76009" w:rsidRPr="00B92BDF" w:rsidRDefault="007D01C2" w:rsidP="00EA5EAB">
      <w:pPr>
        <w:spacing w:after="0" w:line="240" w:lineRule="auto"/>
        <w:ind w:left="567" w:hanging="567"/>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s-ES_tradnl"/>
        </w:rPr>
        <w:t xml:space="preserve">Sakamoto, Y., Ishiguro, M., </w:t>
      </w:r>
      <w:r w:rsidR="00A76009" w:rsidRPr="00B92BDF">
        <w:rPr>
          <w:rFonts w:ascii="Times New Roman" w:hAnsi="Times New Roman" w:cs="Times New Roman"/>
          <w:color w:val="000000" w:themeColor="text1"/>
          <w:sz w:val="24"/>
          <w:szCs w:val="24"/>
          <w:lang w:val="es-ES_tradnl"/>
        </w:rPr>
        <w:t xml:space="preserve"> </w:t>
      </w:r>
      <w:proofErr w:type="spellStart"/>
      <w:r w:rsidR="00A76009" w:rsidRPr="00B92BDF">
        <w:rPr>
          <w:rFonts w:ascii="Times New Roman" w:hAnsi="Times New Roman" w:cs="Times New Roman"/>
          <w:color w:val="000000" w:themeColor="text1"/>
          <w:sz w:val="24"/>
          <w:szCs w:val="24"/>
          <w:lang w:val="es-ES_tradnl"/>
        </w:rPr>
        <w:t>Kitagawa</w:t>
      </w:r>
      <w:proofErr w:type="spellEnd"/>
      <w:r w:rsidR="00A76009" w:rsidRPr="00B92BDF">
        <w:rPr>
          <w:rFonts w:ascii="Times New Roman" w:hAnsi="Times New Roman" w:cs="Times New Roman"/>
          <w:color w:val="000000" w:themeColor="text1"/>
          <w:sz w:val="24"/>
          <w:szCs w:val="24"/>
          <w:lang w:val="es-ES_tradnl"/>
        </w:rPr>
        <w:t xml:space="preserve"> G.</w:t>
      </w:r>
      <w:r w:rsidR="00EA5EAB" w:rsidRPr="00B92BDF">
        <w:rPr>
          <w:rFonts w:ascii="Times New Roman" w:hAnsi="Times New Roman" w:cs="Times New Roman"/>
          <w:color w:val="000000" w:themeColor="text1"/>
          <w:sz w:val="24"/>
          <w:szCs w:val="24"/>
          <w:lang w:val="es-ES_tradnl"/>
        </w:rPr>
        <w:t>,</w:t>
      </w:r>
      <w:r w:rsidRPr="00B92BDF">
        <w:rPr>
          <w:rFonts w:ascii="Times New Roman" w:hAnsi="Times New Roman" w:cs="Times New Roman"/>
          <w:color w:val="000000" w:themeColor="text1"/>
          <w:sz w:val="24"/>
          <w:szCs w:val="24"/>
          <w:lang w:val="es-ES_tradnl"/>
        </w:rPr>
        <w:t xml:space="preserve"> 1986</w:t>
      </w:r>
      <w:r w:rsidR="00A76009" w:rsidRPr="00B92BDF">
        <w:rPr>
          <w:rFonts w:ascii="Times New Roman" w:hAnsi="Times New Roman" w:cs="Times New Roman"/>
          <w:color w:val="000000" w:themeColor="text1"/>
          <w:sz w:val="24"/>
          <w:szCs w:val="24"/>
          <w:lang w:val="es-ES_tradnl"/>
        </w:rPr>
        <w:t xml:space="preserve">. </w:t>
      </w:r>
      <w:proofErr w:type="gramStart"/>
      <w:r w:rsidR="00A76009" w:rsidRPr="00B92BDF">
        <w:rPr>
          <w:rStyle w:val="Emphasis"/>
          <w:rFonts w:ascii="Times New Roman" w:hAnsi="Times New Roman" w:cs="Times New Roman"/>
          <w:i w:val="0"/>
          <w:color w:val="000000" w:themeColor="text1"/>
          <w:sz w:val="24"/>
          <w:szCs w:val="24"/>
          <w:lang w:val="en-GB"/>
        </w:rPr>
        <w:t>Akaike Information Criterion Statistics</w:t>
      </w:r>
      <w:r w:rsidR="00A76009" w:rsidRPr="00B92BDF">
        <w:rPr>
          <w:rFonts w:ascii="Times New Roman" w:hAnsi="Times New Roman" w:cs="Times New Roman"/>
          <w:color w:val="000000" w:themeColor="text1"/>
          <w:sz w:val="24"/>
          <w:szCs w:val="24"/>
          <w:lang w:val="en-GB"/>
        </w:rPr>
        <w:t>.</w:t>
      </w:r>
      <w:proofErr w:type="gramEnd"/>
      <w:r w:rsidR="00A76009" w:rsidRPr="00B92BDF">
        <w:rPr>
          <w:rFonts w:ascii="Times New Roman" w:hAnsi="Times New Roman" w:cs="Times New Roman"/>
          <w:color w:val="000000" w:themeColor="text1"/>
          <w:sz w:val="24"/>
          <w:szCs w:val="24"/>
          <w:lang w:val="en-GB"/>
        </w:rPr>
        <w:t xml:space="preserve"> D.: Reidel Publishing Company.</w:t>
      </w:r>
    </w:p>
    <w:p w:rsidR="00A76009" w:rsidRPr="00B92BDF" w:rsidRDefault="007D01C2"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Scholz, H.</w:t>
      </w:r>
      <w:proofErr w:type="gramStart"/>
      <w:r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color w:val="000000" w:themeColor="text1"/>
          <w:sz w:val="24"/>
          <w:szCs w:val="24"/>
          <w:lang w:val="en-GB" w:eastAsia="ru-RU"/>
        </w:rPr>
        <w:t xml:space="preserve"> Wilkens</w:t>
      </w:r>
      <w:proofErr w:type="gramEnd"/>
      <w:r w:rsidR="00A76009" w:rsidRPr="00B92BDF">
        <w:rPr>
          <w:rFonts w:ascii="Times New Roman" w:eastAsia="Times New Roman" w:hAnsi="Times New Roman" w:cs="Times New Roman"/>
          <w:color w:val="000000" w:themeColor="text1"/>
          <w:sz w:val="24"/>
          <w:szCs w:val="24"/>
          <w:lang w:val="en-GB" w:eastAsia="ru-RU"/>
        </w:rPr>
        <w:t>, M.</w:t>
      </w:r>
      <w:r w:rsidRPr="00B92BDF">
        <w:rPr>
          <w:rFonts w:ascii="Times New Roman" w:eastAsia="Times New Roman" w:hAnsi="Times New Roman" w:cs="Times New Roman"/>
          <w:color w:val="000000" w:themeColor="text1"/>
          <w:sz w:val="24"/>
          <w:szCs w:val="24"/>
          <w:lang w:val="en-GB" w:eastAsia="ru-RU"/>
        </w:rPr>
        <w:t>, 2005</w:t>
      </w:r>
      <w:r w:rsidR="00A76009" w:rsidRPr="00B92BDF">
        <w:rPr>
          <w:rFonts w:ascii="Times New Roman" w:eastAsia="Times New Roman" w:hAnsi="Times New Roman" w:cs="Times New Roman"/>
          <w:color w:val="000000" w:themeColor="text1"/>
          <w:sz w:val="24"/>
          <w:szCs w:val="24"/>
          <w:lang w:val="en-GB" w:eastAsia="ru-RU"/>
        </w:rPr>
        <w:t xml:space="preserve">. Investor-specific performance measurement: A justification of Sharpe ratio and Treynor ratio. </w:t>
      </w:r>
      <w:proofErr w:type="gramStart"/>
      <w:r w:rsidR="00A76009" w:rsidRPr="00B92BDF">
        <w:rPr>
          <w:rFonts w:ascii="Times New Roman" w:eastAsia="Times New Roman" w:hAnsi="Times New Roman" w:cs="Times New Roman"/>
          <w:iCs/>
          <w:color w:val="000000" w:themeColor="text1"/>
          <w:sz w:val="24"/>
          <w:szCs w:val="24"/>
          <w:lang w:val="en-GB" w:eastAsia="ru-RU"/>
        </w:rPr>
        <w:t>International Journal of Finance</w:t>
      </w:r>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17</w:t>
      </w:r>
      <w:r w:rsidR="00A76009" w:rsidRPr="00B92BDF">
        <w:rPr>
          <w:rFonts w:ascii="Times New Roman" w:eastAsia="Times New Roman" w:hAnsi="Times New Roman" w:cs="Times New Roman"/>
          <w:color w:val="000000" w:themeColor="text1"/>
          <w:sz w:val="24"/>
          <w:szCs w:val="24"/>
          <w:lang w:val="en-GB" w:eastAsia="ru-RU"/>
        </w:rPr>
        <w:t>(4)</w:t>
      </w:r>
      <w:r w:rsidR="00301CEC" w:rsidRPr="00B92BDF">
        <w:rPr>
          <w:rFonts w:ascii="Times New Roman" w:eastAsia="Times New Roman" w:hAnsi="Times New Roman" w:cs="Times New Roman"/>
          <w:color w:val="000000" w:themeColor="text1"/>
          <w:sz w:val="24"/>
          <w:szCs w:val="24"/>
          <w:lang w:val="en-GB" w:eastAsia="ru-RU"/>
        </w:rPr>
        <w:t>, 3671-3691.</w:t>
      </w:r>
      <w:proofErr w:type="gramEnd"/>
    </w:p>
    <w:p w:rsidR="00A76009" w:rsidRPr="00B92BDF" w:rsidRDefault="00A76009" w:rsidP="00EA5EAB">
      <w:pPr>
        <w:spacing w:after="0" w:line="240" w:lineRule="auto"/>
        <w:ind w:left="567" w:hanging="567"/>
        <w:jc w:val="both"/>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Schwarz, G.</w:t>
      </w:r>
      <w:r w:rsidR="007D01C2" w:rsidRPr="00B92BDF">
        <w:rPr>
          <w:rFonts w:ascii="Times New Roman" w:hAnsi="Times New Roman" w:cs="Times New Roman"/>
          <w:color w:val="000000" w:themeColor="text1"/>
          <w:sz w:val="24"/>
          <w:szCs w:val="24"/>
          <w:lang w:val="en-GB"/>
        </w:rPr>
        <w:t>, 1978</w:t>
      </w:r>
      <w:r w:rsidRPr="00B92BDF">
        <w:rPr>
          <w:rFonts w:ascii="Times New Roman" w:hAnsi="Times New Roman" w:cs="Times New Roman"/>
          <w:color w:val="000000" w:themeColor="text1"/>
          <w:sz w:val="24"/>
          <w:szCs w:val="24"/>
          <w:lang w:val="en-GB"/>
        </w:rPr>
        <w:t xml:space="preserve">. </w:t>
      </w:r>
      <w:proofErr w:type="gramStart"/>
      <w:r w:rsidRPr="00B92BDF">
        <w:rPr>
          <w:rFonts w:ascii="Times New Roman" w:hAnsi="Times New Roman" w:cs="Times New Roman"/>
          <w:color w:val="000000" w:themeColor="text1"/>
          <w:sz w:val="24"/>
          <w:szCs w:val="24"/>
          <w:lang w:val="en-GB"/>
        </w:rPr>
        <w:t>Estimating the dimension of a model.</w:t>
      </w:r>
      <w:proofErr w:type="gramEnd"/>
      <w:r w:rsidRPr="00B92BDF">
        <w:rPr>
          <w:rFonts w:ascii="Times New Roman" w:hAnsi="Times New Roman" w:cs="Times New Roman"/>
          <w:color w:val="000000" w:themeColor="text1"/>
          <w:sz w:val="24"/>
          <w:szCs w:val="24"/>
          <w:lang w:val="en-GB"/>
        </w:rPr>
        <w:t xml:space="preserve"> </w:t>
      </w:r>
      <w:r w:rsidRPr="00B92BDF">
        <w:rPr>
          <w:rStyle w:val="Emphasis"/>
          <w:rFonts w:ascii="Times New Roman" w:hAnsi="Times New Roman" w:cs="Times New Roman"/>
          <w:i w:val="0"/>
          <w:color w:val="000000" w:themeColor="text1"/>
          <w:sz w:val="24"/>
          <w:szCs w:val="24"/>
          <w:lang w:val="en-GB"/>
        </w:rPr>
        <w:t xml:space="preserve">Annals of Statistics, 6, </w:t>
      </w:r>
      <w:r w:rsidRPr="00B92BDF">
        <w:rPr>
          <w:rFonts w:ascii="Times New Roman" w:hAnsi="Times New Roman" w:cs="Times New Roman"/>
          <w:color w:val="000000" w:themeColor="text1"/>
          <w:sz w:val="24"/>
          <w:szCs w:val="24"/>
          <w:lang w:val="en-GB"/>
        </w:rPr>
        <w:t>461-464.</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gramStart"/>
      <w:r w:rsidRPr="00B92BDF">
        <w:rPr>
          <w:rFonts w:ascii="Times New Roman" w:eastAsia="Times New Roman" w:hAnsi="Times New Roman" w:cs="Times New Roman"/>
          <w:color w:val="000000" w:themeColor="text1"/>
          <w:sz w:val="24"/>
          <w:szCs w:val="24"/>
          <w:lang w:val="en-GB" w:eastAsia="ru-RU"/>
        </w:rPr>
        <w:t>Sharpe, W.</w:t>
      </w:r>
      <w:r w:rsidR="007D01C2"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color w:val="000000" w:themeColor="text1"/>
          <w:sz w:val="24"/>
          <w:szCs w:val="24"/>
          <w:lang w:val="en-GB" w:eastAsia="ru-RU"/>
        </w:rPr>
        <w:t>1966.</w:t>
      </w:r>
      <w:proofErr w:type="gramEnd"/>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Mutual fund performance.</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The Journal of Business</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39</w:t>
      </w:r>
      <w:r w:rsidRPr="00B92BDF">
        <w:rPr>
          <w:rFonts w:ascii="Times New Roman" w:eastAsia="Times New Roman" w:hAnsi="Times New Roman" w:cs="Times New Roman"/>
          <w:color w:val="000000" w:themeColor="text1"/>
          <w:sz w:val="24"/>
          <w:szCs w:val="24"/>
          <w:lang w:val="en-GB" w:eastAsia="ru-RU"/>
        </w:rPr>
        <w:t>(1), 119-138.</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gramStart"/>
      <w:r w:rsidRPr="00B92BDF">
        <w:rPr>
          <w:rFonts w:ascii="Times New Roman" w:eastAsia="Times New Roman" w:hAnsi="Times New Roman" w:cs="Times New Roman"/>
          <w:color w:val="000000" w:themeColor="text1"/>
          <w:sz w:val="24"/>
          <w:szCs w:val="24"/>
          <w:lang w:val="en-GB" w:eastAsia="ru-RU"/>
        </w:rPr>
        <w:t>Sharpe, W.</w:t>
      </w:r>
      <w:r w:rsidR="007D01C2" w:rsidRPr="00B92BDF">
        <w:rPr>
          <w:rFonts w:ascii="Times New Roman" w:eastAsia="Times New Roman" w:hAnsi="Times New Roman" w:cs="Times New Roman"/>
          <w:color w:val="000000" w:themeColor="text1"/>
          <w:sz w:val="24"/>
          <w:szCs w:val="24"/>
          <w:lang w:val="en-GB" w:eastAsia="ru-RU"/>
        </w:rPr>
        <w:t>,</w:t>
      </w:r>
      <w:r w:rsidRPr="00B92BDF">
        <w:rPr>
          <w:rFonts w:ascii="Times New Roman" w:eastAsia="Times New Roman" w:hAnsi="Times New Roman" w:cs="Times New Roman"/>
          <w:color w:val="000000" w:themeColor="text1"/>
          <w:sz w:val="24"/>
          <w:szCs w:val="24"/>
          <w:lang w:val="en-GB" w:eastAsia="ru-RU"/>
        </w:rPr>
        <w:t xml:space="preserve"> 1994.</w:t>
      </w:r>
      <w:proofErr w:type="gramEnd"/>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The Sharpe ratio.</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Journal of Portfolio Management</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21</w:t>
      </w:r>
      <w:r w:rsidRPr="00B92BDF">
        <w:rPr>
          <w:rFonts w:ascii="Times New Roman" w:eastAsia="Times New Roman" w:hAnsi="Times New Roman" w:cs="Times New Roman"/>
          <w:color w:val="000000" w:themeColor="text1"/>
          <w:sz w:val="24"/>
          <w:szCs w:val="24"/>
          <w:lang w:val="en-GB" w:eastAsia="ru-RU"/>
        </w:rPr>
        <w:t>(1), 49-58.</w:t>
      </w:r>
    </w:p>
    <w:p w:rsidR="00A76009" w:rsidRPr="00B92BDF" w:rsidRDefault="00A76009"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proofErr w:type="gramStart"/>
      <w:r w:rsidRPr="00B92BDF">
        <w:rPr>
          <w:rFonts w:ascii="Times New Roman" w:eastAsia="Times New Roman" w:hAnsi="Times New Roman" w:cs="Times New Roman"/>
          <w:color w:val="000000" w:themeColor="text1"/>
          <w:sz w:val="24"/>
          <w:szCs w:val="24"/>
          <w:lang w:val="en-GB" w:eastAsia="ru-RU"/>
        </w:rPr>
        <w:t>Sharpe, W.</w:t>
      </w:r>
      <w:r w:rsidR="007D01C2" w:rsidRPr="00B92BDF">
        <w:rPr>
          <w:rFonts w:ascii="Times New Roman" w:eastAsia="Times New Roman" w:hAnsi="Times New Roman" w:cs="Times New Roman"/>
          <w:color w:val="000000" w:themeColor="text1"/>
          <w:sz w:val="24"/>
          <w:szCs w:val="24"/>
          <w:lang w:val="en-GB" w:eastAsia="ru-RU"/>
        </w:rPr>
        <w:t>, 2007</w:t>
      </w:r>
      <w:r w:rsidRPr="00B92BDF">
        <w:rPr>
          <w:rFonts w:ascii="Times New Roman" w:eastAsia="Times New Roman" w:hAnsi="Times New Roman" w:cs="Times New Roman"/>
          <w:color w:val="000000" w:themeColor="text1"/>
          <w:sz w:val="24"/>
          <w:szCs w:val="24"/>
          <w:lang w:val="en-GB" w:eastAsia="ru-RU"/>
        </w:rPr>
        <w:t>.</w:t>
      </w:r>
      <w:proofErr w:type="gramEnd"/>
      <w:r w:rsidRPr="00B92BDF">
        <w:rPr>
          <w:rFonts w:ascii="Times New Roman" w:eastAsia="Times New Roman" w:hAnsi="Times New Roman" w:cs="Times New Roman"/>
          <w:color w:val="000000" w:themeColor="text1"/>
          <w:sz w:val="24"/>
          <w:szCs w:val="24"/>
          <w:lang w:val="en-GB" w:eastAsia="ru-RU"/>
        </w:rPr>
        <w:t xml:space="preserve"> </w:t>
      </w:r>
      <w:proofErr w:type="gramStart"/>
      <w:r w:rsidRPr="00B92BDF">
        <w:rPr>
          <w:rFonts w:ascii="Times New Roman" w:eastAsia="Times New Roman" w:hAnsi="Times New Roman" w:cs="Times New Roman"/>
          <w:color w:val="000000" w:themeColor="text1"/>
          <w:sz w:val="24"/>
          <w:szCs w:val="24"/>
          <w:lang w:val="en-GB" w:eastAsia="ru-RU"/>
        </w:rPr>
        <w:t>Expected utility asset allocation.</w:t>
      </w:r>
      <w:proofErr w:type="gramEnd"/>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Financial Analysts Journal</w:t>
      </w:r>
      <w:r w:rsidRPr="00B92BDF">
        <w:rPr>
          <w:rFonts w:ascii="Times New Roman" w:eastAsia="Times New Roman" w:hAnsi="Times New Roman" w:cs="Times New Roman"/>
          <w:color w:val="000000" w:themeColor="text1"/>
          <w:sz w:val="24"/>
          <w:szCs w:val="24"/>
          <w:lang w:val="en-GB" w:eastAsia="ru-RU"/>
        </w:rPr>
        <w:t xml:space="preserve">, </w:t>
      </w:r>
      <w:r w:rsidRPr="00B92BDF">
        <w:rPr>
          <w:rFonts w:ascii="Times New Roman" w:eastAsia="Times New Roman" w:hAnsi="Times New Roman" w:cs="Times New Roman"/>
          <w:iCs/>
          <w:color w:val="000000" w:themeColor="text1"/>
          <w:sz w:val="24"/>
          <w:szCs w:val="24"/>
          <w:lang w:val="en-GB" w:eastAsia="ru-RU"/>
        </w:rPr>
        <w:t>63</w:t>
      </w:r>
      <w:r w:rsidRPr="00B92BDF">
        <w:rPr>
          <w:rFonts w:ascii="Times New Roman" w:eastAsia="Times New Roman" w:hAnsi="Times New Roman" w:cs="Times New Roman"/>
          <w:color w:val="000000" w:themeColor="text1"/>
          <w:sz w:val="24"/>
          <w:szCs w:val="24"/>
          <w:lang w:val="en-GB" w:eastAsia="ru-RU"/>
        </w:rPr>
        <w:t>(5), 18-30.</w:t>
      </w:r>
    </w:p>
    <w:p w:rsidR="00A76009" w:rsidRPr="003A658A" w:rsidRDefault="00A76009" w:rsidP="003A658A">
      <w:pPr>
        <w:spacing w:after="0" w:line="240" w:lineRule="auto"/>
        <w:ind w:left="567" w:hanging="567"/>
        <w:jc w:val="both"/>
        <w:rPr>
          <w:rFonts w:ascii="Times New Roman" w:hAnsi="Times New Roman" w:cs="Times New Roman"/>
          <w:color w:val="000000" w:themeColor="text1"/>
          <w:sz w:val="24"/>
          <w:szCs w:val="24"/>
          <w:shd w:val="clear" w:color="auto" w:fill="FFFFFF"/>
        </w:rPr>
      </w:pPr>
      <w:proofErr w:type="spellStart"/>
      <w:r w:rsidRPr="00B92BDF">
        <w:rPr>
          <w:rFonts w:ascii="Times New Roman" w:hAnsi="Times New Roman" w:cs="Times New Roman"/>
          <w:color w:val="000000" w:themeColor="text1"/>
          <w:sz w:val="24"/>
          <w:szCs w:val="24"/>
          <w:shd w:val="clear" w:color="auto" w:fill="FFFFFF"/>
        </w:rPr>
        <w:t>Sortino</w:t>
      </w:r>
      <w:proofErr w:type="spellEnd"/>
      <w:r w:rsidRPr="00B92BDF">
        <w:rPr>
          <w:rFonts w:ascii="Times New Roman" w:hAnsi="Times New Roman" w:cs="Times New Roman"/>
          <w:color w:val="000000" w:themeColor="text1"/>
          <w:sz w:val="24"/>
          <w:szCs w:val="24"/>
          <w:shd w:val="clear" w:color="auto" w:fill="FFFFFF"/>
        </w:rPr>
        <w:t>, F.</w:t>
      </w:r>
      <w:proofErr w:type="gramStart"/>
      <w:r w:rsidRPr="00B92BDF">
        <w:rPr>
          <w:rFonts w:ascii="Times New Roman" w:hAnsi="Times New Roman" w:cs="Times New Roman"/>
          <w:color w:val="000000" w:themeColor="text1"/>
          <w:sz w:val="24"/>
          <w:szCs w:val="24"/>
          <w:shd w:val="clear" w:color="auto" w:fill="FFFFFF"/>
        </w:rPr>
        <w:t>,  Price</w:t>
      </w:r>
      <w:proofErr w:type="gramEnd"/>
      <w:r w:rsidRPr="00B92BDF">
        <w:rPr>
          <w:rFonts w:ascii="Times New Roman" w:hAnsi="Times New Roman" w:cs="Times New Roman"/>
          <w:color w:val="000000" w:themeColor="text1"/>
          <w:sz w:val="24"/>
          <w:szCs w:val="24"/>
          <w:shd w:val="clear" w:color="auto" w:fill="FFFFFF"/>
        </w:rPr>
        <w:t>, L.</w:t>
      </w:r>
      <w:r w:rsidR="007D01C2" w:rsidRPr="00B92BDF">
        <w:rPr>
          <w:rFonts w:ascii="Times New Roman" w:hAnsi="Times New Roman" w:cs="Times New Roman"/>
          <w:color w:val="000000" w:themeColor="text1"/>
          <w:sz w:val="24"/>
          <w:szCs w:val="24"/>
          <w:shd w:val="clear" w:color="auto" w:fill="FFFFFF"/>
        </w:rPr>
        <w:t>, 1994</w:t>
      </w:r>
      <w:r w:rsidRPr="00B92BDF">
        <w:rPr>
          <w:rFonts w:ascii="Times New Roman" w:hAnsi="Times New Roman" w:cs="Times New Roman"/>
          <w:color w:val="000000" w:themeColor="text1"/>
          <w:sz w:val="24"/>
          <w:szCs w:val="24"/>
          <w:shd w:val="clear" w:color="auto" w:fill="FFFFFF"/>
        </w:rPr>
        <w:t xml:space="preserve">. </w:t>
      </w:r>
      <w:proofErr w:type="gramStart"/>
      <w:r w:rsidRPr="00B92BDF">
        <w:rPr>
          <w:rFonts w:ascii="Times New Roman" w:hAnsi="Times New Roman" w:cs="Times New Roman"/>
          <w:color w:val="000000" w:themeColor="text1"/>
          <w:sz w:val="24"/>
          <w:szCs w:val="24"/>
          <w:shd w:val="clear" w:color="auto" w:fill="FFFFFF"/>
        </w:rPr>
        <w:t>Performance measurement in a downside risk framework.</w:t>
      </w:r>
      <w:proofErr w:type="gramEnd"/>
      <w:r w:rsidRPr="00B92BDF">
        <w:rPr>
          <w:rFonts w:ascii="Times New Roman" w:hAnsi="Times New Roman" w:cs="Times New Roman"/>
          <w:color w:val="000000" w:themeColor="text1"/>
          <w:sz w:val="24"/>
          <w:szCs w:val="24"/>
          <w:shd w:val="clear" w:color="auto" w:fill="FFFFFF"/>
        </w:rPr>
        <w:t> </w:t>
      </w:r>
      <w:r w:rsidRPr="00B92BDF">
        <w:rPr>
          <w:rFonts w:ascii="Times New Roman" w:hAnsi="Times New Roman" w:cs="Times New Roman"/>
          <w:iCs/>
          <w:color w:val="000000" w:themeColor="text1"/>
          <w:sz w:val="24"/>
          <w:szCs w:val="24"/>
          <w:shd w:val="clear" w:color="auto" w:fill="FFFFFF"/>
        </w:rPr>
        <w:t>The Journal of Investing</w:t>
      </w:r>
      <w:r w:rsidRPr="00B92BDF">
        <w:rPr>
          <w:rFonts w:ascii="Times New Roman" w:hAnsi="Times New Roman" w:cs="Times New Roman"/>
          <w:color w:val="000000" w:themeColor="text1"/>
          <w:sz w:val="24"/>
          <w:szCs w:val="24"/>
          <w:shd w:val="clear" w:color="auto" w:fill="FFFFFF"/>
        </w:rPr>
        <w:t>, </w:t>
      </w:r>
      <w:r w:rsidRPr="00B92BDF">
        <w:rPr>
          <w:rFonts w:ascii="Times New Roman" w:hAnsi="Times New Roman" w:cs="Times New Roman"/>
          <w:iCs/>
          <w:color w:val="000000" w:themeColor="text1"/>
          <w:sz w:val="24"/>
          <w:szCs w:val="24"/>
          <w:shd w:val="clear" w:color="auto" w:fill="FFFFFF"/>
        </w:rPr>
        <w:t>3</w:t>
      </w:r>
      <w:r w:rsidRPr="00B92BDF">
        <w:rPr>
          <w:rFonts w:ascii="Times New Roman" w:hAnsi="Times New Roman" w:cs="Times New Roman"/>
          <w:color w:val="000000" w:themeColor="text1"/>
          <w:sz w:val="24"/>
          <w:szCs w:val="24"/>
          <w:shd w:val="clear" w:color="auto" w:fill="FFFFFF"/>
        </w:rPr>
        <w:t>(3), 59-64</w:t>
      </w:r>
      <w:proofErr w:type="gramStart"/>
      <w:r w:rsidRPr="00B92BDF">
        <w:rPr>
          <w:rFonts w:ascii="Times New Roman" w:hAnsi="Times New Roman" w:cs="Times New Roman"/>
          <w:color w:val="000000" w:themeColor="text1"/>
          <w:sz w:val="24"/>
          <w:szCs w:val="24"/>
          <w:shd w:val="clear" w:color="auto" w:fill="FFFFFF"/>
        </w:rPr>
        <w:t>.</w:t>
      </w:r>
      <w:r w:rsidRPr="00B92BDF">
        <w:rPr>
          <w:rFonts w:ascii="Times New Roman" w:eastAsia="TimesNewRoman" w:hAnsi="Times New Roman" w:cs="Times New Roman"/>
          <w:color w:val="000000" w:themeColor="text1"/>
          <w:sz w:val="24"/>
          <w:szCs w:val="24"/>
          <w:lang w:val="de-DE"/>
        </w:rPr>
        <w:t>.</w:t>
      </w:r>
      <w:proofErr w:type="gramEnd"/>
    </w:p>
    <w:p w:rsidR="00A76009" w:rsidRPr="00B92BDF" w:rsidRDefault="007D01C2" w:rsidP="00EA5EAB">
      <w:pPr>
        <w:spacing w:after="0" w:line="240" w:lineRule="auto"/>
        <w:ind w:left="567" w:hanging="567"/>
        <w:jc w:val="both"/>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s-ES_tradnl" w:eastAsia="ru-RU"/>
        </w:rPr>
        <w:t xml:space="preserve">Sortino, F., </w:t>
      </w:r>
      <w:r w:rsidR="00A76009" w:rsidRPr="00B92BDF">
        <w:rPr>
          <w:rFonts w:ascii="Times New Roman" w:eastAsia="Times New Roman" w:hAnsi="Times New Roman" w:cs="Times New Roman"/>
          <w:color w:val="000000" w:themeColor="text1"/>
          <w:sz w:val="24"/>
          <w:szCs w:val="24"/>
          <w:lang w:val="es-ES_tradnl" w:eastAsia="ru-RU"/>
        </w:rPr>
        <w:t xml:space="preserve"> Van der </w:t>
      </w:r>
      <w:proofErr w:type="spellStart"/>
      <w:r w:rsidR="00A76009" w:rsidRPr="00B92BDF">
        <w:rPr>
          <w:rFonts w:ascii="Times New Roman" w:eastAsia="Times New Roman" w:hAnsi="Times New Roman" w:cs="Times New Roman"/>
          <w:color w:val="000000" w:themeColor="text1"/>
          <w:sz w:val="24"/>
          <w:szCs w:val="24"/>
          <w:lang w:val="es-ES_tradnl" w:eastAsia="ru-RU"/>
        </w:rPr>
        <w:t>Meer</w:t>
      </w:r>
      <w:proofErr w:type="spellEnd"/>
      <w:r w:rsidR="00A76009" w:rsidRPr="00B92BDF">
        <w:rPr>
          <w:rFonts w:ascii="Times New Roman" w:eastAsia="Times New Roman" w:hAnsi="Times New Roman" w:cs="Times New Roman"/>
          <w:color w:val="000000" w:themeColor="text1"/>
          <w:sz w:val="24"/>
          <w:szCs w:val="24"/>
          <w:lang w:val="es-ES_tradnl" w:eastAsia="ru-RU"/>
        </w:rPr>
        <w:t>, R.</w:t>
      </w:r>
      <w:r w:rsidRPr="00B92BDF">
        <w:rPr>
          <w:rFonts w:ascii="Times New Roman" w:eastAsia="Times New Roman" w:hAnsi="Times New Roman" w:cs="Times New Roman"/>
          <w:color w:val="000000" w:themeColor="text1"/>
          <w:sz w:val="24"/>
          <w:szCs w:val="24"/>
          <w:lang w:val="es-ES_tradnl" w:eastAsia="ru-RU"/>
        </w:rPr>
        <w:t>, 1991</w:t>
      </w:r>
      <w:r w:rsidR="00A76009" w:rsidRPr="00B92BDF">
        <w:rPr>
          <w:rFonts w:ascii="Times New Roman" w:eastAsia="Times New Roman" w:hAnsi="Times New Roman" w:cs="Times New Roman"/>
          <w:color w:val="000000" w:themeColor="text1"/>
          <w:sz w:val="24"/>
          <w:szCs w:val="24"/>
          <w:lang w:val="es-ES_tradnl" w:eastAsia="ru-RU"/>
        </w:rPr>
        <w:t xml:space="preserve">. </w:t>
      </w:r>
      <w:proofErr w:type="gramStart"/>
      <w:r w:rsidR="00A76009" w:rsidRPr="00B92BDF">
        <w:rPr>
          <w:rFonts w:ascii="Times New Roman" w:eastAsia="Times New Roman" w:hAnsi="Times New Roman" w:cs="Times New Roman"/>
          <w:color w:val="000000" w:themeColor="text1"/>
          <w:sz w:val="24"/>
          <w:szCs w:val="24"/>
          <w:lang w:val="en-GB" w:eastAsia="ru-RU"/>
        </w:rPr>
        <w:t>Downside risk.</w:t>
      </w:r>
      <w:proofErr w:type="gramEnd"/>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The Journal of Portfolio Management</w:t>
      </w:r>
      <w:r w:rsidR="00A76009" w:rsidRPr="00B92BDF">
        <w:rPr>
          <w:rFonts w:ascii="Times New Roman" w:eastAsia="Times New Roman" w:hAnsi="Times New Roman" w:cs="Times New Roman"/>
          <w:color w:val="000000" w:themeColor="text1"/>
          <w:sz w:val="24"/>
          <w:szCs w:val="24"/>
          <w:lang w:val="en-GB" w:eastAsia="ru-RU"/>
        </w:rPr>
        <w:t xml:space="preserve">, </w:t>
      </w:r>
      <w:r w:rsidR="00A76009" w:rsidRPr="00B92BDF">
        <w:rPr>
          <w:rFonts w:ascii="Times New Roman" w:eastAsia="Times New Roman" w:hAnsi="Times New Roman" w:cs="Times New Roman"/>
          <w:iCs/>
          <w:color w:val="000000" w:themeColor="text1"/>
          <w:sz w:val="24"/>
          <w:szCs w:val="24"/>
          <w:lang w:val="en-GB" w:eastAsia="ru-RU"/>
        </w:rPr>
        <w:t>17</w:t>
      </w:r>
      <w:r w:rsidR="00A76009" w:rsidRPr="00B92BDF">
        <w:rPr>
          <w:rFonts w:ascii="Times New Roman" w:eastAsia="Times New Roman" w:hAnsi="Times New Roman" w:cs="Times New Roman"/>
          <w:color w:val="000000" w:themeColor="text1"/>
          <w:sz w:val="24"/>
          <w:szCs w:val="24"/>
          <w:lang w:val="en-GB" w:eastAsia="ru-RU"/>
        </w:rPr>
        <w:t>(4), 27-31.</w:t>
      </w:r>
    </w:p>
    <w:p w:rsidR="00A76009" w:rsidRPr="00B92BDF" w:rsidRDefault="00A76009" w:rsidP="00EA5EAB">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sz w:val="24"/>
          <w:szCs w:val="24"/>
          <w:lang w:val="en-GB"/>
        </w:rPr>
      </w:pPr>
      <w:r w:rsidRPr="00B92BDF">
        <w:rPr>
          <w:rFonts w:ascii="Times New Roman" w:eastAsia="TimesNewRoman" w:hAnsi="Times New Roman" w:cs="Times New Roman"/>
          <w:color w:val="000000" w:themeColor="text1"/>
          <w:sz w:val="24"/>
          <w:szCs w:val="24"/>
          <w:lang w:val="en-GB"/>
        </w:rPr>
        <w:t>Vinod, H.</w:t>
      </w:r>
      <w:proofErr w:type="gramStart"/>
      <w:r w:rsidR="007D01C2" w:rsidRPr="00B92BDF">
        <w:rPr>
          <w:rFonts w:ascii="Times New Roman" w:eastAsia="TimesNewRoman" w:hAnsi="Times New Roman" w:cs="Times New Roman"/>
          <w:color w:val="000000" w:themeColor="text1"/>
          <w:sz w:val="24"/>
          <w:szCs w:val="24"/>
          <w:lang w:val="en-GB"/>
        </w:rPr>
        <w:t xml:space="preserve">, </w:t>
      </w:r>
      <w:r w:rsidRPr="00B92BDF">
        <w:rPr>
          <w:rFonts w:ascii="Times New Roman" w:eastAsia="TimesNewRoman" w:hAnsi="Times New Roman" w:cs="Times New Roman"/>
          <w:color w:val="000000" w:themeColor="text1"/>
          <w:sz w:val="24"/>
          <w:szCs w:val="24"/>
          <w:lang w:val="en-GB"/>
        </w:rPr>
        <w:t xml:space="preserve"> Morey</w:t>
      </w:r>
      <w:proofErr w:type="gramEnd"/>
      <w:r w:rsidRPr="00B92BDF">
        <w:rPr>
          <w:rFonts w:ascii="Times New Roman" w:eastAsia="TimesNewRoman" w:hAnsi="Times New Roman" w:cs="Times New Roman"/>
          <w:color w:val="000000" w:themeColor="text1"/>
          <w:sz w:val="24"/>
          <w:szCs w:val="24"/>
          <w:lang w:val="en-GB"/>
        </w:rPr>
        <w:t>, M.</w:t>
      </w:r>
      <w:r w:rsidR="007D01C2" w:rsidRPr="00B92BDF">
        <w:rPr>
          <w:rFonts w:ascii="Times New Roman" w:eastAsia="TimesNewRoman" w:hAnsi="Times New Roman" w:cs="Times New Roman"/>
          <w:color w:val="000000" w:themeColor="text1"/>
          <w:sz w:val="24"/>
          <w:szCs w:val="24"/>
          <w:lang w:val="en-GB"/>
        </w:rPr>
        <w:t>,</w:t>
      </w:r>
      <w:r w:rsidRPr="00B92BDF">
        <w:rPr>
          <w:rFonts w:ascii="Times New Roman" w:eastAsia="TimesNewRoman" w:hAnsi="Times New Roman" w:cs="Times New Roman"/>
          <w:color w:val="000000" w:themeColor="text1"/>
          <w:sz w:val="24"/>
          <w:szCs w:val="24"/>
          <w:lang w:val="en-GB"/>
        </w:rPr>
        <w:t xml:space="preserve"> </w:t>
      </w:r>
      <w:r w:rsidR="007D01C2" w:rsidRPr="00B92BDF">
        <w:rPr>
          <w:rFonts w:ascii="Times New Roman" w:eastAsia="TimesNewRoman" w:hAnsi="Times New Roman" w:cs="Times New Roman"/>
          <w:color w:val="000000" w:themeColor="text1"/>
          <w:sz w:val="24"/>
          <w:szCs w:val="24"/>
          <w:lang w:val="en-GB"/>
        </w:rPr>
        <w:t xml:space="preserve"> 2001</w:t>
      </w:r>
      <w:r w:rsidRPr="00B92BDF">
        <w:rPr>
          <w:rFonts w:ascii="Times New Roman" w:eastAsia="TimesNewRoman" w:hAnsi="Times New Roman" w:cs="Times New Roman"/>
          <w:color w:val="000000" w:themeColor="text1"/>
          <w:sz w:val="24"/>
          <w:szCs w:val="24"/>
          <w:lang w:val="en-GB"/>
        </w:rPr>
        <w:t xml:space="preserve">. </w:t>
      </w:r>
      <w:proofErr w:type="gramStart"/>
      <w:r w:rsidRPr="00B92BDF">
        <w:rPr>
          <w:rFonts w:ascii="Times New Roman" w:eastAsia="TimesNewRoman" w:hAnsi="Times New Roman" w:cs="Times New Roman"/>
          <w:color w:val="000000" w:themeColor="text1"/>
          <w:sz w:val="24"/>
          <w:szCs w:val="24"/>
          <w:lang w:val="en-GB"/>
        </w:rPr>
        <w:t>A double Sharpe ratio.</w:t>
      </w:r>
      <w:proofErr w:type="gramEnd"/>
      <w:r w:rsidRPr="00B92BDF">
        <w:rPr>
          <w:rFonts w:ascii="Times New Roman" w:eastAsia="TimesNewRoman" w:hAnsi="Times New Roman" w:cs="Times New Roman"/>
          <w:color w:val="000000" w:themeColor="text1"/>
          <w:sz w:val="24"/>
          <w:szCs w:val="24"/>
          <w:lang w:val="en-GB"/>
        </w:rPr>
        <w:t xml:space="preserve"> Advances in Investment Analysis and Portfolio Management, 8, 57-65.</w:t>
      </w:r>
    </w:p>
    <w:p w:rsidR="00EA54F2" w:rsidRPr="00B92BDF" w:rsidRDefault="007D01C2" w:rsidP="00301CEC">
      <w:pPr>
        <w:spacing w:after="0" w:line="240" w:lineRule="auto"/>
        <w:ind w:left="567" w:hanging="567"/>
        <w:jc w:val="both"/>
        <w:rPr>
          <w:rFonts w:ascii="Times New Roman" w:hAnsi="Times New Roman" w:cs="Times New Roman"/>
          <w:color w:val="000000" w:themeColor="text1"/>
          <w:sz w:val="24"/>
          <w:szCs w:val="24"/>
          <w:shd w:val="clear" w:color="auto" w:fill="FFFFFF"/>
        </w:rPr>
      </w:pPr>
      <w:r w:rsidRPr="00B92BDF">
        <w:rPr>
          <w:rFonts w:ascii="Times New Roman" w:hAnsi="Times New Roman" w:cs="Times New Roman"/>
          <w:color w:val="000000" w:themeColor="text1"/>
          <w:sz w:val="24"/>
          <w:szCs w:val="24"/>
          <w:shd w:val="clear" w:color="auto" w:fill="FFFFFF"/>
        </w:rPr>
        <w:t xml:space="preserve">Watanabe, </w:t>
      </w:r>
      <w:r w:rsidR="00A76009" w:rsidRPr="00B92BDF">
        <w:rPr>
          <w:rFonts w:ascii="Times New Roman" w:hAnsi="Times New Roman" w:cs="Times New Roman"/>
          <w:color w:val="000000" w:themeColor="text1"/>
          <w:sz w:val="24"/>
          <w:szCs w:val="24"/>
          <w:shd w:val="clear" w:color="auto" w:fill="FFFFFF"/>
        </w:rPr>
        <w:t>Y.</w:t>
      </w:r>
      <w:r w:rsidRPr="00B92BDF">
        <w:rPr>
          <w:rFonts w:ascii="Times New Roman" w:hAnsi="Times New Roman" w:cs="Times New Roman"/>
          <w:color w:val="000000" w:themeColor="text1"/>
          <w:sz w:val="24"/>
          <w:szCs w:val="24"/>
          <w:shd w:val="clear" w:color="auto" w:fill="FFFFFF"/>
        </w:rPr>
        <w:t>, 2006</w:t>
      </w:r>
      <w:r w:rsidR="00A76009" w:rsidRPr="00B92BDF">
        <w:rPr>
          <w:rFonts w:ascii="Times New Roman" w:hAnsi="Times New Roman" w:cs="Times New Roman"/>
          <w:color w:val="000000" w:themeColor="text1"/>
          <w:sz w:val="24"/>
          <w:szCs w:val="24"/>
          <w:shd w:val="clear" w:color="auto" w:fill="FFFFFF"/>
        </w:rPr>
        <w:t>. Is Sharpe ratio still effective? </w:t>
      </w:r>
      <w:r w:rsidR="00A76009" w:rsidRPr="00B92BDF">
        <w:rPr>
          <w:rFonts w:ascii="Times New Roman" w:hAnsi="Times New Roman" w:cs="Times New Roman"/>
          <w:iCs/>
          <w:color w:val="000000" w:themeColor="text1"/>
          <w:sz w:val="24"/>
          <w:szCs w:val="24"/>
          <w:shd w:val="clear" w:color="auto" w:fill="FFFFFF"/>
        </w:rPr>
        <w:t>Journal of Performance Measurement</w:t>
      </w:r>
      <w:r w:rsidR="00A76009" w:rsidRPr="00B92BDF">
        <w:rPr>
          <w:rFonts w:ascii="Times New Roman" w:hAnsi="Times New Roman" w:cs="Times New Roman"/>
          <w:color w:val="000000" w:themeColor="text1"/>
          <w:sz w:val="24"/>
          <w:szCs w:val="24"/>
          <w:shd w:val="clear" w:color="auto" w:fill="FFFFFF"/>
        </w:rPr>
        <w:t>, </w:t>
      </w:r>
      <w:r w:rsidR="00301CEC" w:rsidRPr="00B92BDF">
        <w:rPr>
          <w:rFonts w:ascii="Times New Roman" w:hAnsi="Times New Roman" w:cs="Times New Roman"/>
          <w:iCs/>
          <w:color w:val="000000" w:themeColor="text1"/>
          <w:sz w:val="24"/>
          <w:szCs w:val="24"/>
          <w:shd w:val="clear" w:color="auto" w:fill="FFFFFF"/>
        </w:rPr>
        <w:t>11(1), 55–66.</w:t>
      </w:r>
      <w:r w:rsidR="00EA54F2" w:rsidRPr="00B92BDF">
        <w:rPr>
          <w:rFonts w:ascii="Times New Roman" w:hAnsi="Times New Roman" w:cs="Times New Roman"/>
          <w:color w:val="000000" w:themeColor="text1"/>
          <w:sz w:val="24"/>
          <w:szCs w:val="24"/>
          <w:shd w:val="clear" w:color="auto" w:fill="FFFFFF"/>
        </w:rPr>
        <w:br w:type="page"/>
      </w:r>
    </w:p>
    <w:p w:rsidR="00FC4908" w:rsidRPr="00B92BDF" w:rsidRDefault="00FC4908" w:rsidP="00FC4908">
      <w:pPr>
        <w:spacing w:after="0" w:line="360" w:lineRule="auto"/>
        <w:jc w:val="center"/>
        <w:rPr>
          <w:rFonts w:ascii="Times New Roman" w:hAnsi="Times New Roman" w:cs="Times New Roman"/>
          <w:b/>
          <w:color w:val="000000" w:themeColor="text1"/>
          <w:sz w:val="24"/>
          <w:szCs w:val="24"/>
          <w:lang w:val="en-GB"/>
        </w:rPr>
      </w:pPr>
      <w:r w:rsidRPr="00B92BDF">
        <w:rPr>
          <w:rFonts w:ascii="Times New Roman" w:hAnsi="Times New Roman" w:cs="Times New Roman"/>
          <w:b/>
          <w:color w:val="000000" w:themeColor="text1"/>
          <w:sz w:val="24"/>
          <w:szCs w:val="24"/>
          <w:lang w:val="en-GB"/>
        </w:rPr>
        <w:lastRenderedPageBreak/>
        <w:t>Appendices</w:t>
      </w:r>
    </w:p>
    <w:p w:rsidR="00D3542A" w:rsidRPr="00B92BDF" w:rsidRDefault="00D3542A" w:rsidP="00D3542A">
      <w:pPr>
        <w:spacing w:after="0" w:line="360" w:lineRule="auto"/>
        <w:jc w:val="right"/>
        <w:rPr>
          <w:rFonts w:ascii="Times New Roman" w:hAnsi="Times New Roman" w:cs="Times New Roman"/>
          <w:b/>
          <w:color w:val="000000" w:themeColor="text1"/>
          <w:sz w:val="24"/>
          <w:szCs w:val="24"/>
          <w:lang w:val="en-GB"/>
        </w:rPr>
      </w:pPr>
      <w:r w:rsidRPr="00B92BDF">
        <w:rPr>
          <w:rFonts w:ascii="Times New Roman" w:hAnsi="Times New Roman" w:cs="Times New Roman"/>
          <w:b/>
          <w:color w:val="000000" w:themeColor="text1"/>
          <w:sz w:val="24"/>
          <w:szCs w:val="24"/>
          <w:lang w:val="en-GB"/>
        </w:rPr>
        <w:t>Appendix A</w:t>
      </w:r>
    </w:p>
    <w:p w:rsidR="00D3542A" w:rsidRPr="00B92BDF" w:rsidRDefault="00D3542A" w:rsidP="00D3542A">
      <w:pPr>
        <w:spacing w:after="0" w:line="360" w:lineRule="auto"/>
        <w:rPr>
          <w:rFonts w:ascii="Times New Roman" w:hAnsi="Times New Roman" w:cs="Times New Roman"/>
          <w:color w:val="000000" w:themeColor="text1"/>
          <w:sz w:val="24"/>
          <w:szCs w:val="24"/>
          <w:lang w:val="en-GB"/>
        </w:rPr>
      </w:pPr>
    </w:p>
    <w:tbl>
      <w:tblPr>
        <w:tblStyle w:val="TableGrid"/>
        <w:tblW w:w="0" w:type="auto"/>
        <w:jc w:val="center"/>
        <w:tblLook w:val="04A0"/>
      </w:tblPr>
      <w:tblGrid>
        <w:gridCol w:w="714"/>
        <w:gridCol w:w="866"/>
        <w:gridCol w:w="865"/>
        <w:gridCol w:w="884"/>
        <w:gridCol w:w="967"/>
        <w:gridCol w:w="865"/>
        <w:gridCol w:w="865"/>
        <w:gridCol w:w="766"/>
        <w:gridCol w:w="763"/>
        <w:gridCol w:w="904"/>
        <w:gridCol w:w="827"/>
      </w:tblGrid>
      <w:tr w:rsidR="00D3542A" w:rsidRPr="00B92BDF" w:rsidTr="00D47965">
        <w:trPr>
          <w:trHeight w:val="283"/>
          <w:jc w:val="center"/>
        </w:trPr>
        <w:tc>
          <w:tcPr>
            <w:tcW w:w="763"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Min.</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w:t>
            </w:r>
            <w:r w:rsidRPr="00B92BDF">
              <w:rPr>
                <w:rFonts w:ascii="Times New Roman" w:hAnsi="Times New Roman" w:cs="Times New Roman"/>
                <w:b/>
                <w:color w:val="000000" w:themeColor="text1"/>
                <w:sz w:val="20"/>
                <w:szCs w:val="20"/>
                <w:vertAlign w:val="superscript"/>
                <w:lang w:val="en-GB"/>
              </w:rPr>
              <w:t>st</w:t>
            </w:r>
            <w:r w:rsidRPr="00B92BDF">
              <w:rPr>
                <w:rFonts w:ascii="Times New Roman" w:hAnsi="Times New Roman" w:cs="Times New Roman"/>
                <w:b/>
                <w:color w:val="000000" w:themeColor="text1"/>
                <w:sz w:val="20"/>
                <w:szCs w:val="20"/>
                <w:lang w:val="en-GB"/>
              </w:rPr>
              <w:t xml:space="preserve"> Qu.</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Mean</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Median</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w:t>
            </w:r>
            <w:r w:rsidRPr="00B92BDF">
              <w:rPr>
                <w:rFonts w:ascii="Times New Roman" w:hAnsi="Times New Roman" w:cs="Times New Roman"/>
                <w:b/>
                <w:color w:val="000000" w:themeColor="text1"/>
                <w:sz w:val="20"/>
                <w:szCs w:val="20"/>
                <w:vertAlign w:val="superscript"/>
                <w:lang w:val="en-GB"/>
              </w:rPr>
              <w:t>rd</w:t>
            </w:r>
            <w:r w:rsidRPr="00B92BDF">
              <w:rPr>
                <w:rFonts w:ascii="Times New Roman" w:hAnsi="Times New Roman" w:cs="Times New Roman"/>
                <w:b/>
                <w:color w:val="000000" w:themeColor="text1"/>
                <w:sz w:val="20"/>
                <w:szCs w:val="20"/>
                <w:lang w:val="en-GB"/>
              </w:rPr>
              <w:t xml:space="preserve"> Qu.</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Max.</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Var.</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SD.</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Skew.</w:t>
            </w:r>
          </w:p>
        </w:tc>
        <w:tc>
          <w:tcPr>
            <w:tcW w:w="872" w:type="dxa"/>
            <w:tcBorders>
              <w:lef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Kurt.</w:t>
            </w:r>
          </w:p>
        </w:tc>
      </w:tr>
      <w:tr w:rsidR="00D3542A" w:rsidRPr="00B92BDF" w:rsidTr="00D47965">
        <w:trPr>
          <w:trHeight w:val="283"/>
          <w:jc w:val="center"/>
        </w:trPr>
        <w:tc>
          <w:tcPr>
            <w:tcW w:w="9854" w:type="dxa"/>
            <w:gridSpan w:val="11"/>
            <w:tcBorders>
              <w:bottom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Sample period 2005-2017</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-0.589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0.067</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eastAsia="ru-RU"/>
              </w:rPr>
              <w:t>1.097</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0.515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2.003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4.062</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2.029</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1.424</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0.806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-0.670</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6M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-0.575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0.103</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de-DE"/>
              </w:rPr>
            </w:pPr>
            <w:r w:rsidRPr="00B92BDF">
              <w:rPr>
                <w:rFonts w:ascii="Times New Roman" w:eastAsia="Times New Roman" w:hAnsi="Times New Roman" w:cs="Times New Roman"/>
                <w:color w:val="000000" w:themeColor="text1"/>
                <w:sz w:val="20"/>
                <w:szCs w:val="20"/>
                <w:bdr w:val="none" w:sz="0" w:space="0" w:color="auto" w:frame="1"/>
                <w:lang w:eastAsia="ru-RU"/>
              </w:rPr>
              <w:t>1.206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0.702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2.076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4.157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2.058</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1.435</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0.699</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-0.776</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9M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-0.562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0.126</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eastAsia="ru-RU"/>
              </w:rPr>
              <w:t>1.296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0.826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2.132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4.262</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2.088</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1.445</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0.600</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-0.869</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-0.546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0.143</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1.370</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0.954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2.263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4.340</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2.107</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1.452</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0.514</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-0.936</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-0.393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0.257</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1.787</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1.943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2.779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4.513</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2.065</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1.437</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-0.005</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-1.192</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-0.213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0.634</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2.206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2.595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3.306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4.524</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1.910</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1.382</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-0.366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-1.216</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de-DE" w:eastAsia="ru-RU"/>
              </w:rPr>
              <w:t>0.438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1.669</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2.996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s-ES_tradnl" w:eastAsia="ru-RU"/>
              </w:rPr>
              <w:t>3.483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3.983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4.711</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1.589</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1.261</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-0.714</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-1.009</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de-DE" w:eastAsia="ru-RU"/>
              </w:rPr>
              <w:t>0.848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2.227</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3.387</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s-ES_tradnl" w:eastAsia="ru-RU"/>
              </w:rPr>
              <w:t>3.818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4.375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5.048</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1.416</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1.190</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-0.771</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-0.883</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de-DE" w:eastAsia="ru-RU"/>
              </w:rPr>
              <w:t>1.056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2.493</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3.576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s-ES_tradnl" w:eastAsia="ru-RU"/>
              </w:rPr>
              <w:t>3.951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4.514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5.217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1.298</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1.139</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-0.794</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-0.801</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de-DE" w:eastAsia="ru-RU"/>
              </w:rPr>
              <w:t>1.182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2.678</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3.668</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s-ES_tradnl" w:eastAsia="ru-RU"/>
              </w:rPr>
              <w:t>4.047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4.557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5.318</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1.204</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1.097</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-0.810</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-0.733</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de-DE" w:eastAsia="ru-RU"/>
              </w:rPr>
              <w:t>1.266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2.803</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3.712</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4.036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4.546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eastAsia="ru-RU"/>
              </w:rPr>
              <w:t>5.386</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1.129</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1.063</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-0.802</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-0.681</w:t>
            </w:r>
          </w:p>
        </w:tc>
      </w:tr>
      <w:tr w:rsidR="00D3542A" w:rsidRPr="00B92BDF" w:rsidTr="00D47965">
        <w:trPr>
          <w:trHeight w:val="283"/>
          <w:jc w:val="center"/>
        </w:trPr>
        <w:tc>
          <w:tcPr>
            <w:tcW w:w="9854" w:type="dxa"/>
            <w:gridSpan w:val="11"/>
            <w:tcBorders>
              <w:bottom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Subsample 2005-2007</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1.960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2.110</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2.882</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2.811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3.670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3.914</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0.536</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0.732</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0.039</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-1.668</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6M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1.949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2.169</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2.983</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2.999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3.758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4.038</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0.568</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0.753</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-0.084</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-1.620</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9M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1.927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2.226</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3.055</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3.141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3.773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4.117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0.582</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0.763</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-0.163</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-1.555</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1.920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2.282</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3.109</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3.247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3.792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4.183</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0.583</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0.763</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-0.216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-1.492</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2.139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2.670</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3.309</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3.465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3.866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4.337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0.435</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0.659</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-0.291</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-1.231</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2.500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2.983</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3.448</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3.544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3.871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4.351</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0.299</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0.547</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-0.198</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-1.169</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3.111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3.437</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3.767</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3.733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4.043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4.469</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0.159</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0.399</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0.016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-1.088</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3.386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3.661</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3.967</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3.945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4.197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4.577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0.120</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0.346</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0.124</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-1.044</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3.551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3.814</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4.080</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4.056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4.294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4.647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0.106</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0.326</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0.180</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-1.062</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3.636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3.875</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4.145</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4.097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4.351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4.692</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0.102</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0.319</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0.211</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-1.089</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3.688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3.920</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4.186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4.135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4.390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4.723</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0.101</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0.318</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0.224</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lang w:eastAsia="ru-RU"/>
              </w:rPr>
              <w:t>-1.106</w:t>
            </w:r>
          </w:p>
        </w:tc>
      </w:tr>
      <w:tr w:rsidR="00D3542A" w:rsidRPr="00B92BDF" w:rsidTr="00D47965">
        <w:trPr>
          <w:trHeight w:val="283"/>
          <w:jc w:val="center"/>
        </w:trPr>
        <w:tc>
          <w:tcPr>
            <w:tcW w:w="9854" w:type="dxa"/>
            <w:gridSpan w:val="11"/>
            <w:tcBorders>
              <w:bottom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Subsample 2008-2011</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0.298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0.603</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1.449</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0.926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1.779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4.062</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1.552</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1.246</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1.256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-0.013</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6M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0.407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0.678</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1.575</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1.150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1.852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4.157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1.470</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1.212</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1.113</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-0.193</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9M</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0.563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0.784</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1.712</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1.320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2.130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4.262</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1.371</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1.171</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1.007</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-0.346</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0.686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0.919</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1.842</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1.518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2.274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4.340</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1.257</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1.121</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0.951</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-0.404</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1.523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2.010</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2.583</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2.429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2.894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4.513</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0.576</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0.759</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0.806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-0.026</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2.194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2.742</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3.140</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3.137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3.408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4.524</w:t>
            </w:r>
          </w:p>
        </w:tc>
        <w:tc>
          <w:tcPr>
            <w:tcW w:w="799" w:type="dxa"/>
            <w:tcBorders>
              <w:left w:val="nil"/>
              <w:right w:val="nil"/>
            </w:tcBorders>
            <w:vAlign w:val="center"/>
          </w:tcPr>
          <w:p w:rsidR="00D3542A" w:rsidRPr="00B92BDF" w:rsidRDefault="00D3542A" w:rsidP="00D47965">
            <w:pPr>
              <w:jc w:val="center"/>
              <w:rPr>
                <w:rFonts w:ascii="Times New Roman" w:eastAsia="Times New Roman" w:hAnsi="Times New Roman" w:cs="Times New Roman"/>
                <w:bCs/>
                <w:color w:val="000000" w:themeColor="text1"/>
                <w:sz w:val="20"/>
                <w:szCs w:val="20"/>
                <w:lang w:eastAsia="ru-RU"/>
              </w:rPr>
            </w:pPr>
            <w:r w:rsidRPr="00B92BDF">
              <w:rPr>
                <w:rFonts w:ascii="Times New Roman" w:eastAsia="Times New Roman" w:hAnsi="Times New Roman" w:cs="Times New Roman"/>
                <w:bCs/>
                <w:color w:val="000000" w:themeColor="text1"/>
                <w:sz w:val="20"/>
                <w:szCs w:val="20"/>
                <w:lang w:eastAsia="ru-RU"/>
              </w:rPr>
              <w:t>0.303</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0.550</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0.479</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-0.174</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3.300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3.866</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4.030</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4.045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4.228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4.711</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0.091</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0.302</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-0.116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0.147</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3.683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4.302</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4.425</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4.432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4.578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5.048</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0.058</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0.241</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-0.432</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1.627</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3.700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4.475</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4.572</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4.588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4.719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5.217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0.064</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0.252</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-0.745</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2.500</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25Y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3.586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4.465</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4.594</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4.634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4.792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5.318</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0.090</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0.300</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-0.780</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1.889</w:t>
            </w:r>
          </w:p>
        </w:tc>
      </w:tr>
      <w:tr w:rsidR="00D3542A" w:rsidRPr="00B92BDF" w:rsidTr="00D47965">
        <w:trPr>
          <w:trHeight w:val="283"/>
          <w:jc w:val="center"/>
        </w:trPr>
        <w:tc>
          <w:tcPr>
            <w:tcW w:w="763" w:type="dxa"/>
            <w:tcBorders>
              <w:right w:val="single" w:sz="4" w:space="0" w:color="auto"/>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30Y</w:t>
            </w:r>
          </w:p>
        </w:tc>
        <w:tc>
          <w:tcPr>
            <w:tcW w:w="930" w:type="dxa"/>
            <w:tcBorders>
              <w:left w:val="single" w:sz="4" w:space="0" w:color="auto"/>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3.444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4.336</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4.557</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4.640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4.824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5.386</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0.144</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0.379</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-0.599</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0.500</w:t>
            </w:r>
          </w:p>
        </w:tc>
      </w:tr>
      <w:tr w:rsidR="00D3542A" w:rsidRPr="00B92BDF" w:rsidTr="00D47965">
        <w:trPr>
          <w:trHeight w:val="283"/>
          <w:jc w:val="center"/>
        </w:trPr>
        <w:tc>
          <w:tcPr>
            <w:tcW w:w="9854" w:type="dxa"/>
            <w:gridSpan w:val="11"/>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Subsample 2012-2017</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3M</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-0.589</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-0.421</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-0.030</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0.034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0.265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0.888</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0.149</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0.385</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0.148</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-0.847</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6M</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-0.575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-0.395</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0.072</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0.051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0.438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1.404</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0.243</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0.493</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0.586</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-0.235</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9M</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-0.562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-0.380</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0.139</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0.062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0.550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1.695</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0.320</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0.565</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0.757</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-0.014</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rPr>
              <w:t>-0.546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-0.374</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0.187</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0.065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0.633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1.850</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0.376</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0.613</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0.823</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0.003</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rPr>
              <w:t>-0.39</w:t>
            </w:r>
            <w:r w:rsidRPr="00B92BDF">
              <w:rPr>
                <w:rStyle w:val="gnkrckgcgsb"/>
                <w:rFonts w:ascii="Times New Roman" w:hAnsi="Times New Roman" w:cs="Times New Roman"/>
                <w:color w:val="000000" w:themeColor="text1"/>
                <w:sz w:val="20"/>
                <w:szCs w:val="20"/>
                <w:bdr w:val="none" w:sz="0" w:space="0" w:color="auto" w:frame="1"/>
                <w:lang w:val="de-DE"/>
              </w:rPr>
              <w:t>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-0.187</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0.496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0.207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1.212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2.211</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0.618</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0.786</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0.728</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-0.805</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lastRenderedPageBreak/>
              <w:t>5Y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rPr>
              <w:t>-0.213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0.183</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0.961</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0.523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1.851</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2.805</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0.878</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0.937</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0.598</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-1.131</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10Y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0.438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1.031</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1.920</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1.417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2.993</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3.915</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1.132</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1.064</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0.413</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-1.360</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15Y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0.848</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1.546</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2.406</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1.974</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3.492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4.376</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1.117</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1.057</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0.325</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-1.386</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1.056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1.827</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2.661</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2.260</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3.717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4.608</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1.093</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1.045</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0.282</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-1.384</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25Y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1.182</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1.998</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2.813</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s-ES_tradnl"/>
              </w:rPr>
              <w:t>2.406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3.877</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4.747</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1.080</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1.039</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0.261</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-1.383</w:t>
            </w:r>
          </w:p>
        </w:tc>
      </w:tr>
      <w:tr w:rsidR="00D3542A" w:rsidRPr="00B92BDF" w:rsidTr="00D47965">
        <w:trPr>
          <w:trHeight w:val="283"/>
          <w:jc w:val="center"/>
        </w:trPr>
        <w:tc>
          <w:tcPr>
            <w:tcW w:w="763" w:type="dxa"/>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30Y</w:t>
            </w:r>
          </w:p>
        </w:tc>
        <w:tc>
          <w:tcPr>
            <w:tcW w:w="930" w:type="dxa"/>
            <w:tcBorders>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1.266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2.107</w:t>
            </w:r>
          </w:p>
        </w:tc>
        <w:tc>
          <w:tcPr>
            <w:tcW w:w="943"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2.912</w:t>
            </w:r>
          </w:p>
        </w:tc>
        <w:tc>
          <w:tcPr>
            <w:tcW w:w="998"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en-GB"/>
              </w:rPr>
              <w:t>2.476</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lang w:val="de-DE"/>
              </w:rPr>
              <w:t>3.985</w:t>
            </w:r>
          </w:p>
        </w:tc>
        <w:tc>
          <w:tcPr>
            <w:tcW w:w="930"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Style w:val="gnkrckgcgsb"/>
                <w:rFonts w:ascii="Times New Roman" w:hAnsi="Times New Roman" w:cs="Times New Roman"/>
                <w:color w:val="000000" w:themeColor="text1"/>
                <w:sz w:val="20"/>
                <w:szCs w:val="20"/>
                <w:bdr w:val="none" w:sz="0" w:space="0" w:color="auto" w:frame="1"/>
              </w:rPr>
              <w:t>4.840</w:t>
            </w:r>
          </w:p>
        </w:tc>
        <w:tc>
          <w:tcPr>
            <w:tcW w:w="799"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1.075</w:t>
            </w:r>
          </w:p>
        </w:tc>
        <w:tc>
          <w:tcPr>
            <w:tcW w:w="795"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1.037</w:t>
            </w:r>
          </w:p>
        </w:tc>
        <w:tc>
          <w:tcPr>
            <w:tcW w:w="964" w:type="dxa"/>
            <w:tcBorders>
              <w:left w:val="nil"/>
              <w:righ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0.249</w:t>
            </w:r>
          </w:p>
        </w:tc>
        <w:tc>
          <w:tcPr>
            <w:tcW w:w="872" w:type="dxa"/>
            <w:tcBorders>
              <w:left w:val="nil"/>
            </w:tcBorders>
            <w:vAlign w:val="center"/>
          </w:tcPr>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bCs/>
                <w:color w:val="000000" w:themeColor="text1"/>
                <w:sz w:val="20"/>
                <w:szCs w:val="20"/>
                <w:lang w:eastAsia="ru-RU"/>
              </w:rPr>
              <w:t>-1.386</w:t>
            </w:r>
          </w:p>
        </w:tc>
      </w:tr>
    </w:tbl>
    <w:p w:rsidR="003E4D4F" w:rsidRPr="00B92BDF" w:rsidRDefault="00D3542A" w:rsidP="003E4D4F">
      <w:pPr>
        <w:spacing w:before="240" w:after="0" w:line="360" w:lineRule="auto"/>
        <w:jc w:val="center"/>
        <w:rPr>
          <w:rFonts w:ascii="Times New Roman" w:eastAsia="Times New Roman" w:hAnsi="Times New Roman" w:cs="Times New Roman"/>
          <w:color w:val="000000" w:themeColor="text1"/>
          <w:sz w:val="24"/>
          <w:szCs w:val="24"/>
          <w:lang w:val="en-GB" w:eastAsia="ru-RU"/>
        </w:rPr>
      </w:pPr>
      <w:r w:rsidRPr="00B92BDF">
        <w:rPr>
          <w:rFonts w:ascii="Times New Roman" w:eastAsia="Times New Roman" w:hAnsi="Times New Roman" w:cs="Times New Roman"/>
          <w:color w:val="000000" w:themeColor="text1"/>
          <w:sz w:val="24"/>
          <w:szCs w:val="24"/>
          <w:lang w:val="en-GB" w:eastAsia="ru-RU"/>
        </w:rPr>
        <w:t>Summary statistics for the returns on EMU bonds with different maturities, 2005</w:t>
      </w:r>
      <w:r w:rsidRPr="00B92BDF">
        <w:rPr>
          <w:rFonts w:ascii="Times New Roman" w:hAnsi="Times New Roman" w:cs="Times New Roman"/>
          <w:color w:val="000000" w:themeColor="text1"/>
          <w:sz w:val="24"/>
          <w:szCs w:val="24"/>
          <w:lang w:val="en-GB"/>
        </w:rPr>
        <w:t>–</w:t>
      </w:r>
      <w:r w:rsidRPr="00B92BDF">
        <w:rPr>
          <w:rFonts w:ascii="Times New Roman" w:eastAsia="Times New Roman" w:hAnsi="Times New Roman" w:cs="Times New Roman"/>
          <w:color w:val="000000" w:themeColor="text1"/>
          <w:sz w:val="24"/>
          <w:szCs w:val="24"/>
          <w:lang w:val="en-GB" w:eastAsia="ru-RU"/>
        </w:rPr>
        <w:t>2017.</w:t>
      </w:r>
      <w:r w:rsidR="003E4D4F" w:rsidRPr="00B92BDF">
        <w:rPr>
          <w:rFonts w:ascii="Times New Roman" w:eastAsia="Times New Roman" w:hAnsi="Times New Roman" w:cs="Times New Roman"/>
          <w:color w:val="000000" w:themeColor="text1"/>
          <w:sz w:val="24"/>
          <w:szCs w:val="24"/>
          <w:lang w:val="en-GB" w:eastAsia="ru-RU"/>
        </w:rPr>
        <w:t xml:space="preserve"> </w:t>
      </w:r>
      <w:r w:rsidR="003E4D4F" w:rsidRPr="00B92BDF">
        <w:rPr>
          <w:rFonts w:ascii="Times New Roman" w:hAnsi="Times New Roman" w:cs="Times New Roman"/>
          <w:color w:val="000000" w:themeColor="text1"/>
          <w:sz w:val="24"/>
          <w:lang w:val="en-GB"/>
        </w:rPr>
        <w:t>Source: calculated by the authors, based on ECB data.</w:t>
      </w:r>
    </w:p>
    <w:p w:rsidR="00D3542A" w:rsidRPr="00B92BDF" w:rsidRDefault="00D3542A" w:rsidP="00D35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eastAsia="Times New Roman" w:hAnsi="Times New Roman" w:cs="Times New Roman"/>
          <w:color w:val="000000" w:themeColor="text1"/>
          <w:sz w:val="24"/>
          <w:szCs w:val="20"/>
          <w:bdr w:val="none" w:sz="0" w:space="0" w:color="auto" w:frame="1"/>
          <w:lang w:val="en-GB" w:eastAsia="ru-RU"/>
        </w:rPr>
      </w:pPr>
    </w:p>
    <w:p w:rsidR="00D3542A" w:rsidRPr="00B92BDF" w:rsidRDefault="00D3542A" w:rsidP="00EA54F2">
      <w:pPr>
        <w:spacing w:after="0" w:line="360" w:lineRule="auto"/>
        <w:jc w:val="right"/>
        <w:rPr>
          <w:rFonts w:ascii="Times New Roman" w:hAnsi="Times New Roman" w:cs="Times New Roman"/>
          <w:b/>
          <w:color w:val="000000" w:themeColor="text1"/>
          <w:sz w:val="24"/>
          <w:lang w:val="en-GB"/>
        </w:rPr>
      </w:pPr>
      <w:r w:rsidRPr="00B92BDF">
        <w:rPr>
          <w:rFonts w:ascii="Times New Roman" w:hAnsi="Times New Roman" w:cs="Times New Roman"/>
          <w:b/>
          <w:color w:val="000000" w:themeColor="text1"/>
          <w:sz w:val="24"/>
          <w:lang w:val="en-GB"/>
        </w:rPr>
        <w:t>Appendix B</w:t>
      </w:r>
    </w:p>
    <w:p w:rsidR="00D3542A" w:rsidRPr="00B92BDF" w:rsidRDefault="00D3542A" w:rsidP="00EA54F2">
      <w:pPr>
        <w:spacing w:after="0" w:line="360" w:lineRule="auto"/>
        <w:jc w:val="center"/>
        <w:rPr>
          <w:rFonts w:ascii="Times New Roman" w:hAnsi="Times New Roman" w:cs="Times New Roman"/>
          <w:color w:val="000000" w:themeColor="text1"/>
          <w:sz w:val="24"/>
          <w:lang w:val="en-GB"/>
        </w:rPr>
      </w:pPr>
    </w:p>
    <w:tbl>
      <w:tblPr>
        <w:tblW w:w="10288" w:type="dxa"/>
        <w:jc w:val="center"/>
        <w:tblLook w:val="04A0"/>
      </w:tblPr>
      <w:tblGrid>
        <w:gridCol w:w="737"/>
        <w:gridCol w:w="1757"/>
        <w:gridCol w:w="680"/>
        <w:gridCol w:w="680"/>
        <w:gridCol w:w="680"/>
        <w:gridCol w:w="680"/>
        <w:gridCol w:w="680"/>
        <w:gridCol w:w="680"/>
        <w:gridCol w:w="680"/>
        <w:gridCol w:w="766"/>
        <w:gridCol w:w="794"/>
        <w:gridCol w:w="794"/>
        <w:gridCol w:w="680"/>
      </w:tblGrid>
      <w:tr w:rsidR="00D3542A" w:rsidRPr="00B92BDF" w:rsidTr="00D47965">
        <w:trPr>
          <w:trHeight w:val="315"/>
          <w:jc w:val="center"/>
        </w:trPr>
        <w:tc>
          <w:tcPr>
            <w:tcW w:w="737" w:type="dxa"/>
            <w:tcBorders>
              <w:top w:val="single" w:sz="8" w:space="0" w:color="auto"/>
              <w:left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Date</w:t>
            </w:r>
          </w:p>
        </w:tc>
        <w:tc>
          <w:tcPr>
            <w:tcW w:w="1757"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p>
        </w:tc>
        <w:tc>
          <w:tcPr>
            <w:tcW w:w="680"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3M</w:t>
            </w:r>
          </w:p>
        </w:tc>
        <w:tc>
          <w:tcPr>
            <w:tcW w:w="680"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6M</w:t>
            </w:r>
          </w:p>
        </w:tc>
        <w:tc>
          <w:tcPr>
            <w:tcW w:w="680"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9M</w:t>
            </w:r>
          </w:p>
        </w:tc>
        <w:tc>
          <w:tcPr>
            <w:tcW w:w="680"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1Y</w:t>
            </w:r>
          </w:p>
        </w:tc>
        <w:tc>
          <w:tcPr>
            <w:tcW w:w="680"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3Y</w:t>
            </w:r>
          </w:p>
        </w:tc>
        <w:tc>
          <w:tcPr>
            <w:tcW w:w="680"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5Y</w:t>
            </w:r>
          </w:p>
        </w:tc>
        <w:tc>
          <w:tcPr>
            <w:tcW w:w="680"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10Y</w:t>
            </w:r>
          </w:p>
        </w:tc>
        <w:tc>
          <w:tcPr>
            <w:tcW w:w="766"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15Y</w:t>
            </w:r>
          </w:p>
        </w:tc>
        <w:tc>
          <w:tcPr>
            <w:tcW w:w="794"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20Y</w:t>
            </w:r>
          </w:p>
        </w:tc>
        <w:tc>
          <w:tcPr>
            <w:tcW w:w="794" w:type="dxa"/>
            <w:tcBorders>
              <w:top w:val="single" w:sz="8" w:space="0" w:color="auto"/>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25Y</w:t>
            </w:r>
          </w:p>
        </w:tc>
        <w:tc>
          <w:tcPr>
            <w:tcW w:w="680" w:type="dxa"/>
            <w:tcBorders>
              <w:top w:val="single" w:sz="8" w:space="0" w:color="auto"/>
              <w:bottom w:val="single" w:sz="8" w:space="0" w:color="auto"/>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30Y</w:t>
            </w:r>
          </w:p>
        </w:tc>
      </w:tr>
      <w:tr w:rsidR="00D3542A" w:rsidRPr="00B92BDF" w:rsidTr="00D47965">
        <w:trPr>
          <w:trHeight w:val="315"/>
          <w:jc w:val="center"/>
        </w:trPr>
        <w:tc>
          <w:tcPr>
            <w:tcW w:w="7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2005-2007</w:t>
            </w:r>
          </w:p>
        </w:tc>
        <w:tc>
          <w:tcPr>
            <w:tcW w:w="1757" w:type="dxa"/>
            <w:tcBorders>
              <w:top w:val="single" w:sz="8" w:space="0" w:color="auto"/>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Average Return, %</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2.882</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2.983</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3.055</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3.109</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3.309</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3.448</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3.767</w:t>
            </w:r>
          </w:p>
        </w:tc>
        <w:tc>
          <w:tcPr>
            <w:tcW w:w="766"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3.967</w:t>
            </w:r>
          </w:p>
        </w:tc>
        <w:tc>
          <w:tcPr>
            <w:tcW w:w="794"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4.08</w:t>
            </w:r>
          </w:p>
        </w:tc>
        <w:tc>
          <w:tcPr>
            <w:tcW w:w="794"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4.145</w:t>
            </w:r>
          </w:p>
        </w:tc>
        <w:tc>
          <w:tcPr>
            <w:tcW w:w="680" w:type="dxa"/>
            <w:tcBorders>
              <w:top w:val="single" w:sz="8" w:space="0" w:color="auto"/>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4.186</w:t>
            </w:r>
          </w:p>
        </w:tc>
      </w:tr>
      <w:tr w:rsidR="00D3542A" w:rsidRPr="00B92BDF" w:rsidTr="00D47965">
        <w:trPr>
          <w:trHeight w:val="315"/>
          <w:jc w:val="center"/>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p>
        </w:tc>
        <w:tc>
          <w:tcPr>
            <w:tcW w:w="1757" w:type="dxa"/>
            <w:tcBorders>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SD, %</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0.732</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0.753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0.763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0.763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0.659</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0.547</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0.399</w:t>
            </w:r>
          </w:p>
        </w:tc>
        <w:tc>
          <w:tcPr>
            <w:tcW w:w="766"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0.346</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0.326</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0.319</w:t>
            </w:r>
          </w:p>
        </w:tc>
        <w:tc>
          <w:tcPr>
            <w:tcW w:w="680" w:type="dxa"/>
            <w:tcBorders>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0.318</w:t>
            </w:r>
          </w:p>
        </w:tc>
      </w:tr>
      <w:tr w:rsidR="00D3542A" w:rsidRPr="00B92BDF" w:rsidTr="00D47965">
        <w:trPr>
          <w:trHeight w:val="315"/>
          <w:jc w:val="center"/>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p>
        </w:tc>
        <w:tc>
          <w:tcPr>
            <w:tcW w:w="1757" w:type="dxa"/>
            <w:tcBorders>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Risk Premium, %</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2.882</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2.983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3.055</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0.227</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0.427</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0.565</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0.885</w:t>
            </w:r>
          </w:p>
        </w:tc>
        <w:tc>
          <w:tcPr>
            <w:tcW w:w="766"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1.085</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1.197</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1.263</w:t>
            </w:r>
          </w:p>
        </w:tc>
        <w:tc>
          <w:tcPr>
            <w:tcW w:w="680" w:type="dxa"/>
            <w:tcBorders>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1.304</w:t>
            </w:r>
          </w:p>
        </w:tc>
      </w:tr>
      <w:tr w:rsidR="00D3542A" w:rsidRPr="00B92BDF" w:rsidTr="00D47965">
        <w:trPr>
          <w:trHeight w:val="315"/>
          <w:jc w:val="center"/>
        </w:trPr>
        <w:tc>
          <w:tcPr>
            <w:tcW w:w="737" w:type="dxa"/>
            <w:vMerge/>
            <w:tcBorders>
              <w:top w:val="single" w:sz="8" w:space="0" w:color="auto"/>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p>
        </w:tc>
        <w:tc>
          <w:tcPr>
            <w:tcW w:w="1757" w:type="dxa"/>
            <w:tcBorders>
              <w:left w:val="nil"/>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Sharpe Ratio</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3.936</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3.959</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4.006</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0.297</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0.647</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1.033</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2.221</w:t>
            </w:r>
          </w:p>
        </w:tc>
        <w:tc>
          <w:tcPr>
            <w:tcW w:w="766"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3.138</w:t>
            </w:r>
          </w:p>
        </w:tc>
        <w:tc>
          <w:tcPr>
            <w:tcW w:w="794"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3.669</w:t>
            </w:r>
          </w:p>
        </w:tc>
        <w:tc>
          <w:tcPr>
            <w:tcW w:w="794"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3.956</w:t>
            </w:r>
          </w:p>
        </w:tc>
        <w:tc>
          <w:tcPr>
            <w:tcW w:w="680" w:type="dxa"/>
            <w:tcBorders>
              <w:bottom w:val="single" w:sz="8" w:space="0" w:color="auto"/>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4.105</w:t>
            </w:r>
          </w:p>
        </w:tc>
      </w:tr>
      <w:tr w:rsidR="00D3542A" w:rsidRPr="00B92BDF" w:rsidTr="00D47965">
        <w:trPr>
          <w:trHeight w:val="315"/>
          <w:jc w:val="center"/>
        </w:trPr>
        <w:tc>
          <w:tcPr>
            <w:tcW w:w="7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2008-2011</w:t>
            </w:r>
          </w:p>
        </w:tc>
        <w:tc>
          <w:tcPr>
            <w:tcW w:w="1757" w:type="dxa"/>
            <w:tcBorders>
              <w:top w:val="single" w:sz="8" w:space="0" w:color="auto"/>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Average Return, %</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1.449</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1.575</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1.712</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1.842</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2.583</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3.14</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4.03</w:t>
            </w:r>
          </w:p>
        </w:tc>
        <w:tc>
          <w:tcPr>
            <w:tcW w:w="766"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4.425</w:t>
            </w:r>
          </w:p>
        </w:tc>
        <w:tc>
          <w:tcPr>
            <w:tcW w:w="794"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4.572</w:t>
            </w:r>
          </w:p>
        </w:tc>
        <w:tc>
          <w:tcPr>
            <w:tcW w:w="794"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4.594</w:t>
            </w:r>
          </w:p>
        </w:tc>
        <w:tc>
          <w:tcPr>
            <w:tcW w:w="680" w:type="dxa"/>
            <w:tcBorders>
              <w:top w:val="single" w:sz="8" w:space="0" w:color="auto"/>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4.557</w:t>
            </w:r>
          </w:p>
        </w:tc>
      </w:tr>
      <w:tr w:rsidR="00D3542A" w:rsidRPr="00B92BDF" w:rsidTr="00D47965">
        <w:trPr>
          <w:trHeight w:val="315"/>
          <w:jc w:val="center"/>
        </w:trPr>
        <w:tc>
          <w:tcPr>
            <w:tcW w:w="737" w:type="dxa"/>
            <w:vMerge/>
            <w:tcBorders>
              <w:top w:val="nil"/>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p>
        </w:tc>
        <w:tc>
          <w:tcPr>
            <w:tcW w:w="1757" w:type="dxa"/>
            <w:tcBorders>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SD, %</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1.246</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1.212</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1.171</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1.121</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0.759</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0.55</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0.302</w:t>
            </w:r>
          </w:p>
        </w:tc>
        <w:tc>
          <w:tcPr>
            <w:tcW w:w="766"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0.241</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0.252</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w:t>
            </w:r>
          </w:p>
        </w:tc>
        <w:tc>
          <w:tcPr>
            <w:tcW w:w="680" w:type="dxa"/>
            <w:tcBorders>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0.379</w:t>
            </w:r>
          </w:p>
        </w:tc>
      </w:tr>
      <w:tr w:rsidR="00D3542A" w:rsidRPr="00B92BDF" w:rsidTr="00D47965">
        <w:trPr>
          <w:trHeight w:val="315"/>
          <w:jc w:val="center"/>
        </w:trPr>
        <w:tc>
          <w:tcPr>
            <w:tcW w:w="737" w:type="dxa"/>
            <w:vMerge/>
            <w:tcBorders>
              <w:top w:val="nil"/>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p>
        </w:tc>
        <w:tc>
          <w:tcPr>
            <w:tcW w:w="1757" w:type="dxa"/>
            <w:tcBorders>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Risk Premium, %</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1.449</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1.575</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1.712</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0.393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1.134</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1.691</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2.581</w:t>
            </w:r>
          </w:p>
        </w:tc>
        <w:tc>
          <w:tcPr>
            <w:tcW w:w="766"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2.976</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3.123</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3.145</w:t>
            </w:r>
          </w:p>
        </w:tc>
        <w:tc>
          <w:tcPr>
            <w:tcW w:w="680" w:type="dxa"/>
            <w:tcBorders>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3.108</w:t>
            </w:r>
          </w:p>
        </w:tc>
      </w:tr>
      <w:tr w:rsidR="00D3542A" w:rsidRPr="00B92BDF" w:rsidTr="00D47965">
        <w:trPr>
          <w:trHeight w:val="315"/>
          <w:jc w:val="center"/>
        </w:trPr>
        <w:tc>
          <w:tcPr>
            <w:tcW w:w="737" w:type="dxa"/>
            <w:vMerge/>
            <w:tcBorders>
              <w:top w:val="nil"/>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p>
        </w:tc>
        <w:tc>
          <w:tcPr>
            <w:tcW w:w="1757" w:type="dxa"/>
            <w:tcBorders>
              <w:left w:val="nil"/>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Sharpe Ratio</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1.163</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1.299</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1.462</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0.35</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1.494</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3.073</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8.536</w:t>
            </w:r>
          </w:p>
        </w:tc>
        <w:tc>
          <w:tcPr>
            <w:tcW w:w="766"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12.333</w:t>
            </w:r>
          </w:p>
        </w:tc>
        <w:tc>
          <w:tcPr>
            <w:tcW w:w="794"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12.39</w:t>
            </w:r>
          </w:p>
        </w:tc>
        <w:tc>
          <w:tcPr>
            <w:tcW w:w="794"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10.483</w:t>
            </w:r>
          </w:p>
        </w:tc>
        <w:tc>
          <w:tcPr>
            <w:tcW w:w="680" w:type="dxa"/>
            <w:tcBorders>
              <w:bottom w:val="single" w:sz="8" w:space="0" w:color="auto"/>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8.196</w:t>
            </w:r>
          </w:p>
        </w:tc>
      </w:tr>
      <w:tr w:rsidR="00D3542A" w:rsidRPr="00B92BDF" w:rsidTr="00D47965">
        <w:trPr>
          <w:trHeight w:val="315"/>
          <w:jc w:val="center"/>
        </w:trPr>
        <w:tc>
          <w:tcPr>
            <w:tcW w:w="7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
                <w:color w:val="000000" w:themeColor="text1"/>
                <w:sz w:val="20"/>
                <w:szCs w:val="20"/>
                <w:lang w:eastAsia="ru-RU"/>
              </w:rPr>
            </w:pPr>
            <w:r w:rsidRPr="00B92BDF">
              <w:rPr>
                <w:rFonts w:ascii="Times New Roman" w:eastAsia="Times New Roman" w:hAnsi="Times New Roman" w:cs="Times New Roman"/>
                <w:b/>
                <w:color w:val="000000" w:themeColor="text1"/>
                <w:sz w:val="20"/>
                <w:szCs w:val="20"/>
                <w:lang w:val="en-GB" w:eastAsia="ru-RU"/>
              </w:rPr>
              <w:t>2012-2017</w:t>
            </w:r>
          </w:p>
        </w:tc>
        <w:tc>
          <w:tcPr>
            <w:tcW w:w="1757" w:type="dxa"/>
            <w:tcBorders>
              <w:top w:val="single" w:sz="8" w:space="0" w:color="auto"/>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Average Return, %</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-0.03</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0.072</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0.139</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0.187</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0.496</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0.961</w:t>
            </w:r>
          </w:p>
        </w:tc>
        <w:tc>
          <w:tcPr>
            <w:tcW w:w="680"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1.92</w:t>
            </w:r>
          </w:p>
        </w:tc>
        <w:tc>
          <w:tcPr>
            <w:tcW w:w="766"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2.406</w:t>
            </w:r>
          </w:p>
        </w:tc>
        <w:tc>
          <w:tcPr>
            <w:tcW w:w="794"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2.661</w:t>
            </w:r>
          </w:p>
        </w:tc>
        <w:tc>
          <w:tcPr>
            <w:tcW w:w="794" w:type="dxa"/>
            <w:tcBorders>
              <w:top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2.813</w:t>
            </w:r>
          </w:p>
        </w:tc>
        <w:tc>
          <w:tcPr>
            <w:tcW w:w="680" w:type="dxa"/>
            <w:tcBorders>
              <w:top w:val="single" w:sz="8" w:space="0" w:color="auto"/>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2.912</w:t>
            </w:r>
          </w:p>
        </w:tc>
      </w:tr>
      <w:tr w:rsidR="00D3542A" w:rsidRPr="00B92BDF" w:rsidTr="00D47965">
        <w:trPr>
          <w:trHeight w:val="315"/>
          <w:jc w:val="center"/>
        </w:trPr>
        <w:tc>
          <w:tcPr>
            <w:tcW w:w="737" w:type="dxa"/>
            <w:vMerge/>
            <w:tcBorders>
              <w:top w:val="nil"/>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p>
        </w:tc>
        <w:tc>
          <w:tcPr>
            <w:tcW w:w="1757" w:type="dxa"/>
            <w:tcBorders>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SD, %</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0.385</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0.493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0.565</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0.613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0.786</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0.937</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1.064</w:t>
            </w:r>
          </w:p>
        </w:tc>
        <w:tc>
          <w:tcPr>
            <w:tcW w:w="766"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1.057</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1.045</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1.039</w:t>
            </w:r>
          </w:p>
        </w:tc>
        <w:tc>
          <w:tcPr>
            <w:tcW w:w="680" w:type="dxa"/>
            <w:tcBorders>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1.037</w:t>
            </w:r>
          </w:p>
        </w:tc>
      </w:tr>
      <w:tr w:rsidR="00D3542A" w:rsidRPr="00B92BDF" w:rsidTr="00D47965">
        <w:trPr>
          <w:trHeight w:val="315"/>
          <w:jc w:val="center"/>
        </w:trPr>
        <w:tc>
          <w:tcPr>
            <w:tcW w:w="737" w:type="dxa"/>
            <w:vMerge/>
            <w:tcBorders>
              <w:top w:val="nil"/>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p>
        </w:tc>
        <w:tc>
          <w:tcPr>
            <w:tcW w:w="1757" w:type="dxa"/>
            <w:tcBorders>
              <w:left w:val="nil"/>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bCs/>
                <w:color w:val="000000" w:themeColor="text1"/>
                <w:sz w:val="20"/>
                <w:szCs w:val="20"/>
                <w:lang w:val="en-GB" w:eastAsia="ru-RU"/>
              </w:rPr>
            </w:pPr>
            <w:r w:rsidRPr="00B92BDF">
              <w:rPr>
                <w:rFonts w:ascii="Times New Roman" w:eastAsia="Times New Roman" w:hAnsi="Times New Roman" w:cs="Times New Roman"/>
                <w:bCs/>
                <w:color w:val="000000" w:themeColor="text1"/>
                <w:sz w:val="20"/>
                <w:szCs w:val="20"/>
                <w:lang w:val="en-GB" w:eastAsia="ru-RU"/>
              </w:rPr>
              <w:t>Risk Premium, %</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-0.03</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0.072</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0.139</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0.217</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0.526</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0.991</w:t>
            </w:r>
          </w:p>
        </w:tc>
        <w:tc>
          <w:tcPr>
            <w:tcW w:w="680"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1.95</w:t>
            </w:r>
          </w:p>
        </w:tc>
        <w:tc>
          <w:tcPr>
            <w:tcW w:w="766"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2.436</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2.691</w:t>
            </w:r>
          </w:p>
        </w:tc>
        <w:tc>
          <w:tcPr>
            <w:tcW w:w="794" w:type="dxa"/>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2.843</w:t>
            </w:r>
          </w:p>
        </w:tc>
        <w:tc>
          <w:tcPr>
            <w:tcW w:w="680" w:type="dxa"/>
            <w:tcBorders>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2.942</w:t>
            </w:r>
          </w:p>
        </w:tc>
      </w:tr>
      <w:tr w:rsidR="00D3542A" w:rsidRPr="00B92BDF" w:rsidTr="00D47965">
        <w:trPr>
          <w:trHeight w:val="315"/>
          <w:jc w:val="center"/>
        </w:trPr>
        <w:tc>
          <w:tcPr>
            <w:tcW w:w="737" w:type="dxa"/>
            <w:vMerge/>
            <w:tcBorders>
              <w:top w:val="nil"/>
              <w:left w:val="single" w:sz="8" w:space="0" w:color="auto"/>
              <w:bottom w:val="single" w:sz="8" w:space="0" w:color="000000"/>
              <w:right w:val="single" w:sz="8" w:space="0" w:color="auto"/>
            </w:tcBorders>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p>
        </w:tc>
        <w:tc>
          <w:tcPr>
            <w:tcW w:w="1757" w:type="dxa"/>
            <w:tcBorders>
              <w:left w:val="nil"/>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Sharpe Ratio</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-0.08</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0.146</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0.247</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0.305</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0.63</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1.026</w:t>
            </w:r>
          </w:p>
        </w:tc>
        <w:tc>
          <w:tcPr>
            <w:tcW w:w="680"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1.805</w:t>
            </w:r>
          </w:p>
        </w:tc>
        <w:tc>
          <w:tcPr>
            <w:tcW w:w="766"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2.277</w:t>
            </w:r>
          </w:p>
        </w:tc>
        <w:tc>
          <w:tcPr>
            <w:tcW w:w="794"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2.546</w:t>
            </w:r>
          </w:p>
        </w:tc>
        <w:tc>
          <w:tcPr>
            <w:tcW w:w="794" w:type="dxa"/>
            <w:tcBorders>
              <w:bottom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2.706</w:t>
            </w:r>
          </w:p>
        </w:tc>
        <w:tc>
          <w:tcPr>
            <w:tcW w:w="680" w:type="dxa"/>
            <w:tcBorders>
              <w:bottom w:val="single" w:sz="8" w:space="0" w:color="auto"/>
              <w:right w:val="single" w:sz="8" w:space="0" w:color="auto"/>
            </w:tcBorders>
            <w:shd w:val="clear" w:color="auto" w:fill="auto"/>
            <w:noWrap/>
            <w:vAlign w:val="center"/>
            <w:hideMark/>
          </w:tcPr>
          <w:p w:rsidR="00D3542A" w:rsidRPr="00B92BDF" w:rsidRDefault="00D3542A" w:rsidP="00D47965">
            <w:pPr>
              <w:spacing w:after="0" w:line="240" w:lineRule="auto"/>
              <w:jc w:val="center"/>
              <w:rPr>
                <w:rFonts w:ascii="Times New Roman" w:eastAsia="Times New Roman" w:hAnsi="Times New Roman" w:cs="Times New Roman"/>
                <w:color w:val="000000" w:themeColor="text1"/>
                <w:sz w:val="20"/>
                <w:szCs w:val="20"/>
                <w:lang w:eastAsia="ru-RU"/>
              </w:rPr>
            </w:pPr>
            <w:r w:rsidRPr="00B92BDF">
              <w:rPr>
                <w:rFonts w:ascii="Times New Roman" w:eastAsia="Times New Roman" w:hAnsi="Times New Roman" w:cs="Times New Roman"/>
                <w:color w:val="000000" w:themeColor="text1"/>
                <w:sz w:val="20"/>
                <w:szCs w:val="20"/>
                <w:lang w:val="en-GB" w:eastAsia="ru-RU"/>
              </w:rPr>
              <w:t>2.809</w:t>
            </w:r>
          </w:p>
        </w:tc>
      </w:tr>
    </w:tbl>
    <w:p w:rsidR="00D3542A" w:rsidRPr="00B92BDF" w:rsidRDefault="00D3542A" w:rsidP="00D3542A">
      <w:pPr>
        <w:spacing w:before="240"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szCs w:val="24"/>
          <w:lang w:val="en-GB"/>
        </w:rPr>
        <w:t xml:space="preserve">Risk premiums and </w:t>
      </w:r>
      <w:r w:rsidR="006F3BDB" w:rsidRPr="00B92BDF">
        <w:rPr>
          <w:rFonts w:ascii="Times New Roman" w:hAnsi="Times New Roman" w:cs="Times New Roman"/>
          <w:color w:val="000000" w:themeColor="text1"/>
          <w:sz w:val="24"/>
          <w:szCs w:val="24"/>
          <w:lang w:val="en-GB"/>
        </w:rPr>
        <w:t xml:space="preserve">the </w:t>
      </w:r>
      <w:r w:rsidRPr="00B92BDF">
        <w:rPr>
          <w:rFonts w:ascii="Times New Roman" w:hAnsi="Times New Roman" w:cs="Times New Roman"/>
          <w:color w:val="000000" w:themeColor="text1"/>
          <w:sz w:val="24"/>
          <w:szCs w:val="24"/>
          <w:lang w:val="en-GB"/>
        </w:rPr>
        <w:t xml:space="preserve">Sharpe ratios for EMU bonds </w:t>
      </w:r>
      <w:r w:rsidRPr="00B92BDF">
        <w:rPr>
          <w:rFonts w:ascii="Times New Roman" w:eastAsia="Times New Roman" w:hAnsi="Times New Roman" w:cs="Times New Roman"/>
          <w:color w:val="000000" w:themeColor="text1"/>
          <w:sz w:val="24"/>
          <w:szCs w:val="24"/>
          <w:lang w:val="en-GB" w:eastAsia="ru-RU"/>
        </w:rPr>
        <w:t>with different maturities,</w:t>
      </w:r>
      <w:r w:rsidRPr="00B92BDF">
        <w:rPr>
          <w:rFonts w:ascii="Times New Roman" w:hAnsi="Times New Roman" w:cs="Times New Roman"/>
          <w:color w:val="000000" w:themeColor="text1"/>
          <w:sz w:val="24"/>
          <w:szCs w:val="24"/>
          <w:lang w:val="en-GB"/>
        </w:rPr>
        <w:t xml:space="preserve"> 2005–2017.</w:t>
      </w:r>
      <w:proofErr w:type="gramEnd"/>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Source: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D3542A" w:rsidRPr="00B92BDF" w:rsidRDefault="00D3542A" w:rsidP="00D3542A">
      <w:pPr>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br w:type="page"/>
      </w:r>
    </w:p>
    <w:p w:rsidR="00D3542A" w:rsidRPr="00B92BDF" w:rsidRDefault="00D3542A" w:rsidP="00D3542A">
      <w:pPr>
        <w:spacing w:after="0" w:line="360" w:lineRule="auto"/>
        <w:jc w:val="right"/>
        <w:rPr>
          <w:rFonts w:ascii="Times New Roman" w:hAnsi="Times New Roman" w:cs="Times New Roman"/>
          <w:b/>
          <w:color w:val="000000" w:themeColor="text1"/>
          <w:sz w:val="24"/>
          <w:lang w:val="en-GB"/>
        </w:rPr>
      </w:pPr>
      <w:r w:rsidRPr="00B92BDF">
        <w:rPr>
          <w:rFonts w:ascii="Times New Roman" w:hAnsi="Times New Roman" w:cs="Times New Roman"/>
          <w:b/>
          <w:color w:val="000000" w:themeColor="text1"/>
          <w:sz w:val="24"/>
          <w:lang w:val="en-GB"/>
        </w:rPr>
        <w:lastRenderedPageBreak/>
        <w:t>Appendix C</w:t>
      </w:r>
    </w:p>
    <w:p w:rsidR="00D3542A" w:rsidRPr="00B92BDF" w:rsidRDefault="00D3542A" w:rsidP="00D3542A">
      <w:pPr>
        <w:spacing w:after="0" w:line="360" w:lineRule="auto"/>
        <w:rPr>
          <w:rFonts w:ascii="Times New Roman" w:hAnsi="Times New Roman" w:cs="Times New Roman"/>
          <w:color w:val="000000" w:themeColor="text1"/>
          <w:sz w:val="24"/>
          <w:lang w:val="en-GB"/>
        </w:rPr>
      </w:pPr>
    </w:p>
    <w:tbl>
      <w:tblPr>
        <w:tblStyle w:val="TableGrid"/>
        <w:tblW w:w="10049" w:type="dxa"/>
        <w:jc w:val="center"/>
        <w:tblLook w:val="04A0"/>
      </w:tblPr>
      <w:tblGrid>
        <w:gridCol w:w="540"/>
        <w:gridCol w:w="1071"/>
        <w:gridCol w:w="2059"/>
        <w:gridCol w:w="2126"/>
        <w:gridCol w:w="2065"/>
        <w:gridCol w:w="2188"/>
      </w:tblGrid>
      <w:tr w:rsidR="00D3542A" w:rsidRPr="00B92BDF" w:rsidTr="00D47965">
        <w:trPr>
          <w:trHeight w:val="283"/>
          <w:jc w:val="center"/>
        </w:trPr>
        <w:tc>
          <w:tcPr>
            <w:tcW w:w="1611" w:type="dxa"/>
            <w:gridSpan w:val="2"/>
            <w:tcBorders>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p>
        </w:tc>
        <w:tc>
          <w:tcPr>
            <w:tcW w:w="2059"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2005-2007</w:t>
            </w:r>
          </w:p>
        </w:tc>
        <w:tc>
          <w:tcPr>
            <w:tcW w:w="2126"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2008-2011</w:t>
            </w:r>
          </w:p>
        </w:tc>
        <w:tc>
          <w:tcPr>
            <w:tcW w:w="2065" w:type="dxa"/>
            <w:tcBorders>
              <w:left w:val="nil"/>
              <w:righ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2012-2017</w:t>
            </w:r>
          </w:p>
        </w:tc>
        <w:tc>
          <w:tcPr>
            <w:tcW w:w="2188" w:type="dxa"/>
            <w:tcBorders>
              <w:left w:val="nil"/>
            </w:tcBorders>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2005-2017</w:t>
            </w:r>
          </w:p>
        </w:tc>
      </w:tr>
      <w:tr w:rsidR="00D3542A" w:rsidRPr="00B92BDF" w:rsidTr="00D47965">
        <w:trPr>
          <w:trHeight w:val="567"/>
          <w:jc w:val="center"/>
        </w:trPr>
        <w:tc>
          <w:tcPr>
            <w:tcW w:w="540" w:type="dxa"/>
            <w:vMerge w:val="restart"/>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ST</w:t>
            </w:r>
          </w:p>
        </w:tc>
        <w:tc>
          <w:tcPr>
            <w:tcW w:w="1071"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Residuals</w:t>
            </w:r>
          </w:p>
        </w:tc>
        <w:tc>
          <w:tcPr>
            <w:tcW w:w="2059"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0.794</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26"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0.724</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0.034</w:t>
            </w:r>
          </w:p>
        </w:tc>
        <w:tc>
          <w:tcPr>
            <w:tcW w:w="2065"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0.231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88"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0.283</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r>
      <w:tr w:rsidR="00D3542A" w:rsidRPr="00B92BDF" w:rsidTr="00D47965">
        <w:trPr>
          <w:trHeight w:val="567"/>
          <w:jc w:val="center"/>
        </w:trPr>
        <w:tc>
          <w:tcPr>
            <w:tcW w:w="540" w:type="dxa"/>
            <w:vMerge/>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p>
        </w:tc>
        <w:tc>
          <w:tcPr>
            <w:tcW w:w="1071"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First Difference</w:t>
            </w:r>
          </w:p>
        </w:tc>
        <w:tc>
          <w:tcPr>
            <w:tcW w:w="2059"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0.598</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26"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0.298</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065"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0.01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88"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0.01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r>
      <w:tr w:rsidR="00D3542A" w:rsidRPr="00B92BDF" w:rsidTr="00D47965">
        <w:trPr>
          <w:trHeight w:val="567"/>
          <w:jc w:val="center"/>
        </w:trPr>
        <w:tc>
          <w:tcPr>
            <w:tcW w:w="540" w:type="dxa"/>
            <w:vMerge w:val="restart"/>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MT</w:t>
            </w:r>
          </w:p>
        </w:tc>
        <w:tc>
          <w:tcPr>
            <w:tcW w:w="1071"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Residuals</w:t>
            </w:r>
          </w:p>
        </w:tc>
        <w:tc>
          <w:tcPr>
            <w:tcW w:w="2059"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0.261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26"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0.858</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0.039</w:t>
            </w:r>
          </w:p>
        </w:tc>
        <w:tc>
          <w:tcPr>
            <w:tcW w:w="2065"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0.945</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0.016</w:t>
            </w:r>
          </w:p>
        </w:tc>
        <w:tc>
          <w:tcPr>
            <w:tcW w:w="2188"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0.125</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0.032</w:t>
            </w:r>
          </w:p>
        </w:tc>
      </w:tr>
      <w:tr w:rsidR="00D3542A" w:rsidRPr="00B92BDF" w:rsidTr="00D47965">
        <w:trPr>
          <w:trHeight w:val="567"/>
          <w:jc w:val="center"/>
        </w:trPr>
        <w:tc>
          <w:tcPr>
            <w:tcW w:w="540" w:type="dxa"/>
            <w:vMerge/>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p>
        </w:tc>
        <w:tc>
          <w:tcPr>
            <w:tcW w:w="1071"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First Difference</w:t>
            </w:r>
          </w:p>
        </w:tc>
        <w:tc>
          <w:tcPr>
            <w:tcW w:w="2059"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0.19</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26"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0.152</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065"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0.01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88"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0.01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r>
      <w:tr w:rsidR="00D3542A" w:rsidRPr="00B92BDF" w:rsidTr="00D47965">
        <w:trPr>
          <w:trHeight w:val="567"/>
          <w:jc w:val="center"/>
        </w:trPr>
        <w:tc>
          <w:tcPr>
            <w:tcW w:w="540" w:type="dxa"/>
            <w:vMerge w:val="restart"/>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r w:rsidRPr="00B92BDF">
              <w:rPr>
                <w:rFonts w:ascii="Times New Roman" w:hAnsi="Times New Roman" w:cs="Times New Roman"/>
                <w:b/>
                <w:color w:val="000000" w:themeColor="text1"/>
                <w:sz w:val="20"/>
                <w:szCs w:val="20"/>
                <w:lang w:val="en-GB"/>
              </w:rPr>
              <w:t>LT</w:t>
            </w:r>
          </w:p>
        </w:tc>
        <w:tc>
          <w:tcPr>
            <w:tcW w:w="1071"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Residuals</w:t>
            </w:r>
          </w:p>
        </w:tc>
        <w:tc>
          <w:tcPr>
            <w:tcW w:w="2059"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0.021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26"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0.869</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0.035</w:t>
            </w:r>
          </w:p>
        </w:tc>
        <w:tc>
          <w:tcPr>
            <w:tcW w:w="2065"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0.845</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0.04</w:t>
            </w:r>
          </w:p>
        </w:tc>
        <w:tc>
          <w:tcPr>
            <w:tcW w:w="2188"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0.551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0.01</w:t>
            </w:r>
          </w:p>
        </w:tc>
      </w:tr>
      <w:tr w:rsidR="00D3542A" w:rsidRPr="00B92BDF" w:rsidTr="00D47965">
        <w:trPr>
          <w:trHeight w:val="567"/>
          <w:jc w:val="center"/>
        </w:trPr>
        <w:tc>
          <w:tcPr>
            <w:tcW w:w="540" w:type="dxa"/>
            <w:vMerge/>
            <w:vAlign w:val="center"/>
          </w:tcPr>
          <w:p w:rsidR="00D3542A" w:rsidRPr="00B92BDF" w:rsidRDefault="00D3542A" w:rsidP="00D47965">
            <w:pPr>
              <w:jc w:val="center"/>
              <w:rPr>
                <w:rFonts w:ascii="Times New Roman" w:hAnsi="Times New Roman" w:cs="Times New Roman"/>
                <w:b/>
                <w:color w:val="000000" w:themeColor="text1"/>
                <w:sz w:val="20"/>
                <w:szCs w:val="20"/>
                <w:lang w:val="en-GB"/>
              </w:rPr>
            </w:pPr>
          </w:p>
        </w:tc>
        <w:tc>
          <w:tcPr>
            <w:tcW w:w="1071"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First Difference</w:t>
            </w:r>
          </w:p>
        </w:tc>
        <w:tc>
          <w:tcPr>
            <w:tcW w:w="2059"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NA</w:t>
            </w:r>
          </w:p>
        </w:tc>
        <w:tc>
          <w:tcPr>
            <w:tcW w:w="2126"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0.152</w:t>
            </w:r>
          </w:p>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065" w:type="dxa"/>
            <w:vAlign w:val="center"/>
          </w:tcPr>
          <w:p w:rsidR="00D3542A" w:rsidRPr="00B92BDF" w:rsidRDefault="00D3542A" w:rsidP="00D47965">
            <w:pP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0.01</w:t>
            </w:r>
          </w:p>
          <w:p w:rsidR="00D3542A" w:rsidRPr="00B92BDF" w:rsidRDefault="00D3542A" w:rsidP="00D47965">
            <w:pPr>
              <w:jc w:val="center"/>
              <w:rPr>
                <w:rFonts w:ascii="Times New Roman" w:hAnsi="Times New Roman" w:cs="Times New Roman"/>
                <w:color w:val="000000" w:themeColor="text1"/>
                <w:sz w:val="20"/>
                <w:szCs w:val="20"/>
                <w:lang w:val="en-GB"/>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c>
          <w:tcPr>
            <w:tcW w:w="2188" w:type="dxa"/>
            <w:vAlign w:val="center"/>
          </w:tcPr>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ADF: p-value = 0.01</w:t>
            </w:r>
          </w:p>
          <w:p w:rsidR="00D3542A" w:rsidRPr="00B92BDF" w:rsidRDefault="00D3542A" w:rsidP="00D47965">
            <w:pPr>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KPSS: p-value = 0.1</w:t>
            </w:r>
          </w:p>
        </w:tc>
      </w:tr>
    </w:tbl>
    <w:p w:rsidR="00EA54F2" w:rsidRPr="00B92BDF" w:rsidRDefault="00D3542A" w:rsidP="00EA54F2">
      <w:pPr>
        <w:spacing w:before="240" w:after="0" w:line="360" w:lineRule="auto"/>
        <w:jc w:val="center"/>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The results of ADF and KPSS tests for stationarity in the res</w:t>
      </w:r>
      <w:r w:rsidR="00EA54F2" w:rsidRPr="00B92BDF">
        <w:rPr>
          <w:rFonts w:ascii="Times New Roman" w:hAnsi="Times New Roman" w:cs="Times New Roman"/>
          <w:color w:val="000000" w:themeColor="text1"/>
          <w:sz w:val="24"/>
          <w:szCs w:val="24"/>
          <w:lang w:val="en-GB"/>
        </w:rPr>
        <w:t>iduals and the first difference</w:t>
      </w:r>
    </w:p>
    <w:p w:rsidR="00EA54F2" w:rsidRPr="00B92BDF" w:rsidRDefault="00D3542A" w:rsidP="00EA54F2">
      <w:pPr>
        <w:spacing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szCs w:val="24"/>
          <w:lang w:val="en-GB"/>
        </w:rPr>
        <w:t>of</w:t>
      </w:r>
      <w:proofErr w:type="gramEnd"/>
      <w:r w:rsidRPr="00B92BDF">
        <w:rPr>
          <w:rFonts w:ascii="Times New Roman" w:hAnsi="Times New Roman" w:cs="Times New Roman"/>
          <w:color w:val="000000" w:themeColor="text1"/>
          <w:sz w:val="24"/>
          <w:szCs w:val="24"/>
          <w:lang w:val="en-GB"/>
        </w:rPr>
        <w:t xml:space="preserve"> residuals, EMU bonds </w:t>
      </w:r>
      <w:r w:rsidRPr="00B92BDF">
        <w:rPr>
          <w:rFonts w:ascii="Times New Roman" w:eastAsia="Times New Roman" w:hAnsi="Times New Roman" w:cs="Times New Roman"/>
          <w:color w:val="000000" w:themeColor="text1"/>
          <w:sz w:val="24"/>
          <w:szCs w:val="24"/>
          <w:lang w:val="en-GB" w:eastAsia="ru-RU"/>
        </w:rPr>
        <w:t>with different maturities</w:t>
      </w:r>
      <w:r w:rsidRPr="00B92BDF">
        <w:rPr>
          <w:rFonts w:ascii="Times New Roman" w:hAnsi="Times New Roman" w:cs="Times New Roman"/>
          <w:color w:val="000000" w:themeColor="text1"/>
          <w:sz w:val="24"/>
          <w:szCs w:val="24"/>
          <w:lang w:val="en-GB"/>
        </w:rPr>
        <w:t>, 2005–2017.</w:t>
      </w:r>
    </w:p>
    <w:p w:rsidR="00D3542A" w:rsidRPr="00B92BDF" w:rsidRDefault="00D3542A" w:rsidP="00EA54F2">
      <w:pPr>
        <w:spacing w:after="0" w:line="360" w:lineRule="auto"/>
        <w:jc w:val="center"/>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t>Source: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
    <w:p w:rsidR="00D3542A" w:rsidRPr="00B92BDF" w:rsidRDefault="00D3542A" w:rsidP="00D3542A">
      <w:pPr>
        <w:spacing w:after="0" w:line="360" w:lineRule="auto"/>
        <w:jc w:val="right"/>
        <w:rPr>
          <w:rFonts w:ascii="Times New Roman" w:hAnsi="Times New Roman" w:cs="Times New Roman"/>
          <w:b/>
          <w:color w:val="000000" w:themeColor="text1"/>
          <w:sz w:val="24"/>
          <w:lang w:val="en-GB"/>
        </w:rPr>
      </w:pPr>
      <w:r w:rsidRPr="00B92BDF">
        <w:rPr>
          <w:rFonts w:ascii="Times New Roman" w:hAnsi="Times New Roman" w:cs="Times New Roman"/>
          <w:b/>
          <w:color w:val="000000" w:themeColor="text1"/>
          <w:sz w:val="24"/>
          <w:lang w:val="en-GB"/>
        </w:rPr>
        <w:t>Appendix D</w:t>
      </w:r>
    </w:p>
    <w:p w:rsidR="00EA54F2" w:rsidRPr="00B92BDF" w:rsidRDefault="00EA54F2" w:rsidP="00EA54F2">
      <w:pPr>
        <w:spacing w:after="0" w:line="360" w:lineRule="auto"/>
        <w:jc w:val="center"/>
        <w:rPr>
          <w:rFonts w:ascii="Times New Roman" w:hAnsi="Times New Roman" w:cs="Times New Roman"/>
          <w:color w:val="000000" w:themeColor="text1"/>
          <w:sz w:val="24"/>
          <w:lang w:val="en-GB"/>
        </w:rPr>
      </w:pPr>
    </w:p>
    <w:p w:rsidR="00D3542A" w:rsidRPr="00B92BDF" w:rsidRDefault="00D3542A" w:rsidP="00D3542A">
      <w:pPr>
        <w:spacing w:after="0" w:line="360" w:lineRule="auto"/>
        <w:jc w:val="center"/>
        <w:rPr>
          <w:color w:val="000000" w:themeColor="text1"/>
          <w:lang w:val="en-GB"/>
        </w:rPr>
      </w:pPr>
      <w:r w:rsidRPr="00B92BDF">
        <w:rPr>
          <w:noProof/>
          <w:color w:val="000000" w:themeColor="text1"/>
        </w:rPr>
        <w:drawing>
          <wp:inline distT="0" distB="0" distL="0" distR="0">
            <wp:extent cx="4320000" cy="3481726"/>
            <wp:effectExtent l="19050" t="19050" r="23495" b="2349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20000" cy="3481726"/>
                    </a:xfrm>
                    <a:prstGeom prst="rect">
                      <a:avLst/>
                    </a:prstGeom>
                    <a:ln>
                      <a:solidFill>
                        <a:schemeClr val="tx1"/>
                      </a:solidFill>
                    </a:ln>
                  </pic:spPr>
                </pic:pic>
              </a:graphicData>
            </a:graphic>
          </wp:inline>
        </w:drawing>
      </w:r>
    </w:p>
    <w:p w:rsidR="00D3542A" w:rsidRPr="00B92BDF" w:rsidRDefault="00D3542A" w:rsidP="00D3542A">
      <w:pPr>
        <w:spacing w:after="0" w:line="360" w:lineRule="auto"/>
        <w:jc w:val="center"/>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Graphical representation of the first difference of the residuals, the ACF and PACF functions</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lang w:val="en-GB"/>
        </w:rPr>
        <w:t>for</w:t>
      </w:r>
      <w:proofErr w:type="gramEnd"/>
      <w:r w:rsidRPr="00B92BDF">
        <w:rPr>
          <w:rFonts w:ascii="Times New Roman" w:hAnsi="Times New Roman" w:cs="Times New Roman"/>
          <w:color w:val="000000" w:themeColor="text1"/>
          <w:sz w:val="24"/>
          <w:lang w:val="en-GB"/>
        </w:rPr>
        <w:t xml:space="preserve"> the short-term EMU bond returns, </w:t>
      </w:r>
      <w:r w:rsidRPr="00B92BDF">
        <w:rPr>
          <w:rFonts w:ascii="Times New Roman" w:hAnsi="Times New Roman" w:cs="Times New Roman"/>
          <w:color w:val="000000" w:themeColor="text1"/>
          <w:sz w:val="24"/>
          <w:szCs w:val="24"/>
          <w:lang w:val="en-GB"/>
        </w:rPr>
        <w:t>2005–2017.</w:t>
      </w:r>
      <w:r w:rsidR="00EA54F2"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Source: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D3542A" w:rsidRPr="00B92BDF" w:rsidRDefault="00D3542A" w:rsidP="00D3542A">
      <w:pPr>
        <w:spacing w:after="0" w:line="360" w:lineRule="auto"/>
        <w:jc w:val="center"/>
        <w:rPr>
          <w:color w:val="000000" w:themeColor="text1"/>
          <w:lang w:val="en-GB"/>
        </w:rPr>
      </w:pPr>
      <w:r w:rsidRPr="00B92BDF">
        <w:rPr>
          <w:noProof/>
          <w:color w:val="000000" w:themeColor="text1"/>
        </w:rPr>
        <w:lastRenderedPageBreak/>
        <w:drawing>
          <wp:inline distT="0" distB="0" distL="0" distR="0">
            <wp:extent cx="4320000" cy="3156733"/>
            <wp:effectExtent l="19050" t="19050" r="23495" b="2476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320000" cy="3156733"/>
                    </a:xfrm>
                    <a:prstGeom prst="rect">
                      <a:avLst/>
                    </a:prstGeom>
                    <a:ln>
                      <a:solidFill>
                        <a:schemeClr val="tx1"/>
                      </a:solidFill>
                    </a:ln>
                  </pic:spPr>
                </pic:pic>
              </a:graphicData>
            </a:graphic>
          </wp:inline>
        </w:drawing>
      </w:r>
    </w:p>
    <w:p w:rsidR="00D3542A" w:rsidRPr="00B92BDF" w:rsidRDefault="00D3542A" w:rsidP="00D3542A">
      <w:pPr>
        <w:spacing w:after="0" w:line="360" w:lineRule="auto"/>
        <w:jc w:val="center"/>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Graphical representation of the first difference of the residuals, the ACF and PACF functions</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lang w:val="en-GB"/>
        </w:rPr>
        <w:t>for</w:t>
      </w:r>
      <w:proofErr w:type="gramEnd"/>
      <w:r w:rsidRPr="00B92BDF">
        <w:rPr>
          <w:rFonts w:ascii="Times New Roman" w:hAnsi="Times New Roman" w:cs="Times New Roman"/>
          <w:color w:val="000000" w:themeColor="text1"/>
          <w:sz w:val="24"/>
          <w:lang w:val="en-GB"/>
        </w:rPr>
        <w:t xml:space="preserve"> the mid-term EMU bond returns, </w:t>
      </w:r>
      <w:r w:rsidRPr="00B92BDF">
        <w:rPr>
          <w:rFonts w:ascii="Times New Roman" w:hAnsi="Times New Roman" w:cs="Times New Roman"/>
          <w:color w:val="000000" w:themeColor="text1"/>
          <w:sz w:val="24"/>
          <w:szCs w:val="24"/>
          <w:lang w:val="en-GB"/>
        </w:rPr>
        <w:t>2005–2017.</w:t>
      </w:r>
      <w:r w:rsidR="00EA54F2"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S</w:t>
      </w:r>
      <w:r w:rsidR="00114C0D" w:rsidRPr="00B92BDF">
        <w:rPr>
          <w:rFonts w:ascii="Times New Roman" w:hAnsi="Times New Roman" w:cs="Times New Roman"/>
          <w:color w:val="000000" w:themeColor="text1"/>
          <w:sz w:val="24"/>
          <w:szCs w:val="24"/>
          <w:lang w:val="en-GB"/>
        </w:rPr>
        <w:t>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EA54F2" w:rsidRPr="00B92BDF" w:rsidRDefault="00EA54F2" w:rsidP="00D3542A">
      <w:pPr>
        <w:spacing w:after="0" w:line="360" w:lineRule="auto"/>
        <w:jc w:val="center"/>
        <w:rPr>
          <w:rFonts w:ascii="Times New Roman" w:hAnsi="Times New Roman" w:cs="Times New Roman"/>
          <w:color w:val="000000" w:themeColor="text1"/>
          <w:sz w:val="24"/>
          <w:szCs w:val="24"/>
          <w:lang w:val="en-GB"/>
        </w:rPr>
      </w:pPr>
    </w:p>
    <w:p w:rsidR="00D3542A" w:rsidRPr="00B92BDF" w:rsidRDefault="00D3542A" w:rsidP="00D3542A">
      <w:pPr>
        <w:spacing w:after="0" w:line="360" w:lineRule="auto"/>
        <w:jc w:val="center"/>
        <w:rPr>
          <w:color w:val="000000" w:themeColor="text1"/>
          <w:lang w:val="en-GB"/>
        </w:rPr>
      </w:pPr>
      <w:r w:rsidRPr="00B92BDF">
        <w:rPr>
          <w:noProof/>
          <w:color w:val="000000" w:themeColor="text1"/>
        </w:rPr>
        <w:drawing>
          <wp:inline distT="0" distB="0" distL="0" distR="0">
            <wp:extent cx="4320000" cy="3156736"/>
            <wp:effectExtent l="19050" t="19050" r="23495" b="2476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320000" cy="3156736"/>
                    </a:xfrm>
                    <a:prstGeom prst="rect">
                      <a:avLst/>
                    </a:prstGeom>
                    <a:ln>
                      <a:solidFill>
                        <a:schemeClr val="tx1"/>
                      </a:solidFill>
                    </a:ln>
                  </pic:spPr>
                </pic:pic>
              </a:graphicData>
            </a:graphic>
          </wp:inline>
        </w:drawing>
      </w:r>
    </w:p>
    <w:p w:rsidR="00D3542A" w:rsidRPr="00B92BDF" w:rsidRDefault="00D3542A" w:rsidP="00D3542A">
      <w:pPr>
        <w:spacing w:after="0" w:line="360" w:lineRule="auto"/>
        <w:jc w:val="center"/>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Graphical representation of the first difference of the residuals, the ACF and PACF functions</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lang w:val="en-GB"/>
        </w:rPr>
        <w:t>for</w:t>
      </w:r>
      <w:proofErr w:type="gramEnd"/>
      <w:r w:rsidRPr="00B92BDF">
        <w:rPr>
          <w:rFonts w:ascii="Times New Roman" w:hAnsi="Times New Roman" w:cs="Times New Roman"/>
          <w:color w:val="000000" w:themeColor="text1"/>
          <w:sz w:val="24"/>
          <w:lang w:val="en-GB"/>
        </w:rPr>
        <w:t xml:space="preserve"> the long-term EMU bond returns, </w:t>
      </w:r>
      <w:r w:rsidRPr="00B92BDF">
        <w:rPr>
          <w:rFonts w:ascii="Times New Roman" w:hAnsi="Times New Roman" w:cs="Times New Roman"/>
          <w:color w:val="000000" w:themeColor="text1"/>
          <w:sz w:val="24"/>
          <w:szCs w:val="24"/>
          <w:lang w:val="en-GB"/>
        </w:rPr>
        <w:t>2005–2017.</w:t>
      </w:r>
      <w:r w:rsidR="00EA54F2"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Source: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D3542A" w:rsidRPr="00B92BDF" w:rsidRDefault="00D3542A" w:rsidP="00D3542A">
      <w:pPr>
        <w:rPr>
          <w:rFonts w:ascii="Times New Roman" w:hAnsi="Times New Roman" w:cs="Times New Roman"/>
          <w:color w:val="000000" w:themeColor="text1"/>
          <w:sz w:val="24"/>
          <w:szCs w:val="24"/>
          <w:lang w:val="en-GB"/>
        </w:rPr>
      </w:pPr>
      <w:r w:rsidRPr="00B92BDF">
        <w:rPr>
          <w:rFonts w:ascii="Times New Roman" w:hAnsi="Times New Roman" w:cs="Times New Roman"/>
          <w:color w:val="000000" w:themeColor="text1"/>
          <w:sz w:val="24"/>
          <w:szCs w:val="24"/>
          <w:lang w:val="en-GB"/>
        </w:rPr>
        <w:br w:type="page"/>
      </w:r>
    </w:p>
    <w:p w:rsidR="00D3542A" w:rsidRPr="00B92BDF" w:rsidRDefault="00D3542A" w:rsidP="00D3542A">
      <w:pPr>
        <w:spacing w:after="0" w:line="360" w:lineRule="auto"/>
        <w:jc w:val="right"/>
        <w:rPr>
          <w:rFonts w:ascii="Times New Roman" w:hAnsi="Times New Roman" w:cs="Times New Roman"/>
          <w:b/>
          <w:color w:val="000000" w:themeColor="text1"/>
          <w:sz w:val="24"/>
          <w:szCs w:val="24"/>
          <w:lang w:val="en-GB"/>
        </w:rPr>
      </w:pPr>
      <w:r w:rsidRPr="00B92BDF">
        <w:rPr>
          <w:rFonts w:ascii="Times New Roman" w:hAnsi="Times New Roman" w:cs="Times New Roman"/>
          <w:b/>
          <w:color w:val="000000" w:themeColor="text1"/>
          <w:sz w:val="24"/>
          <w:szCs w:val="24"/>
          <w:lang w:val="en-GB"/>
        </w:rPr>
        <w:lastRenderedPageBreak/>
        <w:t>Appendix E</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
    <w:tbl>
      <w:tblPr>
        <w:tblStyle w:val="TableGrid"/>
        <w:tblW w:w="0" w:type="auto"/>
        <w:jc w:val="center"/>
        <w:tblLook w:val="04A0"/>
      </w:tblPr>
      <w:tblGrid>
        <w:gridCol w:w="850"/>
        <w:gridCol w:w="1531"/>
        <w:gridCol w:w="1531"/>
        <w:gridCol w:w="1531"/>
      </w:tblGrid>
      <w:tr w:rsidR="00D3542A" w:rsidRPr="00B92BDF" w:rsidTr="00D47965">
        <w:trPr>
          <w:cantSplit/>
          <w:trHeight w:val="454"/>
          <w:jc w:val="center"/>
        </w:trPr>
        <w:tc>
          <w:tcPr>
            <w:tcW w:w="850" w:type="dxa"/>
            <w:tcBorders>
              <w:bottom w:val="single" w:sz="4" w:space="0" w:color="auto"/>
              <w:tl2br w:val="single" w:sz="4" w:space="0" w:color="auto"/>
            </w:tcBorders>
            <w:vAlign w:val="center"/>
          </w:tcPr>
          <w:p w:rsidR="00D3542A" w:rsidRPr="00B92BDF" w:rsidRDefault="00D3542A" w:rsidP="00D47965">
            <w:pPr>
              <w:pStyle w:val="ListParagraph"/>
              <w:ind w:left="0"/>
              <w:jc w:val="right"/>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MA</w:t>
            </w:r>
          </w:p>
          <w:p w:rsidR="00D3542A" w:rsidRPr="00B92BDF" w:rsidRDefault="00D3542A" w:rsidP="00D47965">
            <w:pPr>
              <w:pStyle w:val="ListParagraph"/>
              <w:ind w:left="0"/>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AR</w:t>
            </w:r>
          </w:p>
        </w:tc>
        <w:tc>
          <w:tcPr>
            <w:tcW w:w="1531" w:type="dxa"/>
            <w:tcBorders>
              <w:righ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w:t>
            </w:r>
          </w:p>
        </w:tc>
        <w:tc>
          <w:tcPr>
            <w:tcW w:w="1531" w:type="dxa"/>
            <w:tcBorders>
              <w:left w:val="nil"/>
              <w:righ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w:t>
            </w:r>
          </w:p>
        </w:tc>
        <w:tc>
          <w:tcPr>
            <w:tcW w:w="1531" w:type="dxa"/>
            <w:tcBorders>
              <w:lef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2</w:t>
            </w:r>
          </w:p>
        </w:tc>
      </w:tr>
      <w:tr w:rsidR="00D3542A" w:rsidRPr="00B92BDF" w:rsidTr="00D47965">
        <w:trPr>
          <w:trHeight w:val="567"/>
          <w:jc w:val="center"/>
        </w:trPr>
        <w:tc>
          <w:tcPr>
            <w:tcW w:w="850" w:type="dxa"/>
            <w:tcBorders>
              <w:bottom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w:t>
            </w:r>
          </w:p>
        </w:tc>
        <w:tc>
          <w:tcPr>
            <w:tcW w:w="1531" w:type="dxa"/>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NA</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-42.78</w:t>
            </w:r>
            <w:r w:rsidRPr="00B92BDF">
              <w:rPr>
                <w:rFonts w:ascii="Times New Roman" w:eastAsia="Times New Roman" w:hAnsi="Times New Roman" w:cs="Times New Roman"/>
                <w:color w:val="000000" w:themeColor="text1"/>
                <w:sz w:val="20"/>
                <w:szCs w:val="20"/>
                <w:bdr w:val="none" w:sz="0" w:space="0" w:color="auto" w:frame="1"/>
                <w:lang w:val="en-GB" w:eastAsia="ru-RU"/>
              </w:rPr>
              <w:t>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-36.71</w:t>
            </w:r>
            <w:r w:rsidRPr="00B92BDF">
              <w:rPr>
                <w:rFonts w:ascii="Times New Roman" w:eastAsia="Times New Roman" w:hAnsi="Times New Roman" w:cs="Times New Roman"/>
                <w:color w:val="000000" w:themeColor="text1"/>
                <w:sz w:val="20"/>
                <w:szCs w:val="20"/>
                <w:bdr w:val="none" w:sz="0" w:space="0" w:color="auto" w:frame="1"/>
                <w:lang w:val="en-GB" w:eastAsia="ru-RU"/>
              </w:rPr>
              <w:t>1</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-46.47</w:t>
            </w:r>
            <w:r w:rsidRPr="00B92BDF">
              <w:rPr>
                <w:rFonts w:ascii="Times New Roman" w:eastAsia="Times New Roman" w:hAnsi="Times New Roman" w:cs="Times New Roman"/>
                <w:color w:val="000000" w:themeColor="text1"/>
                <w:sz w:val="20"/>
                <w:szCs w:val="20"/>
                <w:bdr w:val="none" w:sz="0" w:space="0" w:color="auto" w:frame="1"/>
                <w:lang w:val="en-GB" w:eastAsia="ru-RU"/>
              </w:rPr>
              <w:t>8</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-37.36</w:t>
            </w:r>
            <w:r w:rsidRPr="00B92BDF">
              <w:rPr>
                <w:rFonts w:ascii="Times New Roman" w:eastAsia="Times New Roman" w:hAnsi="Times New Roman" w:cs="Times New Roman"/>
                <w:color w:val="000000" w:themeColor="text1"/>
                <w:sz w:val="20"/>
                <w:szCs w:val="20"/>
                <w:bdr w:val="none" w:sz="0" w:space="0" w:color="auto" w:frame="1"/>
                <w:lang w:val="en-GB" w:eastAsia="ru-RU"/>
              </w:rPr>
              <w:t>7</w:t>
            </w:r>
          </w:p>
        </w:tc>
      </w:tr>
      <w:tr w:rsidR="00D3542A" w:rsidRPr="00B92BDF" w:rsidTr="00D47965">
        <w:trPr>
          <w:trHeight w:val="567"/>
          <w:jc w:val="center"/>
        </w:trPr>
        <w:tc>
          <w:tcPr>
            <w:tcW w:w="850" w:type="dxa"/>
            <w:tcBorders>
              <w:top w:val="nil"/>
              <w:bottom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-10.08</w:t>
            </w:r>
            <w:r w:rsidRPr="00B92BDF">
              <w:rPr>
                <w:rFonts w:ascii="Times New Roman" w:eastAsia="Times New Roman" w:hAnsi="Times New Roman" w:cs="Times New Roman"/>
                <w:color w:val="000000" w:themeColor="text1"/>
                <w:sz w:val="20"/>
                <w:szCs w:val="20"/>
                <w:bdr w:val="none" w:sz="0" w:space="0" w:color="auto" w:frame="1"/>
                <w:lang w:val="en-GB" w:eastAsia="ru-RU"/>
              </w:rPr>
              <w:t>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-4.011</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-48.10</w:t>
            </w:r>
            <w:r w:rsidRPr="00B92BDF">
              <w:rPr>
                <w:rFonts w:ascii="Times New Roman" w:eastAsia="Times New Roman" w:hAnsi="Times New Roman" w:cs="Times New Roman"/>
                <w:color w:val="000000" w:themeColor="text1"/>
                <w:sz w:val="20"/>
                <w:szCs w:val="20"/>
                <w:bdr w:val="none" w:sz="0" w:space="0" w:color="auto" w:frame="1"/>
                <w:lang w:val="en-GB" w:eastAsia="ru-RU"/>
              </w:rPr>
              <w:t>4</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-38.99</w:t>
            </w:r>
            <w:r w:rsidRPr="00B92BDF">
              <w:rPr>
                <w:rFonts w:ascii="Times New Roman" w:eastAsia="Times New Roman" w:hAnsi="Times New Roman" w:cs="Times New Roman"/>
                <w:color w:val="000000" w:themeColor="text1"/>
                <w:sz w:val="20"/>
                <w:szCs w:val="20"/>
                <w:bdr w:val="none" w:sz="0" w:space="0" w:color="auto" w:frame="1"/>
                <w:lang w:val="en-GB" w:eastAsia="ru-RU"/>
              </w:rPr>
              <w:t>2</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-46.50</w:t>
            </w:r>
            <w:r w:rsidRPr="00B92BDF">
              <w:rPr>
                <w:rFonts w:ascii="Times New Roman" w:eastAsia="Times New Roman" w:hAnsi="Times New Roman" w:cs="Times New Roman"/>
                <w:color w:val="000000" w:themeColor="text1"/>
                <w:sz w:val="20"/>
                <w:szCs w:val="20"/>
                <w:bdr w:val="none" w:sz="0" w:space="0" w:color="auto" w:frame="1"/>
                <w:lang w:val="en-GB" w:eastAsia="ru-RU"/>
              </w:rPr>
              <w:t>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-34.357</w:t>
            </w:r>
          </w:p>
        </w:tc>
      </w:tr>
      <w:tr w:rsidR="00D3542A" w:rsidRPr="00B92BDF" w:rsidTr="00D47965">
        <w:trPr>
          <w:trHeight w:val="567"/>
          <w:jc w:val="center"/>
        </w:trPr>
        <w:tc>
          <w:tcPr>
            <w:tcW w:w="850" w:type="dxa"/>
            <w:tcBorders>
              <w:top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2</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-11.86</w:t>
            </w:r>
            <w:r w:rsidRPr="00B92BDF">
              <w:rPr>
                <w:rFonts w:ascii="Times New Roman" w:eastAsia="Times New Roman" w:hAnsi="Times New Roman" w:cs="Times New Roman"/>
                <w:color w:val="000000" w:themeColor="text1"/>
                <w:sz w:val="20"/>
                <w:szCs w:val="20"/>
                <w:bdr w:val="none" w:sz="0" w:space="0" w:color="auto" w:frame="1"/>
                <w:lang w:val="en-GB" w:eastAsia="ru-RU"/>
              </w:rPr>
              <w:t>6</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-2.75</w:t>
            </w:r>
            <w:r w:rsidRPr="00B92BDF">
              <w:rPr>
                <w:rFonts w:ascii="Times New Roman" w:eastAsia="Times New Roman" w:hAnsi="Times New Roman" w:cs="Times New Roman"/>
                <w:color w:val="000000" w:themeColor="text1"/>
                <w:sz w:val="20"/>
                <w:szCs w:val="20"/>
                <w:bdr w:val="none" w:sz="0" w:space="0" w:color="auto" w:frame="1"/>
                <w:lang w:val="en-GB" w:eastAsia="ru-RU"/>
              </w:rPr>
              <w:t>5</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-46.884</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-34.736</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-47.76</w:t>
            </w:r>
            <w:r w:rsidRPr="00B92BDF">
              <w:rPr>
                <w:rFonts w:ascii="Times New Roman" w:eastAsia="Times New Roman" w:hAnsi="Times New Roman" w:cs="Times New Roman"/>
                <w:color w:val="000000" w:themeColor="text1"/>
                <w:sz w:val="20"/>
                <w:szCs w:val="20"/>
                <w:bdr w:val="none" w:sz="0" w:space="0" w:color="auto" w:frame="1"/>
                <w:lang w:val="en-GB" w:eastAsia="ru-RU"/>
              </w:rPr>
              <w:t>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-32.580</w:t>
            </w:r>
          </w:p>
        </w:tc>
      </w:tr>
    </w:tbl>
    <w:p w:rsidR="00D3542A" w:rsidRPr="00B92BDF" w:rsidRDefault="00D3542A" w:rsidP="00D3542A">
      <w:pPr>
        <w:spacing w:before="240" w:after="0" w:line="360" w:lineRule="auto"/>
        <w:jc w:val="center"/>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The values of AIC and BIC for the set of ARIMA models estimated for the first difference</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lang w:val="en-GB"/>
        </w:rPr>
        <w:t>of</w:t>
      </w:r>
      <w:proofErr w:type="gramEnd"/>
      <w:r w:rsidRPr="00B92BDF">
        <w:rPr>
          <w:rFonts w:ascii="Times New Roman" w:hAnsi="Times New Roman" w:cs="Times New Roman"/>
          <w:color w:val="000000" w:themeColor="text1"/>
          <w:sz w:val="24"/>
          <w:lang w:val="en-GB"/>
        </w:rPr>
        <w:t xml:space="preserve"> the residuals of the short-term bond returns, </w:t>
      </w:r>
      <w:r w:rsidRPr="00B92BDF">
        <w:rPr>
          <w:rFonts w:ascii="Times New Roman" w:hAnsi="Times New Roman" w:cs="Times New Roman"/>
          <w:color w:val="000000" w:themeColor="text1"/>
          <w:sz w:val="24"/>
          <w:szCs w:val="24"/>
          <w:lang w:val="en-GB"/>
        </w:rPr>
        <w:t>2005–2017.</w:t>
      </w:r>
      <w:r w:rsidR="00EA54F2"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S</w:t>
      </w:r>
      <w:r w:rsidR="00114C0D" w:rsidRPr="00B92BDF">
        <w:rPr>
          <w:rFonts w:ascii="Times New Roman" w:hAnsi="Times New Roman" w:cs="Times New Roman"/>
          <w:color w:val="000000" w:themeColor="text1"/>
          <w:sz w:val="24"/>
          <w:szCs w:val="24"/>
          <w:lang w:val="en-GB"/>
        </w:rPr>
        <w:t>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
    <w:tbl>
      <w:tblPr>
        <w:tblStyle w:val="TableGrid"/>
        <w:tblW w:w="5443" w:type="dxa"/>
        <w:jc w:val="center"/>
        <w:tblLook w:val="04A0"/>
      </w:tblPr>
      <w:tblGrid>
        <w:gridCol w:w="850"/>
        <w:gridCol w:w="1531"/>
        <w:gridCol w:w="1531"/>
        <w:gridCol w:w="1531"/>
      </w:tblGrid>
      <w:tr w:rsidR="00D3542A" w:rsidRPr="00B92BDF" w:rsidTr="00D47965">
        <w:trPr>
          <w:cantSplit/>
          <w:trHeight w:val="454"/>
          <w:jc w:val="center"/>
        </w:trPr>
        <w:tc>
          <w:tcPr>
            <w:tcW w:w="850" w:type="dxa"/>
            <w:tcBorders>
              <w:bottom w:val="single" w:sz="4" w:space="0" w:color="auto"/>
              <w:tl2br w:val="single" w:sz="4" w:space="0" w:color="auto"/>
            </w:tcBorders>
            <w:vAlign w:val="center"/>
          </w:tcPr>
          <w:p w:rsidR="00D3542A" w:rsidRPr="00B92BDF" w:rsidRDefault="00D3542A" w:rsidP="00D47965">
            <w:pPr>
              <w:pStyle w:val="ListParagraph"/>
              <w:ind w:left="0"/>
              <w:jc w:val="right"/>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MA</w:t>
            </w:r>
          </w:p>
          <w:p w:rsidR="00D3542A" w:rsidRPr="00B92BDF" w:rsidRDefault="00D3542A" w:rsidP="00D47965">
            <w:pPr>
              <w:pStyle w:val="ListParagraph"/>
              <w:ind w:left="0"/>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AR</w:t>
            </w:r>
          </w:p>
        </w:tc>
        <w:tc>
          <w:tcPr>
            <w:tcW w:w="1531" w:type="dxa"/>
            <w:tcBorders>
              <w:righ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w:t>
            </w:r>
          </w:p>
        </w:tc>
        <w:tc>
          <w:tcPr>
            <w:tcW w:w="1531" w:type="dxa"/>
            <w:tcBorders>
              <w:left w:val="nil"/>
              <w:righ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w:t>
            </w:r>
          </w:p>
        </w:tc>
        <w:tc>
          <w:tcPr>
            <w:tcW w:w="1531" w:type="dxa"/>
            <w:tcBorders>
              <w:lef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2</w:t>
            </w:r>
          </w:p>
        </w:tc>
      </w:tr>
      <w:tr w:rsidR="00D3542A" w:rsidRPr="00B92BDF" w:rsidTr="00D47965">
        <w:trPr>
          <w:trHeight w:val="567"/>
          <w:jc w:val="center"/>
        </w:trPr>
        <w:tc>
          <w:tcPr>
            <w:tcW w:w="850" w:type="dxa"/>
            <w:tcBorders>
              <w:bottom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w:t>
            </w:r>
          </w:p>
        </w:tc>
        <w:tc>
          <w:tcPr>
            <w:tcW w:w="1531" w:type="dxa"/>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NA</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AIC = -70.628</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BIC = -64.554</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AIC = -71.525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BIC = -62.414</w:t>
            </w:r>
          </w:p>
        </w:tc>
      </w:tr>
      <w:tr w:rsidR="00D3542A" w:rsidRPr="00B92BDF" w:rsidTr="00D47965">
        <w:trPr>
          <w:trHeight w:val="567"/>
          <w:jc w:val="center"/>
        </w:trPr>
        <w:tc>
          <w:tcPr>
            <w:tcW w:w="850" w:type="dxa"/>
            <w:tcBorders>
              <w:top w:val="nil"/>
              <w:bottom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AIC = -17.870</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-11.796</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-71.39</w:t>
            </w:r>
            <w:r w:rsidRPr="00B92BDF">
              <w:rPr>
                <w:rFonts w:ascii="Times New Roman" w:eastAsia="Times New Roman" w:hAnsi="Times New Roman" w:cs="Times New Roman"/>
                <w:color w:val="000000" w:themeColor="text1"/>
                <w:sz w:val="20"/>
                <w:szCs w:val="20"/>
                <w:bdr w:val="none" w:sz="0" w:space="0" w:color="auto" w:frame="1"/>
                <w:lang w:val="en-GB" w:eastAsia="ru-RU"/>
              </w:rPr>
              <w:t>6</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-62.285</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-69.52</w:t>
            </w:r>
            <w:r w:rsidRPr="00B92BDF">
              <w:rPr>
                <w:rFonts w:ascii="Times New Roman" w:eastAsia="Times New Roman" w:hAnsi="Times New Roman" w:cs="Times New Roman"/>
                <w:color w:val="000000" w:themeColor="text1"/>
                <w:sz w:val="20"/>
                <w:szCs w:val="20"/>
                <w:bdr w:val="none" w:sz="0" w:space="0" w:color="auto" w:frame="1"/>
                <w:lang w:val="en-GB" w:eastAsia="ru-RU"/>
              </w:rPr>
              <w:t>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-57.377</w:t>
            </w:r>
          </w:p>
        </w:tc>
      </w:tr>
      <w:tr w:rsidR="00D3542A" w:rsidRPr="00B92BDF" w:rsidTr="00D47965">
        <w:trPr>
          <w:trHeight w:val="567"/>
          <w:jc w:val="center"/>
        </w:trPr>
        <w:tc>
          <w:tcPr>
            <w:tcW w:w="850" w:type="dxa"/>
            <w:tcBorders>
              <w:top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2</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-26.210</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-17.099</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-69.715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-57.56</w:t>
            </w:r>
            <w:r w:rsidRPr="00B92BDF">
              <w:rPr>
                <w:rFonts w:ascii="Times New Roman" w:eastAsia="Times New Roman" w:hAnsi="Times New Roman" w:cs="Times New Roman"/>
                <w:color w:val="000000" w:themeColor="text1"/>
                <w:sz w:val="20"/>
                <w:szCs w:val="20"/>
                <w:bdr w:val="none" w:sz="0" w:space="0" w:color="auto" w:frame="1"/>
                <w:lang w:val="en-GB" w:eastAsia="ru-RU"/>
              </w:rPr>
              <w:t>8</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-68.086</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-52.90</w:t>
            </w:r>
            <w:r w:rsidRPr="00B92BDF">
              <w:rPr>
                <w:rFonts w:ascii="Times New Roman" w:eastAsia="Times New Roman" w:hAnsi="Times New Roman" w:cs="Times New Roman"/>
                <w:color w:val="000000" w:themeColor="text1"/>
                <w:sz w:val="20"/>
                <w:szCs w:val="20"/>
                <w:bdr w:val="none" w:sz="0" w:space="0" w:color="auto" w:frame="1"/>
                <w:lang w:val="en-GB" w:eastAsia="ru-RU"/>
              </w:rPr>
              <w:t>2</w:t>
            </w:r>
          </w:p>
        </w:tc>
      </w:tr>
    </w:tbl>
    <w:p w:rsidR="00D3542A" w:rsidRPr="00B92BDF" w:rsidRDefault="00D3542A" w:rsidP="00D3542A">
      <w:pPr>
        <w:spacing w:before="240" w:after="0" w:line="360" w:lineRule="auto"/>
        <w:jc w:val="center"/>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The values of AIC and BIC for the set of ARIMA models estimated for the first difference</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lang w:val="en-GB"/>
        </w:rPr>
        <w:t>of</w:t>
      </w:r>
      <w:proofErr w:type="gramEnd"/>
      <w:r w:rsidRPr="00B92BDF">
        <w:rPr>
          <w:rFonts w:ascii="Times New Roman" w:hAnsi="Times New Roman" w:cs="Times New Roman"/>
          <w:color w:val="000000" w:themeColor="text1"/>
          <w:sz w:val="24"/>
          <w:lang w:val="en-GB"/>
        </w:rPr>
        <w:t xml:space="preserve"> the residuals of the mid-term bond returns, </w:t>
      </w:r>
      <w:r w:rsidRPr="00B92BDF">
        <w:rPr>
          <w:rFonts w:ascii="Times New Roman" w:hAnsi="Times New Roman" w:cs="Times New Roman"/>
          <w:color w:val="000000" w:themeColor="text1"/>
          <w:sz w:val="24"/>
          <w:szCs w:val="24"/>
          <w:lang w:val="en-GB"/>
        </w:rPr>
        <w:t>2005–2017.</w:t>
      </w:r>
      <w:r w:rsidR="00EA54F2"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S</w:t>
      </w:r>
      <w:r w:rsidR="00114C0D" w:rsidRPr="00B92BDF">
        <w:rPr>
          <w:rFonts w:ascii="Times New Roman" w:hAnsi="Times New Roman" w:cs="Times New Roman"/>
          <w:color w:val="000000" w:themeColor="text1"/>
          <w:sz w:val="24"/>
          <w:szCs w:val="24"/>
          <w:lang w:val="en-GB"/>
        </w:rPr>
        <w:t>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
    <w:tbl>
      <w:tblPr>
        <w:tblStyle w:val="TableGrid"/>
        <w:tblW w:w="0" w:type="auto"/>
        <w:jc w:val="center"/>
        <w:tblLook w:val="04A0"/>
      </w:tblPr>
      <w:tblGrid>
        <w:gridCol w:w="850"/>
        <w:gridCol w:w="1531"/>
        <w:gridCol w:w="1531"/>
        <w:gridCol w:w="1531"/>
      </w:tblGrid>
      <w:tr w:rsidR="00D3542A" w:rsidRPr="00B92BDF" w:rsidTr="00D47965">
        <w:trPr>
          <w:cantSplit/>
          <w:trHeight w:val="454"/>
          <w:jc w:val="center"/>
        </w:trPr>
        <w:tc>
          <w:tcPr>
            <w:tcW w:w="850" w:type="dxa"/>
            <w:tcBorders>
              <w:bottom w:val="single" w:sz="4" w:space="0" w:color="auto"/>
              <w:tl2br w:val="single" w:sz="4" w:space="0" w:color="auto"/>
            </w:tcBorders>
            <w:vAlign w:val="center"/>
          </w:tcPr>
          <w:p w:rsidR="00D3542A" w:rsidRPr="00B92BDF" w:rsidRDefault="00D3542A" w:rsidP="00D47965">
            <w:pPr>
              <w:pStyle w:val="ListParagraph"/>
              <w:ind w:left="0"/>
              <w:jc w:val="right"/>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MA</w:t>
            </w:r>
          </w:p>
          <w:p w:rsidR="00D3542A" w:rsidRPr="00B92BDF" w:rsidRDefault="00D3542A" w:rsidP="00D47965">
            <w:pPr>
              <w:pStyle w:val="ListParagraph"/>
              <w:ind w:left="0"/>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AR</w:t>
            </w:r>
          </w:p>
        </w:tc>
        <w:tc>
          <w:tcPr>
            <w:tcW w:w="1531" w:type="dxa"/>
            <w:tcBorders>
              <w:righ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w:t>
            </w:r>
          </w:p>
        </w:tc>
        <w:tc>
          <w:tcPr>
            <w:tcW w:w="1531" w:type="dxa"/>
            <w:tcBorders>
              <w:left w:val="nil"/>
              <w:righ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w:t>
            </w:r>
          </w:p>
        </w:tc>
        <w:tc>
          <w:tcPr>
            <w:tcW w:w="1531" w:type="dxa"/>
            <w:tcBorders>
              <w:left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2</w:t>
            </w:r>
          </w:p>
        </w:tc>
      </w:tr>
      <w:tr w:rsidR="00D3542A" w:rsidRPr="00B92BDF" w:rsidTr="00D47965">
        <w:trPr>
          <w:trHeight w:val="567"/>
          <w:jc w:val="center"/>
        </w:trPr>
        <w:tc>
          <w:tcPr>
            <w:tcW w:w="850" w:type="dxa"/>
            <w:tcBorders>
              <w:bottom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0</w:t>
            </w:r>
          </w:p>
        </w:tc>
        <w:tc>
          <w:tcPr>
            <w:tcW w:w="1531" w:type="dxa"/>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NA</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AIC = -50.562</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BIC = -44.488</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AIC = -49.236</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BIC = -40.125</w:t>
            </w:r>
          </w:p>
        </w:tc>
      </w:tr>
      <w:tr w:rsidR="00D3542A" w:rsidRPr="00B92BDF" w:rsidTr="00D47965">
        <w:trPr>
          <w:trHeight w:val="567"/>
          <w:jc w:val="center"/>
        </w:trPr>
        <w:tc>
          <w:tcPr>
            <w:tcW w:w="850" w:type="dxa"/>
            <w:tcBorders>
              <w:top w:val="nil"/>
              <w:bottom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1</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AIC = 10.004</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16.07</w:t>
            </w:r>
            <w:r w:rsidRPr="00B92BDF">
              <w:rPr>
                <w:rFonts w:ascii="Times New Roman" w:eastAsia="Times New Roman" w:hAnsi="Times New Roman" w:cs="Times New Roman"/>
                <w:color w:val="000000" w:themeColor="text1"/>
                <w:sz w:val="20"/>
                <w:szCs w:val="20"/>
                <w:bdr w:val="none" w:sz="0" w:space="0" w:color="auto" w:frame="1"/>
                <w:lang w:val="en-GB" w:eastAsia="ru-RU"/>
              </w:rPr>
              <w:t>8</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-49.241</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-40.130</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-47.245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-35.09</w:t>
            </w:r>
            <w:r w:rsidRPr="00B92BDF">
              <w:rPr>
                <w:rFonts w:ascii="Times New Roman" w:eastAsia="Times New Roman" w:hAnsi="Times New Roman" w:cs="Times New Roman"/>
                <w:color w:val="000000" w:themeColor="text1"/>
                <w:sz w:val="20"/>
                <w:szCs w:val="20"/>
                <w:bdr w:val="none" w:sz="0" w:space="0" w:color="auto" w:frame="1"/>
                <w:lang w:val="en-GB" w:eastAsia="ru-RU"/>
              </w:rPr>
              <w:t>8</w:t>
            </w:r>
          </w:p>
        </w:tc>
      </w:tr>
      <w:tr w:rsidR="00D3542A" w:rsidRPr="00B92BDF" w:rsidTr="00D47965">
        <w:trPr>
          <w:trHeight w:val="567"/>
          <w:jc w:val="center"/>
        </w:trPr>
        <w:tc>
          <w:tcPr>
            <w:tcW w:w="850" w:type="dxa"/>
            <w:tcBorders>
              <w:top w:val="nil"/>
            </w:tcBorders>
            <w:vAlign w:val="center"/>
          </w:tcPr>
          <w:p w:rsidR="00D3542A" w:rsidRPr="00B92BDF" w:rsidRDefault="00D3542A" w:rsidP="00D47965">
            <w:pPr>
              <w:pStyle w:val="ListParagraph"/>
              <w:ind w:left="0"/>
              <w:jc w:val="center"/>
              <w:rPr>
                <w:rFonts w:ascii="Times New Roman" w:hAnsi="Times New Roman" w:cs="Times New Roman"/>
                <w:color w:val="000000" w:themeColor="text1"/>
                <w:sz w:val="20"/>
                <w:szCs w:val="20"/>
                <w:lang w:val="en-GB"/>
              </w:rPr>
            </w:pPr>
            <w:r w:rsidRPr="00B92BDF">
              <w:rPr>
                <w:rFonts w:ascii="Times New Roman" w:hAnsi="Times New Roman" w:cs="Times New Roman"/>
                <w:color w:val="000000" w:themeColor="text1"/>
                <w:sz w:val="20"/>
                <w:szCs w:val="20"/>
                <w:lang w:val="en-GB"/>
              </w:rPr>
              <w:t>2</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-5.074</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4.03</w:t>
            </w:r>
            <w:r w:rsidRPr="00B92BDF">
              <w:rPr>
                <w:rFonts w:ascii="Times New Roman" w:eastAsia="Times New Roman" w:hAnsi="Times New Roman" w:cs="Times New Roman"/>
                <w:color w:val="000000" w:themeColor="text1"/>
                <w:sz w:val="20"/>
                <w:szCs w:val="20"/>
                <w:bdr w:val="none" w:sz="0" w:space="0" w:color="auto" w:frame="1"/>
                <w:lang w:val="en-GB" w:eastAsia="ru-RU"/>
              </w:rPr>
              <w:t>7</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-47.24</w:t>
            </w:r>
            <w:r w:rsidRPr="00B92BDF">
              <w:rPr>
                <w:rFonts w:ascii="Times New Roman" w:eastAsia="Times New Roman" w:hAnsi="Times New Roman" w:cs="Times New Roman"/>
                <w:color w:val="000000" w:themeColor="text1"/>
                <w:sz w:val="20"/>
                <w:szCs w:val="20"/>
                <w:bdr w:val="none" w:sz="0" w:space="0" w:color="auto" w:frame="1"/>
                <w:lang w:val="en-GB" w:eastAsia="ru-RU"/>
              </w:rPr>
              <w:t>3</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-35.09</w:t>
            </w:r>
            <w:r w:rsidRPr="00B92BDF">
              <w:rPr>
                <w:rFonts w:ascii="Times New Roman" w:eastAsia="Times New Roman" w:hAnsi="Times New Roman" w:cs="Times New Roman"/>
                <w:color w:val="000000" w:themeColor="text1"/>
                <w:sz w:val="20"/>
                <w:szCs w:val="20"/>
                <w:bdr w:val="none" w:sz="0" w:space="0" w:color="auto" w:frame="1"/>
                <w:lang w:val="en-GB" w:eastAsia="ru-RU"/>
              </w:rPr>
              <w:t>5</w:t>
            </w:r>
          </w:p>
        </w:tc>
        <w:tc>
          <w:tcPr>
            <w:tcW w:w="1531" w:type="dxa"/>
            <w:vAlign w:val="center"/>
          </w:tcPr>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bdr w:val="none" w:sz="0" w:space="0" w:color="auto" w:frame="1"/>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AIC = </w:t>
            </w:r>
            <w:r w:rsidRPr="00B92BDF">
              <w:rPr>
                <w:rFonts w:ascii="Times New Roman" w:eastAsia="Times New Roman" w:hAnsi="Times New Roman" w:cs="Times New Roman"/>
                <w:color w:val="000000" w:themeColor="text1"/>
                <w:sz w:val="20"/>
                <w:szCs w:val="20"/>
                <w:bdr w:val="none" w:sz="0" w:space="0" w:color="auto" w:frame="1"/>
                <w:lang w:eastAsia="ru-RU"/>
              </w:rPr>
              <w:t>-46.17</w:t>
            </w:r>
            <w:r w:rsidRPr="00B92BDF">
              <w:rPr>
                <w:rFonts w:ascii="Times New Roman" w:eastAsia="Times New Roman" w:hAnsi="Times New Roman" w:cs="Times New Roman"/>
                <w:color w:val="000000" w:themeColor="text1"/>
                <w:sz w:val="20"/>
                <w:szCs w:val="20"/>
                <w:bdr w:val="none" w:sz="0" w:space="0" w:color="auto" w:frame="1"/>
                <w:lang w:val="en-GB" w:eastAsia="ru-RU"/>
              </w:rPr>
              <w:t>5</w:t>
            </w:r>
          </w:p>
          <w:p w:rsidR="00D3542A" w:rsidRPr="00B92BDF" w:rsidRDefault="00D3542A" w:rsidP="00D479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eastAsia="Times New Roman" w:hAnsi="Times New Roman" w:cs="Times New Roman"/>
                <w:color w:val="000000" w:themeColor="text1"/>
                <w:sz w:val="20"/>
                <w:szCs w:val="20"/>
                <w:lang w:val="en-GB" w:eastAsia="ru-RU"/>
              </w:rPr>
            </w:pPr>
            <w:r w:rsidRPr="00B92BDF">
              <w:rPr>
                <w:rFonts w:ascii="Times New Roman" w:eastAsia="Times New Roman" w:hAnsi="Times New Roman" w:cs="Times New Roman"/>
                <w:color w:val="000000" w:themeColor="text1"/>
                <w:sz w:val="20"/>
                <w:szCs w:val="20"/>
                <w:bdr w:val="none" w:sz="0" w:space="0" w:color="auto" w:frame="1"/>
                <w:lang w:val="en-GB" w:eastAsia="ru-RU"/>
              </w:rPr>
              <w:t xml:space="preserve">BIC = </w:t>
            </w:r>
            <w:r w:rsidRPr="00B92BDF">
              <w:rPr>
                <w:rFonts w:ascii="Times New Roman" w:eastAsia="Times New Roman" w:hAnsi="Times New Roman" w:cs="Times New Roman"/>
                <w:color w:val="000000" w:themeColor="text1"/>
                <w:sz w:val="20"/>
                <w:szCs w:val="20"/>
                <w:bdr w:val="none" w:sz="0" w:space="0" w:color="auto" w:frame="1"/>
                <w:lang w:eastAsia="ru-RU"/>
              </w:rPr>
              <w:t>-30.9</w:t>
            </w:r>
            <w:r w:rsidRPr="00B92BDF">
              <w:rPr>
                <w:rFonts w:ascii="Times New Roman" w:eastAsia="Times New Roman" w:hAnsi="Times New Roman" w:cs="Times New Roman"/>
                <w:color w:val="000000" w:themeColor="text1"/>
                <w:sz w:val="20"/>
                <w:szCs w:val="20"/>
                <w:bdr w:val="none" w:sz="0" w:space="0" w:color="auto" w:frame="1"/>
                <w:lang w:val="en-GB" w:eastAsia="ru-RU"/>
              </w:rPr>
              <w:t>90</w:t>
            </w:r>
          </w:p>
        </w:tc>
      </w:tr>
    </w:tbl>
    <w:p w:rsidR="00D3542A" w:rsidRPr="00B92BDF" w:rsidRDefault="00D3542A" w:rsidP="00D3542A">
      <w:pPr>
        <w:spacing w:before="240" w:after="0" w:line="360" w:lineRule="auto"/>
        <w:jc w:val="center"/>
        <w:rPr>
          <w:rFonts w:ascii="Times New Roman" w:hAnsi="Times New Roman" w:cs="Times New Roman"/>
          <w:color w:val="000000" w:themeColor="text1"/>
          <w:sz w:val="24"/>
          <w:lang w:val="en-GB"/>
        </w:rPr>
      </w:pPr>
      <w:r w:rsidRPr="00B92BDF">
        <w:rPr>
          <w:rFonts w:ascii="Times New Roman" w:hAnsi="Times New Roman" w:cs="Times New Roman"/>
          <w:color w:val="000000" w:themeColor="text1"/>
          <w:sz w:val="24"/>
          <w:lang w:val="en-GB"/>
        </w:rPr>
        <w:t>The values of AIC and BIC for the set of ARIMA models estimated for the first difference</w:t>
      </w:r>
    </w:p>
    <w:p w:rsidR="00D3542A" w:rsidRPr="00B92BDF" w:rsidRDefault="00D3542A" w:rsidP="00D3542A">
      <w:pPr>
        <w:spacing w:after="0" w:line="360" w:lineRule="auto"/>
        <w:jc w:val="center"/>
        <w:rPr>
          <w:rFonts w:ascii="Times New Roman" w:hAnsi="Times New Roman" w:cs="Times New Roman"/>
          <w:color w:val="000000" w:themeColor="text1"/>
          <w:sz w:val="24"/>
          <w:szCs w:val="24"/>
          <w:lang w:val="en-GB"/>
        </w:rPr>
      </w:pPr>
      <w:proofErr w:type="gramStart"/>
      <w:r w:rsidRPr="00B92BDF">
        <w:rPr>
          <w:rFonts w:ascii="Times New Roman" w:hAnsi="Times New Roman" w:cs="Times New Roman"/>
          <w:color w:val="000000" w:themeColor="text1"/>
          <w:sz w:val="24"/>
          <w:lang w:val="en-GB"/>
        </w:rPr>
        <w:t>of</w:t>
      </w:r>
      <w:proofErr w:type="gramEnd"/>
      <w:r w:rsidRPr="00B92BDF">
        <w:rPr>
          <w:rFonts w:ascii="Times New Roman" w:hAnsi="Times New Roman" w:cs="Times New Roman"/>
          <w:color w:val="000000" w:themeColor="text1"/>
          <w:sz w:val="24"/>
          <w:lang w:val="en-GB"/>
        </w:rPr>
        <w:t xml:space="preserve"> the residuals of the long-term bond returns, </w:t>
      </w:r>
      <w:r w:rsidRPr="00B92BDF">
        <w:rPr>
          <w:rFonts w:ascii="Times New Roman" w:hAnsi="Times New Roman" w:cs="Times New Roman"/>
          <w:color w:val="000000" w:themeColor="text1"/>
          <w:sz w:val="24"/>
          <w:szCs w:val="24"/>
          <w:lang w:val="en-GB"/>
        </w:rPr>
        <w:t>2005–2017.</w:t>
      </w:r>
      <w:r w:rsidR="00EA54F2" w:rsidRPr="00B92BDF">
        <w:rPr>
          <w:rFonts w:ascii="Times New Roman" w:hAnsi="Times New Roman" w:cs="Times New Roman"/>
          <w:color w:val="000000" w:themeColor="text1"/>
          <w:sz w:val="24"/>
          <w:szCs w:val="24"/>
          <w:lang w:val="en-GB"/>
        </w:rPr>
        <w:t xml:space="preserve"> </w:t>
      </w:r>
      <w:r w:rsidRPr="00B92BDF">
        <w:rPr>
          <w:rFonts w:ascii="Times New Roman" w:hAnsi="Times New Roman" w:cs="Times New Roman"/>
          <w:color w:val="000000" w:themeColor="text1"/>
          <w:sz w:val="24"/>
          <w:szCs w:val="24"/>
          <w:lang w:val="en-GB"/>
        </w:rPr>
        <w:t>S</w:t>
      </w:r>
      <w:r w:rsidR="00114C0D" w:rsidRPr="00B92BDF">
        <w:rPr>
          <w:rFonts w:ascii="Times New Roman" w:hAnsi="Times New Roman" w:cs="Times New Roman"/>
          <w:color w:val="000000" w:themeColor="text1"/>
          <w:sz w:val="24"/>
          <w:szCs w:val="24"/>
          <w:lang w:val="en-GB"/>
        </w:rPr>
        <w:t>ource: calculated by the author</w:t>
      </w:r>
      <w:r w:rsidR="003E4D4F" w:rsidRPr="00B92BDF">
        <w:rPr>
          <w:rFonts w:ascii="Times New Roman" w:hAnsi="Times New Roman" w:cs="Times New Roman"/>
          <w:color w:val="000000" w:themeColor="text1"/>
          <w:sz w:val="24"/>
          <w:szCs w:val="24"/>
          <w:lang w:val="en-GB"/>
        </w:rPr>
        <w:t>s</w:t>
      </w:r>
      <w:r w:rsidRPr="00B92BDF">
        <w:rPr>
          <w:rFonts w:ascii="Times New Roman" w:hAnsi="Times New Roman" w:cs="Times New Roman"/>
          <w:color w:val="000000" w:themeColor="text1"/>
          <w:sz w:val="24"/>
          <w:szCs w:val="24"/>
          <w:lang w:val="en-GB"/>
        </w:rPr>
        <w:t>.</w:t>
      </w:r>
    </w:p>
    <w:p w:rsidR="00D47965" w:rsidRPr="00B92BDF" w:rsidRDefault="00D47965">
      <w:pPr>
        <w:rPr>
          <w:color w:val="000000" w:themeColor="text1"/>
          <w:lang w:val="en-GB"/>
        </w:rPr>
      </w:pPr>
    </w:p>
    <w:sectPr w:rsidR="00D47965" w:rsidRPr="00B92BDF" w:rsidSect="00D47965">
      <w:footerReference w:type="default" r:id="rId23"/>
      <w:pgSz w:w="11906" w:h="16838"/>
      <w:pgMar w:top="1418" w:right="1418" w:bottom="1418" w:left="141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6E" w:rsidRDefault="00820F6E" w:rsidP="00D47965">
      <w:pPr>
        <w:spacing w:after="0" w:line="240" w:lineRule="auto"/>
      </w:pPr>
      <w:r>
        <w:separator/>
      </w:r>
    </w:p>
  </w:endnote>
  <w:endnote w:type="continuationSeparator" w:id="0">
    <w:p w:rsidR="00820F6E" w:rsidRDefault="00820F6E" w:rsidP="00D47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MR12">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TE266F9A0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DD" w:rsidRPr="00D47965" w:rsidRDefault="001E47DD" w:rsidP="00434652">
    <w:pPr>
      <w:pStyle w:val="Footer"/>
      <w:spacing w:line="360" w:lineRule="auto"/>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6E" w:rsidRDefault="00820F6E" w:rsidP="00D47965">
      <w:pPr>
        <w:spacing w:after="0" w:line="240" w:lineRule="auto"/>
      </w:pPr>
      <w:r>
        <w:separator/>
      </w:r>
    </w:p>
  </w:footnote>
  <w:footnote w:type="continuationSeparator" w:id="0">
    <w:p w:rsidR="00820F6E" w:rsidRDefault="00820F6E" w:rsidP="00D47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649"/>
    <w:multiLevelType w:val="hybridMultilevel"/>
    <w:tmpl w:val="800240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6F7B38"/>
    <w:multiLevelType w:val="multilevel"/>
    <w:tmpl w:val="C3E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30582"/>
    <w:multiLevelType w:val="hybridMultilevel"/>
    <w:tmpl w:val="6E96D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6C405F"/>
    <w:multiLevelType w:val="multilevel"/>
    <w:tmpl w:val="7418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2736D"/>
    <w:multiLevelType w:val="hybridMultilevel"/>
    <w:tmpl w:val="6DBAF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322A33"/>
    <w:multiLevelType w:val="multilevel"/>
    <w:tmpl w:val="631C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714C2"/>
    <w:rsid w:val="00054A30"/>
    <w:rsid w:val="00062E5F"/>
    <w:rsid w:val="00076B8D"/>
    <w:rsid w:val="000F7770"/>
    <w:rsid w:val="001007AC"/>
    <w:rsid w:val="00114C0D"/>
    <w:rsid w:val="00140AC9"/>
    <w:rsid w:val="00143CA1"/>
    <w:rsid w:val="001A1304"/>
    <w:rsid w:val="001E47DD"/>
    <w:rsid w:val="001E716A"/>
    <w:rsid w:val="00236A90"/>
    <w:rsid w:val="00251D28"/>
    <w:rsid w:val="0026052A"/>
    <w:rsid w:val="0028397A"/>
    <w:rsid w:val="002B7AB8"/>
    <w:rsid w:val="002C13B9"/>
    <w:rsid w:val="002D208D"/>
    <w:rsid w:val="002E012B"/>
    <w:rsid w:val="002E66E6"/>
    <w:rsid w:val="002F1B0D"/>
    <w:rsid w:val="002F4497"/>
    <w:rsid w:val="00301CEC"/>
    <w:rsid w:val="003132DD"/>
    <w:rsid w:val="0032012B"/>
    <w:rsid w:val="0032168B"/>
    <w:rsid w:val="0034608E"/>
    <w:rsid w:val="0036376C"/>
    <w:rsid w:val="00371914"/>
    <w:rsid w:val="003A49C3"/>
    <w:rsid w:val="003A658A"/>
    <w:rsid w:val="003B69A6"/>
    <w:rsid w:val="003C4EFC"/>
    <w:rsid w:val="003C68C5"/>
    <w:rsid w:val="003C7039"/>
    <w:rsid w:val="003E4D4F"/>
    <w:rsid w:val="00412D12"/>
    <w:rsid w:val="00415AC0"/>
    <w:rsid w:val="00434652"/>
    <w:rsid w:val="00441DFB"/>
    <w:rsid w:val="00451C33"/>
    <w:rsid w:val="00455599"/>
    <w:rsid w:val="004576CA"/>
    <w:rsid w:val="004B44E7"/>
    <w:rsid w:val="004E05D5"/>
    <w:rsid w:val="004E2B2F"/>
    <w:rsid w:val="00544A68"/>
    <w:rsid w:val="00576E62"/>
    <w:rsid w:val="005815F2"/>
    <w:rsid w:val="0058410B"/>
    <w:rsid w:val="005B093F"/>
    <w:rsid w:val="005F0602"/>
    <w:rsid w:val="005F3FEC"/>
    <w:rsid w:val="005F7B6C"/>
    <w:rsid w:val="005F7D4B"/>
    <w:rsid w:val="00654F36"/>
    <w:rsid w:val="006D4037"/>
    <w:rsid w:val="006D6567"/>
    <w:rsid w:val="006E4FF3"/>
    <w:rsid w:val="006F3BDB"/>
    <w:rsid w:val="006F47D9"/>
    <w:rsid w:val="007309C5"/>
    <w:rsid w:val="007429E3"/>
    <w:rsid w:val="00762851"/>
    <w:rsid w:val="00785A1D"/>
    <w:rsid w:val="007D01C2"/>
    <w:rsid w:val="007F507C"/>
    <w:rsid w:val="007F5122"/>
    <w:rsid w:val="007F6CCC"/>
    <w:rsid w:val="00820F6E"/>
    <w:rsid w:val="00851D87"/>
    <w:rsid w:val="00872694"/>
    <w:rsid w:val="00875E04"/>
    <w:rsid w:val="008D61B6"/>
    <w:rsid w:val="008E04DD"/>
    <w:rsid w:val="008E6461"/>
    <w:rsid w:val="008F650C"/>
    <w:rsid w:val="009160CF"/>
    <w:rsid w:val="00933D7B"/>
    <w:rsid w:val="009526AF"/>
    <w:rsid w:val="0096077D"/>
    <w:rsid w:val="009725EF"/>
    <w:rsid w:val="0099440E"/>
    <w:rsid w:val="009A3454"/>
    <w:rsid w:val="009D15F2"/>
    <w:rsid w:val="009E1ED4"/>
    <w:rsid w:val="00A3407F"/>
    <w:rsid w:val="00A43C85"/>
    <w:rsid w:val="00A723F4"/>
    <w:rsid w:val="00A76009"/>
    <w:rsid w:val="00AB2FA4"/>
    <w:rsid w:val="00AE346F"/>
    <w:rsid w:val="00B02727"/>
    <w:rsid w:val="00B24B6A"/>
    <w:rsid w:val="00B65E6F"/>
    <w:rsid w:val="00B6739D"/>
    <w:rsid w:val="00B90428"/>
    <w:rsid w:val="00B92BDF"/>
    <w:rsid w:val="00BC2D5F"/>
    <w:rsid w:val="00BD5D5F"/>
    <w:rsid w:val="00BE028A"/>
    <w:rsid w:val="00BF36A4"/>
    <w:rsid w:val="00C37081"/>
    <w:rsid w:val="00C422F3"/>
    <w:rsid w:val="00C452D0"/>
    <w:rsid w:val="00C540C8"/>
    <w:rsid w:val="00C61C5A"/>
    <w:rsid w:val="00C714C2"/>
    <w:rsid w:val="00D3542A"/>
    <w:rsid w:val="00D47965"/>
    <w:rsid w:val="00D97E0C"/>
    <w:rsid w:val="00DE68B5"/>
    <w:rsid w:val="00DF404E"/>
    <w:rsid w:val="00E20613"/>
    <w:rsid w:val="00E251B5"/>
    <w:rsid w:val="00E53182"/>
    <w:rsid w:val="00EA54F2"/>
    <w:rsid w:val="00EA5EAB"/>
    <w:rsid w:val="00EB2A73"/>
    <w:rsid w:val="00EB3D78"/>
    <w:rsid w:val="00EF691E"/>
    <w:rsid w:val="00F06614"/>
    <w:rsid w:val="00F07E7C"/>
    <w:rsid w:val="00F35A8B"/>
    <w:rsid w:val="00F35D3D"/>
    <w:rsid w:val="00F55E77"/>
    <w:rsid w:val="00F83949"/>
    <w:rsid w:val="00FA5AC2"/>
    <w:rsid w:val="00FB554F"/>
    <w:rsid w:val="00FC4908"/>
    <w:rsid w:val="00FD4321"/>
    <w:rsid w:val="00FD57F6"/>
    <w:rsid w:val="00FE7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CA"/>
  </w:style>
  <w:style w:type="paragraph" w:styleId="Heading1">
    <w:name w:val="heading 1"/>
    <w:basedOn w:val="Normal"/>
    <w:link w:val="Heading1Char"/>
    <w:uiPriority w:val="9"/>
    <w:qFormat/>
    <w:rsid w:val="00A76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A760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5">
    <w:name w:val="heading 5"/>
    <w:basedOn w:val="Normal"/>
    <w:next w:val="Normal"/>
    <w:link w:val="Heading5Char"/>
    <w:uiPriority w:val="9"/>
    <w:semiHidden/>
    <w:unhideWhenUsed/>
    <w:qFormat/>
    <w:rsid w:val="00A760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A76009"/>
    <w:rPr>
      <w:sz w:val="16"/>
      <w:szCs w:val="16"/>
    </w:rPr>
  </w:style>
  <w:style w:type="paragraph" w:styleId="CommentText">
    <w:name w:val="annotation text"/>
    <w:basedOn w:val="Normal"/>
    <w:link w:val="CommentTextChar"/>
    <w:uiPriority w:val="99"/>
    <w:semiHidden/>
    <w:unhideWhenUsed/>
    <w:rsid w:val="00A76009"/>
    <w:pPr>
      <w:spacing w:line="240" w:lineRule="auto"/>
    </w:pPr>
    <w:rPr>
      <w:sz w:val="20"/>
      <w:szCs w:val="20"/>
    </w:rPr>
  </w:style>
  <w:style w:type="character" w:customStyle="1" w:styleId="CommentTextChar">
    <w:name w:val="Comment Text Char"/>
    <w:basedOn w:val="DefaultParagraphFont"/>
    <w:link w:val="CommentText"/>
    <w:uiPriority w:val="99"/>
    <w:semiHidden/>
    <w:rsid w:val="00A76009"/>
    <w:rPr>
      <w:sz w:val="20"/>
      <w:szCs w:val="20"/>
    </w:rPr>
  </w:style>
  <w:style w:type="paragraph" w:styleId="BalloonText">
    <w:name w:val="Balloon Text"/>
    <w:basedOn w:val="Normal"/>
    <w:link w:val="BalloonTextChar"/>
    <w:uiPriority w:val="99"/>
    <w:semiHidden/>
    <w:unhideWhenUsed/>
    <w:rsid w:val="00A76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09"/>
    <w:rPr>
      <w:rFonts w:ascii="Tahoma" w:hAnsi="Tahoma" w:cs="Tahoma"/>
      <w:sz w:val="16"/>
      <w:szCs w:val="16"/>
    </w:rPr>
  </w:style>
  <w:style w:type="paragraph" w:styleId="ListParagraph">
    <w:name w:val="List Paragraph"/>
    <w:basedOn w:val="Normal"/>
    <w:uiPriority w:val="34"/>
    <w:qFormat/>
    <w:rsid w:val="00A76009"/>
    <w:pPr>
      <w:ind w:left="720"/>
      <w:contextualSpacing/>
    </w:pPr>
  </w:style>
  <w:style w:type="character" w:customStyle="1" w:styleId="comment-copy">
    <w:name w:val="comment-copy"/>
    <w:basedOn w:val="DefaultParagraphFont"/>
    <w:rsid w:val="00A76009"/>
  </w:style>
  <w:style w:type="paragraph" w:customStyle="1" w:styleId="Default">
    <w:name w:val="Default"/>
    <w:rsid w:val="00A76009"/>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A76009"/>
    <w:rPr>
      <w:i/>
      <w:iCs/>
    </w:rPr>
  </w:style>
  <w:style w:type="character" w:customStyle="1" w:styleId="Heading1Char">
    <w:name w:val="Heading 1 Char"/>
    <w:basedOn w:val="DefaultParagraphFont"/>
    <w:link w:val="Heading1"/>
    <w:uiPriority w:val="9"/>
    <w:rsid w:val="00A76009"/>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A76009"/>
    <w:rPr>
      <w:rFonts w:ascii="Times New Roman" w:eastAsia="Times New Roman" w:hAnsi="Times New Roman" w:cs="Times New Roman"/>
      <w:b/>
      <w:bCs/>
      <w:sz w:val="36"/>
      <w:szCs w:val="36"/>
      <w:lang w:eastAsia="ru-RU"/>
    </w:rPr>
  </w:style>
  <w:style w:type="character" w:customStyle="1" w:styleId="Heading5Char">
    <w:name w:val="Heading 5 Char"/>
    <w:basedOn w:val="DefaultParagraphFont"/>
    <w:link w:val="Heading5"/>
    <w:uiPriority w:val="9"/>
    <w:semiHidden/>
    <w:rsid w:val="00A7600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A7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A76009"/>
    <w:rPr>
      <w:rFonts w:ascii="Courier New" w:eastAsia="Times New Roman" w:hAnsi="Courier New" w:cs="Courier New"/>
      <w:sz w:val="20"/>
      <w:szCs w:val="20"/>
      <w:lang w:eastAsia="ru-RU"/>
    </w:rPr>
  </w:style>
  <w:style w:type="character" w:customStyle="1" w:styleId="gnkrckgcgsb">
    <w:name w:val="gnkrckgcgsb"/>
    <w:basedOn w:val="DefaultParagraphFont"/>
    <w:rsid w:val="00A76009"/>
  </w:style>
  <w:style w:type="character" w:customStyle="1" w:styleId="linkify">
    <w:name w:val="linkify"/>
    <w:basedOn w:val="DefaultParagraphFont"/>
    <w:rsid w:val="00A76009"/>
  </w:style>
  <w:style w:type="character" w:styleId="Hyperlink">
    <w:name w:val="Hyperlink"/>
    <w:basedOn w:val="DefaultParagraphFont"/>
    <w:uiPriority w:val="99"/>
    <w:semiHidden/>
    <w:unhideWhenUsed/>
    <w:rsid w:val="00A76009"/>
    <w:rPr>
      <w:color w:val="0000FF"/>
      <w:u w:val="single"/>
    </w:rPr>
  </w:style>
  <w:style w:type="character" w:styleId="Emphasis">
    <w:name w:val="Emphasis"/>
    <w:basedOn w:val="DefaultParagraphFont"/>
    <w:uiPriority w:val="20"/>
    <w:qFormat/>
    <w:rsid w:val="00A76009"/>
    <w:rPr>
      <w:i/>
      <w:iCs/>
    </w:rPr>
  </w:style>
  <w:style w:type="character" w:customStyle="1" w:styleId="mi">
    <w:name w:val="mi"/>
    <w:basedOn w:val="DefaultParagraphFont"/>
    <w:rsid w:val="00A76009"/>
  </w:style>
  <w:style w:type="character" w:customStyle="1" w:styleId="mo">
    <w:name w:val="mo"/>
    <w:basedOn w:val="DefaultParagraphFont"/>
    <w:rsid w:val="00A76009"/>
  </w:style>
  <w:style w:type="character" w:customStyle="1" w:styleId="mn">
    <w:name w:val="mn"/>
    <w:basedOn w:val="DefaultParagraphFont"/>
    <w:rsid w:val="00A76009"/>
  </w:style>
  <w:style w:type="character" w:customStyle="1" w:styleId="gnkrckgcasb">
    <w:name w:val="gnkrckgcasb"/>
    <w:basedOn w:val="DefaultParagraphFont"/>
    <w:rsid w:val="00A76009"/>
  </w:style>
  <w:style w:type="character" w:styleId="PlaceholderText">
    <w:name w:val="Placeholder Text"/>
    <w:basedOn w:val="DefaultParagraphFont"/>
    <w:uiPriority w:val="99"/>
    <w:semiHidden/>
    <w:rsid w:val="00A76009"/>
    <w:rPr>
      <w:color w:val="808080"/>
    </w:rPr>
  </w:style>
  <w:style w:type="character" w:styleId="Strong">
    <w:name w:val="Strong"/>
    <w:basedOn w:val="DefaultParagraphFont"/>
    <w:uiPriority w:val="22"/>
    <w:qFormat/>
    <w:rsid w:val="00A76009"/>
    <w:rPr>
      <w:b/>
      <w:bCs/>
    </w:rPr>
  </w:style>
  <w:style w:type="paragraph" w:customStyle="1" w:styleId="wp-caption-text">
    <w:name w:val="wp-caption-text"/>
    <w:basedOn w:val="Normal"/>
    <w:rsid w:val="00A76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char">
    <w:name w:val="mjx-char"/>
    <w:basedOn w:val="DefaultParagraphFont"/>
    <w:rsid w:val="00A76009"/>
  </w:style>
  <w:style w:type="character" w:customStyle="1" w:styleId="texhtml">
    <w:name w:val="texhtml"/>
    <w:basedOn w:val="DefaultParagraphFont"/>
    <w:rsid w:val="00A76009"/>
  </w:style>
  <w:style w:type="character" w:customStyle="1" w:styleId="mwe-math-mathml-inline">
    <w:name w:val="mwe-math-mathml-inline"/>
    <w:basedOn w:val="DefaultParagraphFont"/>
    <w:rsid w:val="00A76009"/>
  </w:style>
  <w:style w:type="paragraph" w:styleId="Header">
    <w:name w:val="header"/>
    <w:basedOn w:val="Normal"/>
    <w:link w:val="HeaderChar"/>
    <w:uiPriority w:val="99"/>
    <w:unhideWhenUsed/>
    <w:rsid w:val="00D47965"/>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7965"/>
  </w:style>
  <w:style w:type="paragraph" w:styleId="Footer">
    <w:name w:val="footer"/>
    <w:basedOn w:val="Normal"/>
    <w:link w:val="FooterChar"/>
    <w:uiPriority w:val="99"/>
    <w:unhideWhenUsed/>
    <w:rsid w:val="00D47965"/>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7965"/>
  </w:style>
  <w:style w:type="paragraph" w:styleId="CommentSubject">
    <w:name w:val="annotation subject"/>
    <w:basedOn w:val="CommentText"/>
    <w:next w:val="CommentText"/>
    <w:link w:val="CommentSubjectChar"/>
    <w:uiPriority w:val="99"/>
    <w:semiHidden/>
    <w:unhideWhenUsed/>
    <w:rsid w:val="004E05D5"/>
    <w:rPr>
      <w:b/>
      <w:bCs/>
    </w:rPr>
  </w:style>
  <w:style w:type="character" w:customStyle="1" w:styleId="CommentSubjectChar">
    <w:name w:val="Comment Subject Char"/>
    <w:basedOn w:val="CommentTextChar"/>
    <w:link w:val="CommentSubject"/>
    <w:uiPriority w:val="99"/>
    <w:semiHidden/>
    <w:rsid w:val="004E05D5"/>
    <w:rPr>
      <w:b/>
      <w:bCs/>
      <w:sz w:val="20"/>
      <w:szCs w:val="20"/>
    </w:rPr>
  </w:style>
</w:styles>
</file>

<file path=word/webSettings.xml><?xml version="1.0" encoding="utf-8"?>
<w:webSettings xmlns:r="http://schemas.openxmlformats.org/officeDocument/2006/relationships" xmlns:w="http://schemas.openxmlformats.org/wordprocessingml/2006/main">
  <w:divs>
    <w:div w:id="17609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1.xml"/><Relationship Id="rId10" Type="http://schemas.openxmlformats.org/officeDocument/2006/relationships/chart" Target="charts/chart3.xm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I:\HSE%20MAG\&#1050;&#1056;\All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HSE%20MAG\&#1050;&#1056;\All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HSE%20MAG\&#1050;&#1056;\All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HSE%20MAG\&#1050;&#1056;\All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lineChart>
        <c:grouping val="standard"/>
        <c:ser>
          <c:idx val="0"/>
          <c:order val="0"/>
          <c:tx>
            <c:v>Average Yield for AAA-rated Bonds</c:v>
          </c:tx>
          <c:spPr>
            <a:ln w="28575" cap="rnd" cmpd="sng" algn="ctr">
              <a:solidFill>
                <a:schemeClr val="dk1">
                  <a:tint val="88500"/>
                  <a:shade val="95000"/>
                  <a:satMod val="105000"/>
                </a:schemeClr>
              </a:solidFill>
              <a:prstDash val="solid"/>
              <a:round/>
            </a:ln>
            <a:effectLst/>
          </c:spPr>
          <c:marker>
            <c:symbol val="none"/>
          </c:marker>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Graphs!$AI$4:$AS$4</c:f>
              <c:numCache>
                <c:formatCode>0.000</c:formatCode>
                <c:ptCount val="11"/>
                <c:pt idx="0">
                  <c:v>0.93454962903642613</c:v>
                </c:pt>
                <c:pt idx="1">
                  <c:v>0.96850813778774358</c:v>
                </c:pt>
                <c:pt idx="2">
                  <c:v>1.002541950490635</c:v>
                </c:pt>
                <c:pt idx="3">
                  <c:v>1.0373416501853543</c:v>
                </c:pt>
                <c:pt idx="4">
                  <c:v>1.3562401281328798</c:v>
                </c:pt>
                <c:pt idx="5">
                  <c:v>1.7169518445946499</c:v>
                </c:pt>
                <c:pt idx="6">
                  <c:v>2.4405933959142487</c:v>
                </c:pt>
                <c:pt idx="7">
                  <c:v>2.8076416441429441</c:v>
                </c:pt>
                <c:pt idx="8">
                  <c:v>2.9567998747989788</c:v>
                </c:pt>
                <c:pt idx="9">
                  <c:v>3.0008857214439235</c:v>
                </c:pt>
                <c:pt idx="10">
                  <c:v>2.9983318523495917</c:v>
                </c:pt>
              </c:numCache>
            </c:numRef>
          </c:val>
          <c:extLst xmlns:c16r2="http://schemas.microsoft.com/office/drawing/2015/06/chart">
            <c:ext xmlns:c16="http://schemas.microsoft.com/office/drawing/2014/chart" uri="{C3380CC4-5D6E-409C-BE32-E72D297353CC}">
              <c16:uniqueId val="{00000000-98D7-442E-8066-F860F97B0842}"/>
            </c:ext>
          </c:extLst>
        </c:ser>
        <c:ser>
          <c:idx val="1"/>
          <c:order val="1"/>
          <c:tx>
            <c:v>Average Yield for Bonds of All Ratings</c:v>
          </c:tx>
          <c:spPr>
            <a:ln w="28575" cap="rnd" cmpd="sng" algn="ctr">
              <a:solidFill>
                <a:schemeClr val="dk1">
                  <a:tint val="55000"/>
                  <a:shade val="95000"/>
                  <a:satMod val="105000"/>
                </a:schemeClr>
              </a:solidFill>
              <a:prstDash val="solid"/>
              <a:round/>
            </a:ln>
            <a:effectLst/>
          </c:spPr>
          <c:marker>
            <c:symbol val="none"/>
          </c:marker>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Graphs!$AI$7:$AS$7</c:f>
              <c:numCache>
                <c:formatCode>0.000</c:formatCode>
                <c:ptCount val="11"/>
                <c:pt idx="0">
                  <c:v>1.0971752202724936</c:v>
                </c:pt>
                <c:pt idx="1">
                  <c:v>1.2059869569804158</c:v>
                </c:pt>
                <c:pt idx="2">
                  <c:v>1.2962218946716153</c:v>
                </c:pt>
                <c:pt idx="3">
                  <c:v>1.3704496577165719</c:v>
                </c:pt>
                <c:pt idx="4">
                  <c:v>1.7871877679960591</c:v>
                </c:pt>
                <c:pt idx="5">
                  <c:v>2.2055650476992281</c:v>
                </c:pt>
                <c:pt idx="6">
                  <c:v>2.9956416278208127</c:v>
                </c:pt>
                <c:pt idx="7">
                  <c:v>3.3874440632431764</c:v>
                </c:pt>
                <c:pt idx="8">
                  <c:v>3.5763911633532377</c:v>
                </c:pt>
                <c:pt idx="9">
                  <c:v>3.6684968827029629</c:v>
                </c:pt>
                <c:pt idx="10">
                  <c:v>3.7121470116724242</c:v>
                </c:pt>
              </c:numCache>
            </c:numRef>
          </c:val>
          <c:extLst xmlns:c16r2="http://schemas.microsoft.com/office/drawing/2015/06/chart">
            <c:ext xmlns:c16="http://schemas.microsoft.com/office/drawing/2014/chart" uri="{C3380CC4-5D6E-409C-BE32-E72D297353CC}">
              <c16:uniqueId val="{00000001-98D7-442E-8066-F860F97B0842}"/>
            </c:ext>
          </c:extLst>
        </c:ser>
        <c:ser>
          <c:idx val="2"/>
          <c:order val="2"/>
          <c:tx>
            <c:v>Volatility of AAA-rated Bonds</c:v>
          </c:tx>
          <c:spPr>
            <a:ln w="28575" cap="rnd" cmpd="sng" algn="ctr">
              <a:solidFill>
                <a:schemeClr val="dk1">
                  <a:tint val="75000"/>
                  <a:shade val="95000"/>
                  <a:satMod val="105000"/>
                </a:schemeClr>
              </a:solidFill>
              <a:prstDash val="solid"/>
              <a:round/>
            </a:ln>
            <a:effectLst/>
          </c:spPr>
          <c:marker>
            <c:symbol val="none"/>
          </c:marker>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Graphs!$AI$5:$AS$5</c:f>
              <c:numCache>
                <c:formatCode>0.000</c:formatCode>
                <c:ptCount val="11"/>
                <c:pt idx="0">
                  <c:v>1.5058915217080144</c:v>
                </c:pt>
                <c:pt idx="1">
                  <c:v>1.5428872858708702</c:v>
                </c:pt>
                <c:pt idx="2">
                  <c:v>1.5615646384578084</c:v>
                </c:pt>
                <c:pt idx="3">
                  <c:v>1.5710300149302341</c:v>
                </c:pt>
                <c:pt idx="4">
                  <c:v>1.5635754173347498</c:v>
                </c:pt>
                <c:pt idx="5">
                  <c:v>1.5201612069222146</c:v>
                </c:pt>
                <c:pt idx="6">
                  <c:v>1.4132307204237642</c:v>
                </c:pt>
                <c:pt idx="7">
                  <c:v>1.3491075105528711</c:v>
                </c:pt>
                <c:pt idx="8">
                  <c:v>1.3063940137952479</c:v>
                </c:pt>
                <c:pt idx="9">
                  <c:v>1.2745808200651547</c:v>
                </c:pt>
                <c:pt idx="10">
                  <c:v>1.2522427917568271</c:v>
                </c:pt>
              </c:numCache>
            </c:numRef>
          </c:val>
          <c:extLst xmlns:c16r2="http://schemas.microsoft.com/office/drawing/2015/06/chart">
            <c:ext xmlns:c16="http://schemas.microsoft.com/office/drawing/2014/chart" uri="{C3380CC4-5D6E-409C-BE32-E72D297353CC}">
              <c16:uniqueId val="{00000002-98D7-442E-8066-F860F97B0842}"/>
            </c:ext>
          </c:extLst>
        </c:ser>
        <c:ser>
          <c:idx val="3"/>
          <c:order val="3"/>
          <c:tx>
            <c:v>Volatility of Bonds of All Ratings</c:v>
          </c:tx>
          <c:spPr>
            <a:ln w="28575" cap="rnd" cmpd="sng" algn="ctr">
              <a:solidFill>
                <a:schemeClr val="dk1">
                  <a:tint val="98500"/>
                  <a:shade val="95000"/>
                  <a:satMod val="105000"/>
                </a:schemeClr>
              </a:solidFill>
              <a:prstDash val="solid"/>
              <a:round/>
            </a:ln>
            <a:effectLst/>
          </c:spPr>
          <c:marker>
            <c:symbol val="none"/>
          </c:marker>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Graphs!$AI$8:$AS$8</c:f>
              <c:numCache>
                <c:formatCode>0.000</c:formatCode>
                <c:ptCount val="11"/>
                <c:pt idx="0">
                  <c:v>1.424305260176002</c:v>
                </c:pt>
                <c:pt idx="1">
                  <c:v>1.4345761427717927</c:v>
                </c:pt>
                <c:pt idx="2">
                  <c:v>1.4448324563517481</c:v>
                </c:pt>
                <c:pt idx="3">
                  <c:v>1.4515468504725495</c:v>
                </c:pt>
                <c:pt idx="4">
                  <c:v>1.4369546381469678</c:v>
                </c:pt>
                <c:pt idx="5">
                  <c:v>1.381916572985834</c:v>
                </c:pt>
                <c:pt idx="6">
                  <c:v>1.260671201339159</c:v>
                </c:pt>
                <c:pt idx="7">
                  <c:v>1.1897568151245077</c:v>
                </c:pt>
                <c:pt idx="8">
                  <c:v>1.1394859060845137</c:v>
                </c:pt>
                <c:pt idx="9">
                  <c:v>1.0970527352588033</c:v>
                </c:pt>
                <c:pt idx="10">
                  <c:v>1.0626028274110262</c:v>
                </c:pt>
              </c:numCache>
            </c:numRef>
          </c:val>
          <c:extLst xmlns:c16r2="http://schemas.microsoft.com/office/drawing/2015/06/chart">
            <c:ext xmlns:c16="http://schemas.microsoft.com/office/drawing/2014/chart" uri="{C3380CC4-5D6E-409C-BE32-E72D297353CC}">
              <c16:uniqueId val="{00000003-98D7-442E-8066-F860F97B0842}"/>
            </c:ext>
          </c:extLst>
        </c:ser>
        <c:marker val="1"/>
        <c:axId val="78658944"/>
        <c:axId val="108635648"/>
      </c:lineChart>
      <c:catAx>
        <c:axId val="78658944"/>
        <c:scaling>
          <c:orientation val="minMax"/>
        </c:scaling>
        <c:axPos val="b"/>
        <c:title>
          <c:tx>
            <c:rich>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en-GB" sz="1000">
                    <a:latin typeface="Times New Roman" pitchFamily="18" charset="0"/>
                    <a:cs typeface="Times New Roman" pitchFamily="18" charset="0"/>
                  </a:rPr>
                  <a:t>Maturity</a:t>
                </a:r>
                <a:endParaRPr lang="ru-RU" sz="1000">
                  <a:latin typeface="Times New Roman" pitchFamily="18" charset="0"/>
                  <a:cs typeface="Times New Roman" pitchFamily="18" charset="0"/>
                </a:endParaRPr>
              </a:p>
            </c:rich>
          </c:tx>
          <c:spPr>
            <a:noFill/>
            <a:ln>
              <a:noFill/>
            </a:ln>
            <a:effectLst/>
          </c:spPr>
        </c:title>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en-US"/>
          </a:p>
        </c:txPr>
        <c:crossAx val="108635648"/>
        <c:crosses val="autoZero"/>
        <c:auto val="1"/>
        <c:lblAlgn val="ctr"/>
        <c:lblOffset val="100"/>
      </c:catAx>
      <c:valAx>
        <c:axId val="108635648"/>
        <c:scaling>
          <c:orientation val="minMax"/>
          <c:max val="4"/>
          <c:min val="0.5"/>
        </c:scaling>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en-GB" sz="1000">
                    <a:latin typeface="Times New Roman" pitchFamily="18" charset="0"/>
                    <a:cs typeface="Times New Roman" pitchFamily="18" charset="0"/>
                  </a:rPr>
                  <a:t>Average return, %</a:t>
                </a:r>
              </a:p>
              <a:p>
                <a:pPr>
                  <a:defRPr sz="1000" b="1" i="0" u="none" strike="noStrike" kern="1200" baseline="0">
                    <a:solidFill>
                      <a:schemeClr val="tx1"/>
                    </a:solidFill>
                    <a:latin typeface="Times New Roman" pitchFamily="18" charset="0"/>
                    <a:ea typeface="+mn-ea"/>
                    <a:cs typeface="Times New Roman" pitchFamily="18" charset="0"/>
                  </a:defRPr>
                </a:pPr>
                <a:r>
                  <a:rPr lang="en-GB" sz="1000">
                    <a:latin typeface="Times New Roman" pitchFamily="18" charset="0"/>
                    <a:cs typeface="Times New Roman" pitchFamily="18" charset="0"/>
                  </a:rPr>
                  <a:t>Volatility,</a:t>
                </a:r>
                <a:r>
                  <a:rPr lang="en-GB" sz="1000" baseline="0">
                    <a:latin typeface="Times New Roman" pitchFamily="18" charset="0"/>
                    <a:cs typeface="Times New Roman" pitchFamily="18" charset="0"/>
                  </a:rPr>
                  <a:t> %</a:t>
                </a:r>
                <a:endParaRPr lang="ru-RU" sz="1000">
                  <a:latin typeface="Times New Roman" pitchFamily="18" charset="0"/>
                  <a:cs typeface="Times New Roman" pitchFamily="18" charset="0"/>
                </a:endParaRPr>
              </a:p>
            </c:rich>
          </c:tx>
          <c:spPr>
            <a:noFill/>
            <a:ln>
              <a:noFill/>
            </a:ln>
            <a:effectLst/>
          </c:spPr>
        </c:title>
        <c:numFmt formatCode="0.00" sourceLinked="0"/>
        <c:minorTickMark val="out"/>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en-US"/>
          </a:p>
        </c:txPr>
        <c:crossAx val="78658944"/>
        <c:crosses val="autoZero"/>
        <c:crossBetween val="between"/>
        <c:majorUnit val="0.5"/>
        <c:minorUnit val="0.25"/>
      </c:valAx>
      <c:spPr>
        <a:solidFill>
          <a:schemeClr val="bg1"/>
        </a:solid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solidFill>
        <a:schemeClr val="tx1"/>
      </a:solidFill>
      <a:prstDash val="solid"/>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
  <c:chart>
    <c:plotArea>
      <c:layout/>
      <c:lineChart>
        <c:grouping val="standard"/>
        <c:ser>
          <c:idx val="0"/>
          <c:order val="0"/>
          <c:tx>
            <c:strRef>
              <c:f>Graphs!$AD$2</c:f>
              <c:strCache>
                <c:ptCount val="1"/>
                <c:pt idx="0">
                  <c:v>ST Average Return</c:v>
                </c:pt>
              </c:strCache>
            </c:strRef>
          </c:tx>
          <c:spPr>
            <a:ln w="28575" cap="rnd" cmpd="sng" algn="ctr">
              <a:solidFill>
                <a:schemeClr val="dk1">
                  <a:tint val="88500"/>
                  <a:shade val="95000"/>
                  <a:satMod val="105000"/>
                </a:schemeClr>
              </a:solidFill>
              <a:prstDash val="solid"/>
              <a:round/>
            </a:ln>
            <a:effectLst/>
          </c:spPr>
          <c:marker>
            <c:symbol val="none"/>
          </c:marker>
          <c:cat>
            <c:strRef>
              <c:f>Graphs!$AC$3:$AC$158</c:f>
              <c:strCache>
                <c:ptCount val="156"/>
                <c:pt idx="0">
                  <c:v>2005 Jan</c:v>
                </c:pt>
                <c:pt idx="1">
                  <c:v>2005 Feb</c:v>
                </c:pt>
                <c:pt idx="2">
                  <c:v>2005 Mar</c:v>
                </c:pt>
                <c:pt idx="3">
                  <c:v>2005 Apr</c:v>
                </c:pt>
                <c:pt idx="4">
                  <c:v>2005 May</c:v>
                </c:pt>
                <c:pt idx="5">
                  <c:v>2005 Jun</c:v>
                </c:pt>
                <c:pt idx="6">
                  <c:v>2005 Jul</c:v>
                </c:pt>
                <c:pt idx="7">
                  <c:v>2005 Aug</c:v>
                </c:pt>
                <c:pt idx="8">
                  <c:v>2005 Sep</c:v>
                </c:pt>
                <c:pt idx="9">
                  <c:v>2005 Oct</c:v>
                </c:pt>
                <c:pt idx="10">
                  <c:v>2005 Nov</c:v>
                </c:pt>
                <c:pt idx="11">
                  <c:v>2005 Dec</c:v>
                </c:pt>
                <c:pt idx="12">
                  <c:v>2006 Jan</c:v>
                </c:pt>
                <c:pt idx="13">
                  <c:v>2006 Feb</c:v>
                </c:pt>
                <c:pt idx="14">
                  <c:v>2006 Mar</c:v>
                </c:pt>
                <c:pt idx="15">
                  <c:v>2006 Apr</c:v>
                </c:pt>
                <c:pt idx="16">
                  <c:v>2006 May</c:v>
                </c:pt>
                <c:pt idx="17">
                  <c:v>2006 Jun</c:v>
                </c:pt>
                <c:pt idx="18">
                  <c:v>2006 Jul</c:v>
                </c:pt>
                <c:pt idx="19">
                  <c:v>2006 Aug</c:v>
                </c:pt>
                <c:pt idx="20">
                  <c:v>2006 Sep</c:v>
                </c:pt>
                <c:pt idx="21">
                  <c:v>2006 Oct</c:v>
                </c:pt>
                <c:pt idx="22">
                  <c:v>2006 Nov</c:v>
                </c:pt>
                <c:pt idx="23">
                  <c:v>2006 Dec</c:v>
                </c:pt>
                <c:pt idx="24">
                  <c:v>2007 Jan</c:v>
                </c:pt>
                <c:pt idx="25">
                  <c:v>2007 Feb</c:v>
                </c:pt>
                <c:pt idx="26">
                  <c:v>2007 Mar</c:v>
                </c:pt>
                <c:pt idx="27">
                  <c:v>2007 Apr</c:v>
                </c:pt>
                <c:pt idx="28">
                  <c:v>2007 May</c:v>
                </c:pt>
                <c:pt idx="29">
                  <c:v>2007 Jun</c:v>
                </c:pt>
                <c:pt idx="30">
                  <c:v>2007 Jul</c:v>
                </c:pt>
                <c:pt idx="31">
                  <c:v>2007 Aug</c:v>
                </c:pt>
                <c:pt idx="32">
                  <c:v>2007 Sep</c:v>
                </c:pt>
                <c:pt idx="33">
                  <c:v>2007 Oct</c:v>
                </c:pt>
                <c:pt idx="34">
                  <c:v>2007 Nov</c:v>
                </c:pt>
                <c:pt idx="35">
                  <c:v>2007 Dec</c:v>
                </c:pt>
                <c:pt idx="36">
                  <c:v>2008 Jan</c:v>
                </c:pt>
                <c:pt idx="37">
                  <c:v>2008 Feb</c:v>
                </c:pt>
                <c:pt idx="38">
                  <c:v>2008 Mar</c:v>
                </c:pt>
                <c:pt idx="39">
                  <c:v>2008 Apr</c:v>
                </c:pt>
                <c:pt idx="40">
                  <c:v>2008 May</c:v>
                </c:pt>
                <c:pt idx="41">
                  <c:v>2008 Jun</c:v>
                </c:pt>
                <c:pt idx="42">
                  <c:v>2008 Jul</c:v>
                </c:pt>
                <c:pt idx="43">
                  <c:v>2008 Aug</c:v>
                </c:pt>
                <c:pt idx="44">
                  <c:v>2008 Sep</c:v>
                </c:pt>
                <c:pt idx="45">
                  <c:v>2008 Oct</c:v>
                </c:pt>
                <c:pt idx="46">
                  <c:v>2008 Nov</c:v>
                </c:pt>
                <c:pt idx="47">
                  <c:v>2008 Dec</c:v>
                </c:pt>
                <c:pt idx="48">
                  <c:v>2009 Jan</c:v>
                </c:pt>
                <c:pt idx="49">
                  <c:v>2009 Feb</c:v>
                </c:pt>
                <c:pt idx="50">
                  <c:v>2009 Mar</c:v>
                </c:pt>
                <c:pt idx="51">
                  <c:v>2009 Apr</c:v>
                </c:pt>
                <c:pt idx="52">
                  <c:v>2009 May</c:v>
                </c:pt>
                <c:pt idx="53">
                  <c:v>2009 Jun</c:v>
                </c:pt>
                <c:pt idx="54">
                  <c:v>2009 Jul</c:v>
                </c:pt>
                <c:pt idx="55">
                  <c:v>2009 Aug</c:v>
                </c:pt>
                <c:pt idx="56">
                  <c:v>2009 Sep</c:v>
                </c:pt>
                <c:pt idx="57">
                  <c:v>2009 Oct</c:v>
                </c:pt>
                <c:pt idx="58">
                  <c:v>2009 Nov</c:v>
                </c:pt>
                <c:pt idx="59">
                  <c:v>2009 Dec</c:v>
                </c:pt>
                <c:pt idx="60">
                  <c:v>2010 Jan</c:v>
                </c:pt>
                <c:pt idx="61">
                  <c:v>2010 Feb</c:v>
                </c:pt>
                <c:pt idx="62">
                  <c:v>2010 Mar</c:v>
                </c:pt>
                <c:pt idx="63">
                  <c:v>2010 Apr</c:v>
                </c:pt>
                <c:pt idx="64">
                  <c:v>2010 May</c:v>
                </c:pt>
                <c:pt idx="65">
                  <c:v>2010 Jun</c:v>
                </c:pt>
                <c:pt idx="66">
                  <c:v>2010 Jul</c:v>
                </c:pt>
                <c:pt idx="67">
                  <c:v>2010 Aug</c:v>
                </c:pt>
                <c:pt idx="68">
                  <c:v>2010 Sep</c:v>
                </c:pt>
                <c:pt idx="69">
                  <c:v>2010 Oct</c:v>
                </c:pt>
                <c:pt idx="70">
                  <c:v>2010 Nov</c:v>
                </c:pt>
                <c:pt idx="71">
                  <c:v>2010 Dec</c:v>
                </c:pt>
                <c:pt idx="72">
                  <c:v>2011 Jan</c:v>
                </c:pt>
                <c:pt idx="73">
                  <c:v>2011 Feb</c:v>
                </c:pt>
                <c:pt idx="74">
                  <c:v>2011 Mar</c:v>
                </c:pt>
                <c:pt idx="75">
                  <c:v>2011 Apr</c:v>
                </c:pt>
                <c:pt idx="76">
                  <c:v>2011 May</c:v>
                </c:pt>
                <c:pt idx="77">
                  <c:v>2011 Jun</c:v>
                </c:pt>
                <c:pt idx="78">
                  <c:v>2011 Jul</c:v>
                </c:pt>
                <c:pt idx="79">
                  <c:v>2011 Aug</c:v>
                </c:pt>
                <c:pt idx="80">
                  <c:v>2011 Sep</c:v>
                </c:pt>
                <c:pt idx="81">
                  <c:v>2011 Oct</c:v>
                </c:pt>
                <c:pt idx="82">
                  <c:v>2011 Nov</c:v>
                </c:pt>
                <c:pt idx="83">
                  <c:v>2011 Dec</c:v>
                </c:pt>
                <c:pt idx="84">
                  <c:v>2012 Jan</c:v>
                </c:pt>
                <c:pt idx="85">
                  <c:v>2012 Feb</c:v>
                </c:pt>
                <c:pt idx="86">
                  <c:v>2012 Mar</c:v>
                </c:pt>
                <c:pt idx="87">
                  <c:v>2012 Apr</c:v>
                </c:pt>
                <c:pt idx="88">
                  <c:v>2012 May</c:v>
                </c:pt>
                <c:pt idx="89">
                  <c:v>2012 Jun</c:v>
                </c:pt>
                <c:pt idx="90">
                  <c:v>2012 Jul</c:v>
                </c:pt>
                <c:pt idx="91">
                  <c:v>2012 Aug</c:v>
                </c:pt>
                <c:pt idx="92">
                  <c:v>2012 Sep</c:v>
                </c:pt>
                <c:pt idx="93">
                  <c:v>2012 Oct</c:v>
                </c:pt>
                <c:pt idx="94">
                  <c:v>2012 Nov</c:v>
                </c:pt>
                <c:pt idx="95">
                  <c:v>2012 Dec</c:v>
                </c:pt>
                <c:pt idx="96">
                  <c:v>2013 Jan</c:v>
                </c:pt>
                <c:pt idx="97">
                  <c:v>2013 Feb</c:v>
                </c:pt>
                <c:pt idx="98">
                  <c:v>2013 Mar</c:v>
                </c:pt>
                <c:pt idx="99">
                  <c:v>2013 Apr</c:v>
                </c:pt>
                <c:pt idx="100">
                  <c:v>2013 May</c:v>
                </c:pt>
                <c:pt idx="101">
                  <c:v>2013 Jun</c:v>
                </c:pt>
                <c:pt idx="102">
                  <c:v>2013 Jul</c:v>
                </c:pt>
                <c:pt idx="103">
                  <c:v>2013 Aug</c:v>
                </c:pt>
                <c:pt idx="104">
                  <c:v>2013 Sep</c:v>
                </c:pt>
                <c:pt idx="105">
                  <c:v>2013 Oct</c:v>
                </c:pt>
                <c:pt idx="106">
                  <c:v>2013 Nov</c:v>
                </c:pt>
                <c:pt idx="107">
                  <c:v>2013 Dec</c:v>
                </c:pt>
                <c:pt idx="108">
                  <c:v>2014 Jan</c:v>
                </c:pt>
                <c:pt idx="109">
                  <c:v>2014 Feb</c:v>
                </c:pt>
                <c:pt idx="110">
                  <c:v>2014 Mar</c:v>
                </c:pt>
                <c:pt idx="111">
                  <c:v>2014 Apr</c:v>
                </c:pt>
                <c:pt idx="112">
                  <c:v>2014 May</c:v>
                </c:pt>
                <c:pt idx="113">
                  <c:v>2014 Jun</c:v>
                </c:pt>
                <c:pt idx="114">
                  <c:v>2014 Jul</c:v>
                </c:pt>
                <c:pt idx="115">
                  <c:v>2014 Aug</c:v>
                </c:pt>
                <c:pt idx="116">
                  <c:v>2014 Sep</c:v>
                </c:pt>
                <c:pt idx="117">
                  <c:v>2014 Oct</c:v>
                </c:pt>
                <c:pt idx="118">
                  <c:v>2014 Nov</c:v>
                </c:pt>
                <c:pt idx="119">
                  <c:v>2014 Dec</c:v>
                </c:pt>
                <c:pt idx="120">
                  <c:v>2015 Jan</c:v>
                </c:pt>
                <c:pt idx="121">
                  <c:v>2015 Feb</c:v>
                </c:pt>
                <c:pt idx="122">
                  <c:v>2015 Mar</c:v>
                </c:pt>
                <c:pt idx="123">
                  <c:v>2015 Apr</c:v>
                </c:pt>
                <c:pt idx="124">
                  <c:v>2015 May</c:v>
                </c:pt>
                <c:pt idx="125">
                  <c:v>2015 Jun</c:v>
                </c:pt>
                <c:pt idx="126">
                  <c:v>2015 Jul</c:v>
                </c:pt>
                <c:pt idx="127">
                  <c:v>2015 Aug</c:v>
                </c:pt>
                <c:pt idx="128">
                  <c:v>2015 Sep</c:v>
                </c:pt>
                <c:pt idx="129">
                  <c:v>2015 Oct</c:v>
                </c:pt>
                <c:pt idx="130">
                  <c:v>2015 Nov</c:v>
                </c:pt>
                <c:pt idx="131">
                  <c:v>2015 Dec</c:v>
                </c:pt>
                <c:pt idx="132">
                  <c:v>2016 Jan</c:v>
                </c:pt>
                <c:pt idx="133">
                  <c:v>2016 Feb</c:v>
                </c:pt>
                <c:pt idx="134">
                  <c:v>2016 Mar</c:v>
                </c:pt>
                <c:pt idx="135">
                  <c:v>2016 Apr</c:v>
                </c:pt>
                <c:pt idx="136">
                  <c:v>2016 May</c:v>
                </c:pt>
                <c:pt idx="137">
                  <c:v>2016 Jun</c:v>
                </c:pt>
                <c:pt idx="138">
                  <c:v>2016 Jul</c:v>
                </c:pt>
                <c:pt idx="139">
                  <c:v>2016 Aug</c:v>
                </c:pt>
                <c:pt idx="140">
                  <c:v>2016 Sep</c:v>
                </c:pt>
                <c:pt idx="141">
                  <c:v>2016 Oct</c:v>
                </c:pt>
                <c:pt idx="142">
                  <c:v>2016 Nov</c:v>
                </c:pt>
                <c:pt idx="143">
                  <c:v>2016 Dec</c:v>
                </c:pt>
                <c:pt idx="144">
                  <c:v>2017 Jan</c:v>
                </c:pt>
                <c:pt idx="145">
                  <c:v>2017 Feb</c:v>
                </c:pt>
                <c:pt idx="146">
                  <c:v>2017 Mar</c:v>
                </c:pt>
                <c:pt idx="147">
                  <c:v>2017 Apr</c:v>
                </c:pt>
                <c:pt idx="148">
                  <c:v>2017 May</c:v>
                </c:pt>
                <c:pt idx="149">
                  <c:v>2017 Jun</c:v>
                </c:pt>
                <c:pt idx="150">
                  <c:v>2017 Jul</c:v>
                </c:pt>
                <c:pt idx="151">
                  <c:v>2017 Aug</c:v>
                </c:pt>
                <c:pt idx="152">
                  <c:v>2017 Sep</c:v>
                </c:pt>
                <c:pt idx="153">
                  <c:v>2017 Oct</c:v>
                </c:pt>
                <c:pt idx="154">
                  <c:v>2017 Nov</c:v>
                </c:pt>
                <c:pt idx="155">
                  <c:v>2017 Dec</c:v>
                </c:pt>
              </c:strCache>
            </c:strRef>
          </c:cat>
          <c:val>
            <c:numRef>
              <c:f>Graphs!$AD$3:$AD$158</c:f>
              <c:numCache>
                <c:formatCode>0.000000</c:formatCode>
                <c:ptCount val="156"/>
                <c:pt idx="0">
                  <c:v>2.0379973830552829</c:v>
                </c:pt>
                <c:pt idx="1">
                  <c:v>2.0504087495919041</c:v>
                </c:pt>
                <c:pt idx="2">
                  <c:v>2.0651066536203602</c:v>
                </c:pt>
                <c:pt idx="3">
                  <c:v>1.9863000326477389</c:v>
                </c:pt>
                <c:pt idx="4">
                  <c:v>1.9782189542483763</c:v>
                </c:pt>
                <c:pt idx="5">
                  <c:v>1.954247385620921</c:v>
                </c:pt>
                <c:pt idx="6">
                  <c:v>2.0090597453477002</c:v>
                </c:pt>
                <c:pt idx="7">
                  <c:v>2.0117403783431183</c:v>
                </c:pt>
                <c:pt idx="8">
                  <c:v>2.0467105263157888</c:v>
                </c:pt>
                <c:pt idx="9">
                  <c:v>2.2027652994791627</c:v>
                </c:pt>
                <c:pt idx="10">
                  <c:v>2.3921146953404997</c:v>
                </c:pt>
                <c:pt idx="11">
                  <c:v>2.4166477680026071</c:v>
                </c:pt>
                <c:pt idx="12">
                  <c:v>2.4807477213541662</c:v>
                </c:pt>
                <c:pt idx="13">
                  <c:v>2.5472903645833402</c:v>
                </c:pt>
                <c:pt idx="14">
                  <c:v>2.7273509458578094</c:v>
                </c:pt>
                <c:pt idx="15">
                  <c:v>2.7515192057291671</c:v>
                </c:pt>
                <c:pt idx="16">
                  <c:v>2.8322426016260001</c:v>
                </c:pt>
                <c:pt idx="17">
                  <c:v>2.937358699186992</c:v>
                </c:pt>
                <c:pt idx="18">
                  <c:v>3.0298173828125012</c:v>
                </c:pt>
                <c:pt idx="19">
                  <c:v>3.1570579993483197</c:v>
                </c:pt>
                <c:pt idx="20">
                  <c:v>3.2933641126391642</c:v>
                </c:pt>
                <c:pt idx="21">
                  <c:v>3.3621505905511797</c:v>
                </c:pt>
                <c:pt idx="22">
                  <c:v>3.4253294079162582</c:v>
                </c:pt>
                <c:pt idx="23">
                  <c:v>3.5356211972522078</c:v>
                </c:pt>
                <c:pt idx="24">
                  <c:v>3.6103817943680419</c:v>
                </c:pt>
                <c:pt idx="25">
                  <c:v>3.6434096267190572</c:v>
                </c:pt>
                <c:pt idx="26">
                  <c:v>3.7427906444226493</c:v>
                </c:pt>
                <c:pt idx="27">
                  <c:v>3.8279345763820967</c:v>
                </c:pt>
                <c:pt idx="28">
                  <c:v>3.9279250899574802</c:v>
                </c:pt>
                <c:pt idx="29">
                  <c:v>3.9829447170428542</c:v>
                </c:pt>
                <c:pt idx="30">
                  <c:v>4.0230468238375865</c:v>
                </c:pt>
                <c:pt idx="31">
                  <c:v>3.8626525729269097</c:v>
                </c:pt>
                <c:pt idx="32">
                  <c:v>3.8034541299379687</c:v>
                </c:pt>
                <c:pt idx="33">
                  <c:v>3.8403700813008141</c:v>
                </c:pt>
                <c:pt idx="34">
                  <c:v>3.7588186226964115</c:v>
                </c:pt>
                <c:pt idx="35">
                  <c:v>3.7913902360168152</c:v>
                </c:pt>
                <c:pt idx="36">
                  <c:v>3.5749031007751939</c:v>
                </c:pt>
                <c:pt idx="37">
                  <c:v>3.5683507583091481</c:v>
                </c:pt>
                <c:pt idx="38">
                  <c:v>3.6761650579150582</c:v>
                </c:pt>
                <c:pt idx="39">
                  <c:v>3.8017115198451115</c:v>
                </c:pt>
                <c:pt idx="40">
                  <c:v>3.9634937319190002</c:v>
                </c:pt>
                <c:pt idx="41">
                  <c:v>4.145287820512821</c:v>
                </c:pt>
                <c:pt idx="42">
                  <c:v>4.0910416266410508</c:v>
                </c:pt>
                <c:pt idx="43">
                  <c:v>4.0692434168272333</c:v>
                </c:pt>
                <c:pt idx="44">
                  <c:v>3.5478638996138967</c:v>
                </c:pt>
                <c:pt idx="45">
                  <c:v>2.6455713824289528</c:v>
                </c:pt>
                <c:pt idx="46">
                  <c:v>2.1678935683970222</c:v>
                </c:pt>
                <c:pt idx="47">
                  <c:v>1.7927719816272969</c:v>
                </c:pt>
                <c:pt idx="48">
                  <c:v>1.2434711506758978</c:v>
                </c:pt>
                <c:pt idx="49">
                  <c:v>1.0035813570487426</c:v>
                </c:pt>
                <c:pt idx="50">
                  <c:v>0.89777965540092775</c:v>
                </c:pt>
                <c:pt idx="51">
                  <c:v>0.86496587143804204</c:v>
                </c:pt>
                <c:pt idx="52">
                  <c:v>0.85021533333333565</c:v>
                </c:pt>
                <c:pt idx="53">
                  <c:v>0.70731765098431754</c:v>
                </c:pt>
                <c:pt idx="54">
                  <c:v>0.52715139308492787</c:v>
                </c:pt>
                <c:pt idx="55">
                  <c:v>0.49827822311289505</c:v>
                </c:pt>
                <c:pt idx="56">
                  <c:v>0.49896155132063075</c:v>
                </c:pt>
                <c:pt idx="57">
                  <c:v>0.58050083416750098</c:v>
                </c:pt>
                <c:pt idx="58">
                  <c:v>0.57968225538971863</c:v>
                </c:pt>
                <c:pt idx="59">
                  <c:v>0.55828510075982829</c:v>
                </c:pt>
                <c:pt idx="60">
                  <c:v>0.54217542120912088</c:v>
                </c:pt>
                <c:pt idx="61">
                  <c:v>0.4345041295011563</c:v>
                </c:pt>
                <c:pt idx="62">
                  <c:v>0.462867125984255</c:v>
                </c:pt>
                <c:pt idx="63">
                  <c:v>0.53815124671916015</c:v>
                </c:pt>
                <c:pt idx="64">
                  <c:v>0.57321107833497265</c:v>
                </c:pt>
                <c:pt idx="65">
                  <c:v>0.69842955665024664</c:v>
                </c:pt>
                <c:pt idx="66">
                  <c:v>0.72893936414290417</c:v>
                </c:pt>
                <c:pt idx="67">
                  <c:v>0.68288910761154864</c:v>
                </c:pt>
                <c:pt idx="68">
                  <c:v>0.87047562970232251</c:v>
                </c:pt>
                <c:pt idx="69">
                  <c:v>0.99253418384036007</c:v>
                </c:pt>
                <c:pt idx="70">
                  <c:v>1.3910493948315343</c:v>
                </c:pt>
                <c:pt idx="71">
                  <c:v>1.0907426614481421</c:v>
                </c:pt>
                <c:pt idx="72">
                  <c:v>1.1268273053111766</c:v>
                </c:pt>
                <c:pt idx="73">
                  <c:v>1.0156503906249927</c:v>
                </c:pt>
                <c:pt idx="74">
                  <c:v>1.1422138915936444</c:v>
                </c:pt>
                <c:pt idx="75">
                  <c:v>1.3351906614785995</c:v>
                </c:pt>
                <c:pt idx="76">
                  <c:v>1.3135047062641916</c:v>
                </c:pt>
                <c:pt idx="77">
                  <c:v>1.5087977929243683</c:v>
                </c:pt>
                <c:pt idx="78">
                  <c:v>1.5653612735542495</c:v>
                </c:pt>
                <c:pt idx="79">
                  <c:v>1.1482211382113823</c:v>
                </c:pt>
                <c:pt idx="80">
                  <c:v>1.3055902912621256</c:v>
                </c:pt>
                <c:pt idx="81">
                  <c:v>1.6377330097087381</c:v>
                </c:pt>
                <c:pt idx="82">
                  <c:v>2.5155844660194182</c:v>
                </c:pt>
                <c:pt idx="83">
                  <c:v>1.2973047989623776</c:v>
                </c:pt>
                <c:pt idx="84">
                  <c:v>0.9261567672833495</c:v>
                </c:pt>
                <c:pt idx="85">
                  <c:v>0.50928724440116757</c:v>
                </c:pt>
                <c:pt idx="86">
                  <c:v>0.58138104511521815</c:v>
                </c:pt>
                <c:pt idx="87">
                  <c:v>0.78935185185185153</c:v>
                </c:pt>
                <c:pt idx="88">
                  <c:v>1.279222981770834</c:v>
                </c:pt>
                <c:pt idx="89">
                  <c:v>1.328729492187487</c:v>
                </c:pt>
                <c:pt idx="90">
                  <c:v>1.0575856119791658</c:v>
                </c:pt>
                <c:pt idx="91">
                  <c:v>0.67620045484080915</c:v>
                </c:pt>
                <c:pt idx="92">
                  <c:v>0.7262592592592596</c:v>
                </c:pt>
                <c:pt idx="93">
                  <c:v>0.72543186991869923</c:v>
                </c:pt>
                <c:pt idx="94">
                  <c:v>0.40114220482713625</c:v>
                </c:pt>
                <c:pt idx="95">
                  <c:v>0.60892367906066569</c:v>
                </c:pt>
                <c:pt idx="96">
                  <c:v>0.4925411764705882</c:v>
                </c:pt>
                <c:pt idx="97">
                  <c:v>0.47167451750081951</c:v>
                </c:pt>
                <c:pt idx="98">
                  <c:v>0.46787840052442048</c:v>
                </c:pt>
                <c:pt idx="99">
                  <c:v>0.26273748353096177</c:v>
                </c:pt>
                <c:pt idx="100">
                  <c:v>0.31714891518737887</c:v>
                </c:pt>
                <c:pt idx="101">
                  <c:v>0.51053510498687649</c:v>
                </c:pt>
                <c:pt idx="102">
                  <c:v>0.42402427821522565</c:v>
                </c:pt>
                <c:pt idx="103">
                  <c:v>0.45902599539322364</c:v>
                </c:pt>
                <c:pt idx="104">
                  <c:v>0.41989449390043115</c:v>
                </c:pt>
                <c:pt idx="105">
                  <c:v>0.31233167825223601</c:v>
                </c:pt>
                <c:pt idx="106">
                  <c:v>0.27441493227618108</c:v>
                </c:pt>
                <c:pt idx="107">
                  <c:v>0.42985945767195782</c:v>
                </c:pt>
                <c:pt idx="108">
                  <c:v>0.30901124338624547</c:v>
                </c:pt>
                <c:pt idx="109">
                  <c:v>0.26538000662032446</c:v>
                </c:pt>
                <c:pt idx="110">
                  <c:v>0.31072537313433024</c:v>
                </c:pt>
                <c:pt idx="111">
                  <c:v>0.31659947037405162</c:v>
                </c:pt>
                <c:pt idx="112">
                  <c:v>0.24547230514096319</c:v>
                </c:pt>
                <c:pt idx="113">
                  <c:v>0.15227993366500844</c:v>
                </c:pt>
                <c:pt idx="114">
                  <c:v>0.11504050464807436</c:v>
                </c:pt>
                <c:pt idx="115">
                  <c:v>8.5302124833997309E-2</c:v>
                </c:pt>
                <c:pt idx="116">
                  <c:v>8.5567962778332771E-2</c:v>
                </c:pt>
                <c:pt idx="117">
                  <c:v>0.13396314741035933</c:v>
                </c:pt>
                <c:pt idx="118">
                  <c:v>0.10276935859089398</c:v>
                </c:pt>
                <c:pt idx="119">
                  <c:v>8.1461589846359359E-2</c:v>
                </c:pt>
                <c:pt idx="120">
                  <c:v>1.7536887994634473E-2</c:v>
                </c:pt>
                <c:pt idx="121">
                  <c:v>-2.3025075225677042E-2</c:v>
                </c:pt>
                <c:pt idx="122">
                  <c:v>-5.6314981648315408E-2</c:v>
                </c:pt>
                <c:pt idx="123">
                  <c:v>-0.11447933333333334</c:v>
                </c:pt>
                <c:pt idx="124">
                  <c:v>-9.9677966101695811E-2</c:v>
                </c:pt>
                <c:pt idx="125">
                  <c:v>-7.8580838323353289E-2</c:v>
                </c:pt>
                <c:pt idx="126">
                  <c:v>-0.1171190951430468</c:v>
                </c:pt>
                <c:pt idx="127">
                  <c:v>-0.11035064935064939</c:v>
                </c:pt>
                <c:pt idx="128">
                  <c:v>-0.1131047714381056</c:v>
                </c:pt>
                <c:pt idx="129">
                  <c:v>-0.19065168165168167</c:v>
                </c:pt>
                <c:pt idx="130">
                  <c:v>-0.2371315351315352</c:v>
                </c:pt>
                <c:pt idx="131">
                  <c:v>-0.25144444444444447</c:v>
                </c:pt>
                <c:pt idx="132">
                  <c:v>-0.24839980059820657</c:v>
                </c:pt>
                <c:pt idx="133">
                  <c:v>-0.25982999331997658</c:v>
                </c:pt>
                <c:pt idx="134">
                  <c:v>-0.29687066666666984</c:v>
                </c:pt>
                <c:pt idx="135">
                  <c:v>-0.34940380761523082</c:v>
                </c:pt>
                <c:pt idx="136">
                  <c:v>-0.39425225225225408</c:v>
                </c:pt>
                <c:pt idx="137">
                  <c:v>-0.43502930402930567</c:v>
                </c:pt>
                <c:pt idx="138">
                  <c:v>-0.39833233532934498</c:v>
                </c:pt>
                <c:pt idx="139">
                  <c:v>-0.44090319361277447</c:v>
                </c:pt>
                <c:pt idx="140">
                  <c:v>-0.50562782204515555</c:v>
                </c:pt>
                <c:pt idx="141">
                  <c:v>-0.49430348258706658</c:v>
                </c:pt>
                <c:pt idx="142">
                  <c:v>-0.46469615639496381</c:v>
                </c:pt>
                <c:pt idx="143">
                  <c:v>-0.53802143092647914</c:v>
                </c:pt>
                <c:pt idx="144">
                  <c:v>-0.40216994106090381</c:v>
                </c:pt>
                <c:pt idx="145">
                  <c:v>-0.49544444444444641</c:v>
                </c:pt>
                <c:pt idx="146">
                  <c:v>-0.48241444991790111</c:v>
                </c:pt>
                <c:pt idx="147">
                  <c:v>-0.46690121033693172</c:v>
                </c:pt>
                <c:pt idx="148">
                  <c:v>-0.50052892833661777</c:v>
                </c:pt>
                <c:pt idx="149">
                  <c:v>-0.50422244159262597</c:v>
                </c:pt>
                <c:pt idx="150">
                  <c:v>-0.51449160908193459</c:v>
                </c:pt>
                <c:pt idx="151">
                  <c:v>-0.51618686371099831</c:v>
                </c:pt>
                <c:pt idx="152">
                  <c:v>-0.5275428571428572</c:v>
                </c:pt>
                <c:pt idx="153">
                  <c:v>-0.55233037475345159</c:v>
                </c:pt>
                <c:pt idx="154">
                  <c:v>-0.57498587848933036</c:v>
                </c:pt>
                <c:pt idx="155">
                  <c:v>-0.5688310322156509</c:v>
                </c:pt>
              </c:numCache>
            </c:numRef>
          </c:val>
          <c:extLst xmlns:c16r2="http://schemas.microsoft.com/office/drawing/2015/06/chart">
            <c:ext xmlns:c16="http://schemas.microsoft.com/office/drawing/2014/chart" uri="{C3380CC4-5D6E-409C-BE32-E72D297353CC}">
              <c16:uniqueId val="{00000000-70DE-4088-891D-EA9A53C13CF7}"/>
            </c:ext>
          </c:extLst>
        </c:ser>
        <c:ser>
          <c:idx val="1"/>
          <c:order val="1"/>
          <c:tx>
            <c:strRef>
              <c:f>Graphs!$AE$2</c:f>
              <c:strCache>
                <c:ptCount val="1"/>
                <c:pt idx="0">
                  <c:v>MT Average Return</c:v>
                </c:pt>
              </c:strCache>
            </c:strRef>
          </c:tx>
          <c:spPr>
            <a:ln w="28575" cap="rnd" cmpd="sng" algn="ctr">
              <a:solidFill>
                <a:schemeClr val="dk1">
                  <a:tint val="55000"/>
                  <a:shade val="95000"/>
                  <a:satMod val="105000"/>
                </a:schemeClr>
              </a:solidFill>
              <a:prstDash val="solid"/>
              <a:round/>
            </a:ln>
            <a:effectLst/>
          </c:spPr>
          <c:marker>
            <c:symbol val="none"/>
          </c:marker>
          <c:cat>
            <c:strRef>
              <c:f>Graphs!$AC$3:$AC$158</c:f>
              <c:strCache>
                <c:ptCount val="156"/>
                <c:pt idx="0">
                  <c:v>2005 Jan</c:v>
                </c:pt>
                <c:pt idx="1">
                  <c:v>2005 Feb</c:v>
                </c:pt>
                <c:pt idx="2">
                  <c:v>2005 Mar</c:v>
                </c:pt>
                <c:pt idx="3">
                  <c:v>2005 Apr</c:v>
                </c:pt>
                <c:pt idx="4">
                  <c:v>2005 May</c:v>
                </c:pt>
                <c:pt idx="5">
                  <c:v>2005 Jun</c:v>
                </c:pt>
                <c:pt idx="6">
                  <c:v>2005 Jul</c:v>
                </c:pt>
                <c:pt idx="7">
                  <c:v>2005 Aug</c:v>
                </c:pt>
                <c:pt idx="8">
                  <c:v>2005 Sep</c:v>
                </c:pt>
                <c:pt idx="9">
                  <c:v>2005 Oct</c:v>
                </c:pt>
                <c:pt idx="10">
                  <c:v>2005 Nov</c:v>
                </c:pt>
                <c:pt idx="11">
                  <c:v>2005 Dec</c:v>
                </c:pt>
                <c:pt idx="12">
                  <c:v>2006 Jan</c:v>
                </c:pt>
                <c:pt idx="13">
                  <c:v>2006 Feb</c:v>
                </c:pt>
                <c:pt idx="14">
                  <c:v>2006 Mar</c:v>
                </c:pt>
                <c:pt idx="15">
                  <c:v>2006 Apr</c:v>
                </c:pt>
                <c:pt idx="16">
                  <c:v>2006 May</c:v>
                </c:pt>
                <c:pt idx="17">
                  <c:v>2006 Jun</c:v>
                </c:pt>
                <c:pt idx="18">
                  <c:v>2006 Jul</c:v>
                </c:pt>
                <c:pt idx="19">
                  <c:v>2006 Aug</c:v>
                </c:pt>
                <c:pt idx="20">
                  <c:v>2006 Sep</c:v>
                </c:pt>
                <c:pt idx="21">
                  <c:v>2006 Oct</c:v>
                </c:pt>
                <c:pt idx="22">
                  <c:v>2006 Nov</c:v>
                </c:pt>
                <c:pt idx="23">
                  <c:v>2006 Dec</c:v>
                </c:pt>
                <c:pt idx="24">
                  <c:v>2007 Jan</c:v>
                </c:pt>
                <c:pt idx="25">
                  <c:v>2007 Feb</c:v>
                </c:pt>
                <c:pt idx="26">
                  <c:v>2007 Mar</c:v>
                </c:pt>
                <c:pt idx="27">
                  <c:v>2007 Apr</c:v>
                </c:pt>
                <c:pt idx="28">
                  <c:v>2007 May</c:v>
                </c:pt>
                <c:pt idx="29">
                  <c:v>2007 Jun</c:v>
                </c:pt>
                <c:pt idx="30">
                  <c:v>2007 Jul</c:v>
                </c:pt>
                <c:pt idx="31">
                  <c:v>2007 Aug</c:v>
                </c:pt>
                <c:pt idx="32">
                  <c:v>2007 Sep</c:v>
                </c:pt>
                <c:pt idx="33">
                  <c:v>2007 Oct</c:v>
                </c:pt>
                <c:pt idx="34">
                  <c:v>2007 Nov</c:v>
                </c:pt>
                <c:pt idx="35">
                  <c:v>2007 Dec</c:v>
                </c:pt>
                <c:pt idx="36">
                  <c:v>2008 Jan</c:v>
                </c:pt>
                <c:pt idx="37">
                  <c:v>2008 Feb</c:v>
                </c:pt>
                <c:pt idx="38">
                  <c:v>2008 Mar</c:v>
                </c:pt>
                <c:pt idx="39">
                  <c:v>2008 Apr</c:v>
                </c:pt>
                <c:pt idx="40">
                  <c:v>2008 May</c:v>
                </c:pt>
                <c:pt idx="41">
                  <c:v>2008 Jun</c:v>
                </c:pt>
                <c:pt idx="42">
                  <c:v>2008 Jul</c:v>
                </c:pt>
                <c:pt idx="43">
                  <c:v>2008 Aug</c:v>
                </c:pt>
                <c:pt idx="44">
                  <c:v>2008 Sep</c:v>
                </c:pt>
                <c:pt idx="45">
                  <c:v>2008 Oct</c:v>
                </c:pt>
                <c:pt idx="46">
                  <c:v>2008 Nov</c:v>
                </c:pt>
                <c:pt idx="47">
                  <c:v>2008 Dec</c:v>
                </c:pt>
                <c:pt idx="48">
                  <c:v>2009 Jan</c:v>
                </c:pt>
                <c:pt idx="49">
                  <c:v>2009 Feb</c:v>
                </c:pt>
                <c:pt idx="50">
                  <c:v>2009 Mar</c:v>
                </c:pt>
                <c:pt idx="51">
                  <c:v>2009 Apr</c:v>
                </c:pt>
                <c:pt idx="52">
                  <c:v>2009 May</c:v>
                </c:pt>
                <c:pt idx="53">
                  <c:v>2009 Jun</c:v>
                </c:pt>
                <c:pt idx="54">
                  <c:v>2009 Jul</c:v>
                </c:pt>
                <c:pt idx="55">
                  <c:v>2009 Aug</c:v>
                </c:pt>
                <c:pt idx="56">
                  <c:v>2009 Sep</c:v>
                </c:pt>
                <c:pt idx="57">
                  <c:v>2009 Oct</c:v>
                </c:pt>
                <c:pt idx="58">
                  <c:v>2009 Nov</c:v>
                </c:pt>
                <c:pt idx="59">
                  <c:v>2009 Dec</c:v>
                </c:pt>
                <c:pt idx="60">
                  <c:v>2010 Jan</c:v>
                </c:pt>
                <c:pt idx="61">
                  <c:v>2010 Feb</c:v>
                </c:pt>
                <c:pt idx="62">
                  <c:v>2010 Mar</c:v>
                </c:pt>
                <c:pt idx="63">
                  <c:v>2010 Apr</c:v>
                </c:pt>
                <c:pt idx="64">
                  <c:v>2010 May</c:v>
                </c:pt>
                <c:pt idx="65">
                  <c:v>2010 Jun</c:v>
                </c:pt>
                <c:pt idx="66">
                  <c:v>2010 Jul</c:v>
                </c:pt>
                <c:pt idx="67">
                  <c:v>2010 Aug</c:v>
                </c:pt>
                <c:pt idx="68">
                  <c:v>2010 Sep</c:v>
                </c:pt>
                <c:pt idx="69">
                  <c:v>2010 Oct</c:v>
                </c:pt>
                <c:pt idx="70">
                  <c:v>2010 Nov</c:v>
                </c:pt>
                <c:pt idx="71">
                  <c:v>2010 Dec</c:v>
                </c:pt>
                <c:pt idx="72">
                  <c:v>2011 Jan</c:v>
                </c:pt>
                <c:pt idx="73">
                  <c:v>2011 Feb</c:v>
                </c:pt>
                <c:pt idx="74">
                  <c:v>2011 Mar</c:v>
                </c:pt>
                <c:pt idx="75">
                  <c:v>2011 Apr</c:v>
                </c:pt>
                <c:pt idx="76">
                  <c:v>2011 May</c:v>
                </c:pt>
                <c:pt idx="77">
                  <c:v>2011 Jun</c:v>
                </c:pt>
                <c:pt idx="78">
                  <c:v>2011 Jul</c:v>
                </c:pt>
                <c:pt idx="79">
                  <c:v>2011 Aug</c:v>
                </c:pt>
                <c:pt idx="80">
                  <c:v>2011 Sep</c:v>
                </c:pt>
                <c:pt idx="81">
                  <c:v>2011 Oct</c:v>
                </c:pt>
                <c:pt idx="82">
                  <c:v>2011 Nov</c:v>
                </c:pt>
                <c:pt idx="83">
                  <c:v>2011 Dec</c:v>
                </c:pt>
                <c:pt idx="84">
                  <c:v>2012 Jan</c:v>
                </c:pt>
                <c:pt idx="85">
                  <c:v>2012 Feb</c:v>
                </c:pt>
                <c:pt idx="86">
                  <c:v>2012 Mar</c:v>
                </c:pt>
                <c:pt idx="87">
                  <c:v>2012 Apr</c:v>
                </c:pt>
                <c:pt idx="88">
                  <c:v>2012 May</c:v>
                </c:pt>
                <c:pt idx="89">
                  <c:v>2012 Jun</c:v>
                </c:pt>
                <c:pt idx="90">
                  <c:v>2012 Jul</c:v>
                </c:pt>
                <c:pt idx="91">
                  <c:v>2012 Aug</c:v>
                </c:pt>
                <c:pt idx="92">
                  <c:v>2012 Sep</c:v>
                </c:pt>
                <c:pt idx="93">
                  <c:v>2012 Oct</c:v>
                </c:pt>
                <c:pt idx="94">
                  <c:v>2012 Nov</c:v>
                </c:pt>
                <c:pt idx="95">
                  <c:v>2012 Dec</c:v>
                </c:pt>
                <c:pt idx="96">
                  <c:v>2013 Jan</c:v>
                </c:pt>
                <c:pt idx="97">
                  <c:v>2013 Feb</c:v>
                </c:pt>
                <c:pt idx="98">
                  <c:v>2013 Mar</c:v>
                </c:pt>
                <c:pt idx="99">
                  <c:v>2013 Apr</c:v>
                </c:pt>
                <c:pt idx="100">
                  <c:v>2013 May</c:v>
                </c:pt>
                <c:pt idx="101">
                  <c:v>2013 Jun</c:v>
                </c:pt>
                <c:pt idx="102">
                  <c:v>2013 Jul</c:v>
                </c:pt>
                <c:pt idx="103">
                  <c:v>2013 Aug</c:v>
                </c:pt>
                <c:pt idx="104">
                  <c:v>2013 Sep</c:v>
                </c:pt>
                <c:pt idx="105">
                  <c:v>2013 Oct</c:v>
                </c:pt>
                <c:pt idx="106">
                  <c:v>2013 Nov</c:v>
                </c:pt>
                <c:pt idx="107">
                  <c:v>2013 Dec</c:v>
                </c:pt>
                <c:pt idx="108">
                  <c:v>2014 Jan</c:v>
                </c:pt>
                <c:pt idx="109">
                  <c:v>2014 Feb</c:v>
                </c:pt>
                <c:pt idx="110">
                  <c:v>2014 Mar</c:v>
                </c:pt>
                <c:pt idx="111">
                  <c:v>2014 Apr</c:v>
                </c:pt>
                <c:pt idx="112">
                  <c:v>2014 May</c:v>
                </c:pt>
                <c:pt idx="113">
                  <c:v>2014 Jun</c:v>
                </c:pt>
                <c:pt idx="114">
                  <c:v>2014 Jul</c:v>
                </c:pt>
                <c:pt idx="115">
                  <c:v>2014 Aug</c:v>
                </c:pt>
                <c:pt idx="116">
                  <c:v>2014 Sep</c:v>
                </c:pt>
                <c:pt idx="117">
                  <c:v>2014 Oct</c:v>
                </c:pt>
                <c:pt idx="118">
                  <c:v>2014 Nov</c:v>
                </c:pt>
                <c:pt idx="119">
                  <c:v>2014 Dec</c:v>
                </c:pt>
                <c:pt idx="120">
                  <c:v>2015 Jan</c:v>
                </c:pt>
                <c:pt idx="121">
                  <c:v>2015 Feb</c:v>
                </c:pt>
                <c:pt idx="122">
                  <c:v>2015 Mar</c:v>
                </c:pt>
                <c:pt idx="123">
                  <c:v>2015 Apr</c:v>
                </c:pt>
                <c:pt idx="124">
                  <c:v>2015 May</c:v>
                </c:pt>
                <c:pt idx="125">
                  <c:v>2015 Jun</c:v>
                </c:pt>
                <c:pt idx="126">
                  <c:v>2015 Jul</c:v>
                </c:pt>
                <c:pt idx="127">
                  <c:v>2015 Aug</c:v>
                </c:pt>
                <c:pt idx="128">
                  <c:v>2015 Sep</c:v>
                </c:pt>
                <c:pt idx="129">
                  <c:v>2015 Oct</c:v>
                </c:pt>
                <c:pt idx="130">
                  <c:v>2015 Nov</c:v>
                </c:pt>
                <c:pt idx="131">
                  <c:v>2015 Dec</c:v>
                </c:pt>
                <c:pt idx="132">
                  <c:v>2016 Jan</c:v>
                </c:pt>
                <c:pt idx="133">
                  <c:v>2016 Feb</c:v>
                </c:pt>
                <c:pt idx="134">
                  <c:v>2016 Mar</c:v>
                </c:pt>
                <c:pt idx="135">
                  <c:v>2016 Apr</c:v>
                </c:pt>
                <c:pt idx="136">
                  <c:v>2016 May</c:v>
                </c:pt>
                <c:pt idx="137">
                  <c:v>2016 Jun</c:v>
                </c:pt>
                <c:pt idx="138">
                  <c:v>2016 Jul</c:v>
                </c:pt>
                <c:pt idx="139">
                  <c:v>2016 Aug</c:v>
                </c:pt>
                <c:pt idx="140">
                  <c:v>2016 Sep</c:v>
                </c:pt>
                <c:pt idx="141">
                  <c:v>2016 Oct</c:v>
                </c:pt>
                <c:pt idx="142">
                  <c:v>2016 Nov</c:v>
                </c:pt>
                <c:pt idx="143">
                  <c:v>2016 Dec</c:v>
                </c:pt>
                <c:pt idx="144">
                  <c:v>2017 Jan</c:v>
                </c:pt>
                <c:pt idx="145">
                  <c:v>2017 Feb</c:v>
                </c:pt>
                <c:pt idx="146">
                  <c:v>2017 Mar</c:v>
                </c:pt>
                <c:pt idx="147">
                  <c:v>2017 Apr</c:v>
                </c:pt>
                <c:pt idx="148">
                  <c:v>2017 May</c:v>
                </c:pt>
                <c:pt idx="149">
                  <c:v>2017 Jun</c:v>
                </c:pt>
                <c:pt idx="150">
                  <c:v>2017 Jul</c:v>
                </c:pt>
                <c:pt idx="151">
                  <c:v>2017 Aug</c:v>
                </c:pt>
                <c:pt idx="152">
                  <c:v>2017 Sep</c:v>
                </c:pt>
                <c:pt idx="153">
                  <c:v>2017 Oct</c:v>
                </c:pt>
                <c:pt idx="154">
                  <c:v>2017 Nov</c:v>
                </c:pt>
                <c:pt idx="155">
                  <c:v>2017 Dec</c:v>
                </c:pt>
              </c:strCache>
            </c:strRef>
          </c:cat>
          <c:val>
            <c:numRef>
              <c:f>Graphs!$AE$3:$AE$158</c:f>
              <c:numCache>
                <c:formatCode>0.000000</c:formatCode>
                <c:ptCount val="156"/>
                <c:pt idx="0">
                  <c:v>2.7763066732090267</c:v>
                </c:pt>
                <c:pt idx="1">
                  <c:v>2.8916988246816713</c:v>
                </c:pt>
                <c:pt idx="2">
                  <c:v>2.8601841976516642</c:v>
                </c:pt>
                <c:pt idx="3">
                  <c:v>2.668937806072504</c:v>
                </c:pt>
                <c:pt idx="4">
                  <c:v>2.5553767156862746</c:v>
                </c:pt>
                <c:pt idx="5">
                  <c:v>2.4335053921568628</c:v>
                </c:pt>
                <c:pt idx="6">
                  <c:v>2.5601425073457396</c:v>
                </c:pt>
                <c:pt idx="7">
                  <c:v>2.4973835616438356</c:v>
                </c:pt>
                <c:pt idx="8">
                  <c:v>2.5833089668616012</c:v>
                </c:pt>
                <c:pt idx="9">
                  <c:v>2.8088415527343802</c:v>
                </c:pt>
                <c:pt idx="10">
                  <c:v>2.9535796676441839</c:v>
                </c:pt>
                <c:pt idx="11">
                  <c:v>2.8882211632453592</c:v>
                </c:pt>
                <c:pt idx="12">
                  <c:v>3.0523669433593748</c:v>
                </c:pt>
                <c:pt idx="13">
                  <c:v>3.1020429687499997</c:v>
                </c:pt>
                <c:pt idx="14">
                  <c:v>3.3756196183953033</c:v>
                </c:pt>
                <c:pt idx="15">
                  <c:v>3.5134548339843747</c:v>
                </c:pt>
                <c:pt idx="16">
                  <c:v>3.4863760975609792</c:v>
                </c:pt>
                <c:pt idx="17">
                  <c:v>3.6298024390243748</c:v>
                </c:pt>
                <c:pt idx="18">
                  <c:v>3.5584526367187261</c:v>
                </c:pt>
                <c:pt idx="19">
                  <c:v>3.5080821114369511</c:v>
                </c:pt>
                <c:pt idx="20">
                  <c:v>3.5153268664047155</c:v>
                </c:pt>
                <c:pt idx="21">
                  <c:v>3.6179891732283465</c:v>
                </c:pt>
                <c:pt idx="22">
                  <c:v>3.5631952894995096</c:v>
                </c:pt>
                <c:pt idx="23">
                  <c:v>3.7828535328753685</c:v>
                </c:pt>
                <c:pt idx="24">
                  <c:v>3.891314096267191</c:v>
                </c:pt>
                <c:pt idx="25">
                  <c:v>3.7739805992141453</c:v>
                </c:pt>
                <c:pt idx="26">
                  <c:v>3.8924884690873367</c:v>
                </c:pt>
                <c:pt idx="27">
                  <c:v>4.005084396467125</c:v>
                </c:pt>
                <c:pt idx="28">
                  <c:v>4.2355856231599605</c:v>
                </c:pt>
                <c:pt idx="29">
                  <c:v>4.3349421000981394</c:v>
                </c:pt>
                <c:pt idx="30">
                  <c:v>4.2442554027504915</c:v>
                </c:pt>
                <c:pt idx="31">
                  <c:v>4.0938281710914453</c:v>
                </c:pt>
                <c:pt idx="32">
                  <c:v>4.0877776689520076</c:v>
                </c:pt>
                <c:pt idx="33">
                  <c:v>4.0447407317073178</c:v>
                </c:pt>
                <c:pt idx="34">
                  <c:v>3.8762696411251167</c:v>
                </c:pt>
                <c:pt idx="35">
                  <c:v>4.0369066440349179</c:v>
                </c:pt>
                <c:pt idx="36">
                  <c:v>3.5872003391472869</c:v>
                </c:pt>
                <c:pt idx="37">
                  <c:v>3.4829181994191516</c:v>
                </c:pt>
                <c:pt idx="38">
                  <c:v>3.7137574806949805</c:v>
                </c:pt>
                <c:pt idx="39">
                  <c:v>3.9298993223620542</c:v>
                </c:pt>
                <c:pt idx="40">
                  <c:v>4.1935335101253344</c:v>
                </c:pt>
                <c:pt idx="41">
                  <c:v>4.5126461538461538</c:v>
                </c:pt>
                <c:pt idx="42">
                  <c:v>4.2689303554274645</c:v>
                </c:pt>
                <c:pt idx="43">
                  <c:v>4.1310243256262051</c:v>
                </c:pt>
                <c:pt idx="44">
                  <c:v>3.8793334942084927</c:v>
                </c:pt>
                <c:pt idx="45">
                  <c:v>3.4617105135658908</c:v>
                </c:pt>
                <c:pt idx="46">
                  <c:v>3.1213430460333011</c:v>
                </c:pt>
                <c:pt idx="47">
                  <c:v>2.916519438976378</c:v>
                </c:pt>
                <c:pt idx="48">
                  <c:v>2.8707868447082077</c:v>
                </c:pt>
                <c:pt idx="49">
                  <c:v>2.6871692193676049</c:v>
                </c:pt>
                <c:pt idx="50">
                  <c:v>2.6292626739562577</c:v>
                </c:pt>
                <c:pt idx="51">
                  <c:v>2.6032875248508951</c:v>
                </c:pt>
                <c:pt idx="52">
                  <c:v>2.7419070000000012</c:v>
                </c:pt>
                <c:pt idx="53">
                  <c:v>2.6072792792792789</c:v>
                </c:pt>
                <c:pt idx="54">
                  <c:v>2.4182562940583967</c:v>
                </c:pt>
                <c:pt idx="55">
                  <c:v>2.4058131262525047</c:v>
                </c:pt>
                <c:pt idx="56">
                  <c:v>2.3324533600802217</c:v>
                </c:pt>
                <c:pt idx="57">
                  <c:v>2.3784622122122121</c:v>
                </c:pt>
                <c:pt idx="58">
                  <c:v>2.2984057213930349</c:v>
                </c:pt>
                <c:pt idx="59">
                  <c:v>2.3825240336967277</c:v>
                </c:pt>
                <c:pt idx="60">
                  <c:v>2.3670146184340952</c:v>
                </c:pt>
                <c:pt idx="61">
                  <c:v>2.1762963330029734</c:v>
                </c:pt>
                <c:pt idx="62">
                  <c:v>2.1194682578740158</c:v>
                </c:pt>
                <c:pt idx="63">
                  <c:v>2.1295804625984252</c:v>
                </c:pt>
                <c:pt idx="64">
                  <c:v>2.114287364798427</c:v>
                </c:pt>
                <c:pt idx="65">
                  <c:v>2.2702573891625617</c:v>
                </c:pt>
                <c:pt idx="66">
                  <c:v>2.1651605211406202</c:v>
                </c:pt>
                <c:pt idx="67">
                  <c:v>1.96201205708662</c:v>
                </c:pt>
                <c:pt idx="68">
                  <c:v>2.1346383709519152</c:v>
                </c:pt>
                <c:pt idx="69">
                  <c:v>2.2068640824337589</c:v>
                </c:pt>
                <c:pt idx="70">
                  <c:v>2.7076373895976609</c:v>
                </c:pt>
                <c:pt idx="71">
                  <c:v>2.7056555772994142</c:v>
                </c:pt>
                <c:pt idx="72">
                  <c:v>2.832703323558138</c:v>
                </c:pt>
                <c:pt idx="73">
                  <c:v>2.8741437988281247</c:v>
                </c:pt>
                <c:pt idx="74">
                  <c:v>3.0162088607594937</c:v>
                </c:pt>
                <c:pt idx="75">
                  <c:v>3.0881568579766689</c:v>
                </c:pt>
                <c:pt idx="76">
                  <c:v>2.9630197176241486</c:v>
                </c:pt>
                <c:pt idx="77">
                  <c:v>3.0330240993184034</c:v>
                </c:pt>
                <c:pt idx="78">
                  <c:v>3.2188932748537997</c:v>
                </c:pt>
                <c:pt idx="79">
                  <c:v>2.7350812195121952</c:v>
                </c:pt>
                <c:pt idx="80">
                  <c:v>2.7896262135922352</c:v>
                </c:pt>
                <c:pt idx="81">
                  <c:v>3.1195138349514582</c:v>
                </c:pt>
                <c:pt idx="82">
                  <c:v>3.8555483009708555</c:v>
                </c:pt>
                <c:pt idx="83">
                  <c:v>3.0064061284046577</c:v>
                </c:pt>
                <c:pt idx="84">
                  <c:v>2.5455214216163702</c:v>
                </c:pt>
                <c:pt idx="85">
                  <c:v>2.1924272151898734</c:v>
                </c:pt>
                <c:pt idx="86">
                  <c:v>2.2651942551120059</c:v>
                </c:pt>
                <c:pt idx="87">
                  <c:v>2.3730248538011693</c:v>
                </c:pt>
                <c:pt idx="88">
                  <c:v>2.5832915039062612</c:v>
                </c:pt>
                <c:pt idx="89">
                  <c:v>2.6710683593749978</c:v>
                </c:pt>
                <c:pt idx="90">
                  <c:v>2.467394287109399</c:v>
                </c:pt>
                <c:pt idx="91">
                  <c:v>2.2064873294346978</c:v>
                </c:pt>
                <c:pt idx="92">
                  <c:v>2.0932368421052652</c:v>
                </c:pt>
                <c:pt idx="93">
                  <c:v>1.9585317073170732</c:v>
                </c:pt>
                <c:pt idx="94">
                  <c:v>1.7254669765166339</c:v>
                </c:pt>
                <c:pt idx="95">
                  <c:v>1.7548683953033208</c:v>
                </c:pt>
                <c:pt idx="96">
                  <c:v>1.8264235294117748</c:v>
                </c:pt>
                <c:pt idx="97">
                  <c:v>1.7990260058881258</c:v>
                </c:pt>
                <c:pt idx="98">
                  <c:v>1.7988294001966572</c:v>
                </c:pt>
                <c:pt idx="99">
                  <c:v>1.3800607707509882</c:v>
                </c:pt>
                <c:pt idx="100">
                  <c:v>1.5797906804733663</c:v>
                </c:pt>
                <c:pt idx="101">
                  <c:v>1.8884832677165411</c:v>
                </c:pt>
                <c:pt idx="102">
                  <c:v>1.7599721948818901</c:v>
                </c:pt>
                <c:pt idx="103">
                  <c:v>1.7624225074037521</c:v>
                </c:pt>
                <c:pt idx="104">
                  <c:v>1.6748155291790396</c:v>
                </c:pt>
                <c:pt idx="105">
                  <c:v>1.4663063555114144</c:v>
                </c:pt>
                <c:pt idx="106">
                  <c:v>1.4203771060455901</c:v>
                </c:pt>
                <c:pt idx="107">
                  <c:v>1.6083988095238162</c:v>
                </c:pt>
                <c:pt idx="108">
                  <c:v>1.3130691964285715</c:v>
                </c:pt>
                <c:pt idx="109">
                  <c:v>1.2672072989076408</c:v>
                </c:pt>
                <c:pt idx="110">
                  <c:v>1.2297666666666658</c:v>
                </c:pt>
                <c:pt idx="111">
                  <c:v>1.143088133068529</c:v>
                </c:pt>
                <c:pt idx="112">
                  <c:v>1.0496246268656659</c:v>
                </c:pt>
                <c:pt idx="113">
                  <c:v>0.89269601990049763</c:v>
                </c:pt>
                <c:pt idx="114">
                  <c:v>0.81697310756972163</c:v>
                </c:pt>
                <c:pt idx="115">
                  <c:v>0.66007071713148069</c:v>
                </c:pt>
                <c:pt idx="116">
                  <c:v>0.64507278165503501</c:v>
                </c:pt>
                <c:pt idx="117">
                  <c:v>0.66890562749004612</c:v>
                </c:pt>
                <c:pt idx="118">
                  <c:v>0.57014232303090728</c:v>
                </c:pt>
                <c:pt idx="119">
                  <c:v>0.50302705410821669</c:v>
                </c:pt>
                <c:pt idx="120">
                  <c:v>0.3615591046277668</c:v>
                </c:pt>
                <c:pt idx="121">
                  <c:v>0.27265571715145437</c:v>
                </c:pt>
                <c:pt idx="122">
                  <c:v>0.22300450450450438</c:v>
                </c:pt>
                <c:pt idx="123">
                  <c:v>0.31492350000000191</c:v>
                </c:pt>
                <c:pt idx="124">
                  <c:v>0.42461689930209701</c:v>
                </c:pt>
                <c:pt idx="125">
                  <c:v>0.64955014970059888</c:v>
                </c:pt>
                <c:pt idx="126">
                  <c:v>0.43481487025948551</c:v>
                </c:pt>
                <c:pt idx="127">
                  <c:v>0.50844780219780261</c:v>
                </c:pt>
                <c:pt idx="128">
                  <c:v>0.42603953953953955</c:v>
                </c:pt>
                <c:pt idx="129">
                  <c:v>0.30492107892108045</c:v>
                </c:pt>
                <c:pt idx="130">
                  <c:v>0.21694455544455543</c:v>
                </c:pt>
                <c:pt idx="131">
                  <c:v>0.33165219560878401</c:v>
                </c:pt>
                <c:pt idx="132">
                  <c:v>0.16855782652043871</c:v>
                </c:pt>
                <c:pt idx="133">
                  <c:v>0.11146618236472949</c:v>
                </c:pt>
                <c:pt idx="134">
                  <c:v>8.73115E-2</c:v>
                </c:pt>
                <c:pt idx="135">
                  <c:v>0.15029534068136463</c:v>
                </c:pt>
                <c:pt idx="136">
                  <c:v>7.5145395395395387E-2</c:v>
                </c:pt>
                <c:pt idx="137">
                  <c:v>-6.9276973026973124E-2</c:v>
                </c:pt>
                <c:pt idx="138">
                  <c:v>-0.10412774451097848</c:v>
                </c:pt>
                <c:pt idx="139">
                  <c:v>-0.12215119760479035</c:v>
                </c:pt>
                <c:pt idx="140">
                  <c:v>-0.15278062749003984</c:v>
                </c:pt>
                <c:pt idx="141">
                  <c:v>2.4115174129353292E-2</c:v>
                </c:pt>
                <c:pt idx="142">
                  <c:v>0.13406138170974174</c:v>
                </c:pt>
                <c:pt idx="143">
                  <c:v>1.9340257171117741E-2</c:v>
                </c:pt>
                <c:pt idx="144">
                  <c:v>0.24372102161100195</c:v>
                </c:pt>
                <c:pt idx="145">
                  <c:v>0.12571593137254924</c:v>
                </c:pt>
                <c:pt idx="146">
                  <c:v>0.20119605911330071</c:v>
                </c:pt>
                <c:pt idx="147">
                  <c:v>0.16114671246319925</c:v>
                </c:pt>
                <c:pt idx="148">
                  <c:v>0.11285355029585795</c:v>
                </c:pt>
                <c:pt idx="149">
                  <c:v>0.17090424481737584</c:v>
                </c:pt>
                <c:pt idx="150">
                  <c:v>0.17415399802566633</c:v>
                </c:pt>
                <c:pt idx="151">
                  <c:v>0.11142364532019702</c:v>
                </c:pt>
                <c:pt idx="152">
                  <c:v>0.17643423645320336</c:v>
                </c:pt>
                <c:pt idx="153">
                  <c:v>8.639842209072976E-2</c:v>
                </c:pt>
                <c:pt idx="154">
                  <c:v>6.8075615763546815E-2</c:v>
                </c:pt>
                <c:pt idx="155">
                  <c:v>0.16490261341222961</c:v>
                </c:pt>
              </c:numCache>
            </c:numRef>
          </c:val>
          <c:extLst xmlns:c16r2="http://schemas.microsoft.com/office/drawing/2015/06/chart">
            <c:ext xmlns:c16="http://schemas.microsoft.com/office/drawing/2014/chart" uri="{C3380CC4-5D6E-409C-BE32-E72D297353CC}">
              <c16:uniqueId val="{00000001-70DE-4088-891D-EA9A53C13CF7}"/>
            </c:ext>
          </c:extLst>
        </c:ser>
        <c:ser>
          <c:idx val="2"/>
          <c:order val="2"/>
          <c:tx>
            <c:strRef>
              <c:f>Graphs!$AF$2</c:f>
              <c:strCache>
                <c:ptCount val="1"/>
                <c:pt idx="0">
                  <c:v>LT Average Return</c:v>
                </c:pt>
              </c:strCache>
            </c:strRef>
          </c:tx>
          <c:spPr>
            <a:ln w="28575" cap="rnd" cmpd="sng" algn="ctr">
              <a:solidFill>
                <a:schemeClr val="dk1">
                  <a:tint val="75000"/>
                  <a:shade val="95000"/>
                  <a:satMod val="105000"/>
                </a:schemeClr>
              </a:solidFill>
              <a:prstDash val="solid"/>
              <a:round/>
            </a:ln>
            <a:effectLst/>
          </c:spPr>
          <c:marker>
            <c:symbol val="none"/>
          </c:marker>
          <c:cat>
            <c:strRef>
              <c:f>Graphs!$AC$3:$AC$158</c:f>
              <c:strCache>
                <c:ptCount val="156"/>
                <c:pt idx="0">
                  <c:v>2005 Jan</c:v>
                </c:pt>
                <c:pt idx="1">
                  <c:v>2005 Feb</c:v>
                </c:pt>
                <c:pt idx="2">
                  <c:v>2005 Mar</c:v>
                </c:pt>
                <c:pt idx="3">
                  <c:v>2005 Apr</c:v>
                </c:pt>
                <c:pt idx="4">
                  <c:v>2005 May</c:v>
                </c:pt>
                <c:pt idx="5">
                  <c:v>2005 Jun</c:v>
                </c:pt>
                <c:pt idx="6">
                  <c:v>2005 Jul</c:v>
                </c:pt>
                <c:pt idx="7">
                  <c:v>2005 Aug</c:v>
                </c:pt>
                <c:pt idx="8">
                  <c:v>2005 Sep</c:v>
                </c:pt>
                <c:pt idx="9">
                  <c:v>2005 Oct</c:v>
                </c:pt>
                <c:pt idx="10">
                  <c:v>2005 Nov</c:v>
                </c:pt>
                <c:pt idx="11">
                  <c:v>2005 Dec</c:v>
                </c:pt>
                <c:pt idx="12">
                  <c:v>2006 Jan</c:v>
                </c:pt>
                <c:pt idx="13">
                  <c:v>2006 Feb</c:v>
                </c:pt>
                <c:pt idx="14">
                  <c:v>2006 Mar</c:v>
                </c:pt>
                <c:pt idx="15">
                  <c:v>2006 Apr</c:v>
                </c:pt>
                <c:pt idx="16">
                  <c:v>2006 May</c:v>
                </c:pt>
                <c:pt idx="17">
                  <c:v>2006 Jun</c:v>
                </c:pt>
                <c:pt idx="18">
                  <c:v>2006 Jul</c:v>
                </c:pt>
                <c:pt idx="19">
                  <c:v>2006 Aug</c:v>
                </c:pt>
                <c:pt idx="20">
                  <c:v>2006 Sep</c:v>
                </c:pt>
                <c:pt idx="21">
                  <c:v>2006 Oct</c:v>
                </c:pt>
                <c:pt idx="22">
                  <c:v>2006 Nov</c:v>
                </c:pt>
                <c:pt idx="23">
                  <c:v>2006 Dec</c:v>
                </c:pt>
                <c:pt idx="24">
                  <c:v>2007 Jan</c:v>
                </c:pt>
                <c:pt idx="25">
                  <c:v>2007 Feb</c:v>
                </c:pt>
                <c:pt idx="26">
                  <c:v>2007 Mar</c:v>
                </c:pt>
                <c:pt idx="27">
                  <c:v>2007 Apr</c:v>
                </c:pt>
                <c:pt idx="28">
                  <c:v>2007 May</c:v>
                </c:pt>
                <c:pt idx="29">
                  <c:v>2007 Jun</c:v>
                </c:pt>
                <c:pt idx="30">
                  <c:v>2007 Jul</c:v>
                </c:pt>
                <c:pt idx="31">
                  <c:v>2007 Aug</c:v>
                </c:pt>
                <c:pt idx="32">
                  <c:v>2007 Sep</c:v>
                </c:pt>
                <c:pt idx="33">
                  <c:v>2007 Oct</c:v>
                </c:pt>
                <c:pt idx="34">
                  <c:v>2007 Nov</c:v>
                </c:pt>
                <c:pt idx="35">
                  <c:v>2007 Dec</c:v>
                </c:pt>
                <c:pt idx="36">
                  <c:v>2008 Jan</c:v>
                </c:pt>
                <c:pt idx="37">
                  <c:v>2008 Feb</c:v>
                </c:pt>
                <c:pt idx="38">
                  <c:v>2008 Mar</c:v>
                </c:pt>
                <c:pt idx="39">
                  <c:v>2008 Apr</c:v>
                </c:pt>
                <c:pt idx="40">
                  <c:v>2008 May</c:v>
                </c:pt>
                <c:pt idx="41">
                  <c:v>2008 Jun</c:v>
                </c:pt>
                <c:pt idx="42">
                  <c:v>2008 Jul</c:v>
                </c:pt>
                <c:pt idx="43">
                  <c:v>2008 Aug</c:v>
                </c:pt>
                <c:pt idx="44">
                  <c:v>2008 Sep</c:v>
                </c:pt>
                <c:pt idx="45">
                  <c:v>2008 Oct</c:v>
                </c:pt>
                <c:pt idx="46">
                  <c:v>2008 Nov</c:v>
                </c:pt>
                <c:pt idx="47">
                  <c:v>2008 Dec</c:v>
                </c:pt>
                <c:pt idx="48">
                  <c:v>2009 Jan</c:v>
                </c:pt>
                <c:pt idx="49">
                  <c:v>2009 Feb</c:v>
                </c:pt>
                <c:pt idx="50">
                  <c:v>2009 Mar</c:v>
                </c:pt>
                <c:pt idx="51">
                  <c:v>2009 Apr</c:v>
                </c:pt>
                <c:pt idx="52">
                  <c:v>2009 May</c:v>
                </c:pt>
                <c:pt idx="53">
                  <c:v>2009 Jun</c:v>
                </c:pt>
                <c:pt idx="54">
                  <c:v>2009 Jul</c:v>
                </c:pt>
                <c:pt idx="55">
                  <c:v>2009 Aug</c:v>
                </c:pt>
                <c:pt idx="56">
                  <c:v>2009 Sep</c:v>
                </c:pt>
                <c:pt idx="57">
                  <c:v>2009 Oct</c:v>
                </c:pt>
                <c:pt idx="58">
                  <c:v>2009 Nov</c:v>
                </c:pt>
                <c:pt idx="59">
                  <c:v>2009 Dec</c:v>
                </c:pt>
                <c:pt idx="60">
                  <c:v>2010 Jan</c:v>
                </c:pt>
                <c:pt idx="61">
                  <c:v>2010 Feb</c:v>
                </c:pt>
                <c:pt idx="62">
                  <c:v>2010 Mar</c:v>
                </c:pt>
                <c:pt idx="63">
                  <c:v>2010 Apr</c:v>
                </c:pt>
                <c:pt idx="64">
                  <c:v>2010 May</c:v>
                </c:pt>
                <c:pt idx="65">
                  <c:v>2010 Jun</c:v>
                </c:pt>
                <c:pt idx="66">
                  <c:v>2010 Jul</c:v>
                </c:pt>
                <c:pt idx="67">
                  <c:v>2010 Aug</c:v>
                </c:pt>
                <c:pt idx="68">
                  <c:v>2010 Sep</c:v>
                </c:pt>
                <c:pt idx="69">
                  <c:v>2010 Oct</c:v>
                </c:pt>
                <c:pt idx="70">
                  <c:v>2010 Nov</c:v>
                </c:pt>
                <c:pt idx="71">
                  <c:v>2010 Dec</c:v>
                </c:pt>
                <c:pt idx="72">
                  <c:v>2011 Jan</c:v>
                </c:pt>
                <c:pt idx="73">
                  <c:v>2011 Feb</c:v>
                </c:pt>
                <c:pt idx="74">
                  <c:v>2011 Mar</c:v>
                </c:pt>
                <c:pt idx="75">
                  <c:v>2011 Apr</c:v>
                </c:pt>
                <c:pt idx="76">
                  <c:v>2011 May</c:v>
                </c:pt>
                <c:pt idx="77">
                  <c:v>2011 Jun</c:v>
                </c:pt>
                <c:pt idx="78">
                  <c:v>2011 Jul</c:v>
                </c:pt>
                <c:pt idx="79">
                  <c:v>2011 Aug</c:v>
                </c:pt>
                <c:pt idx="80">
                  <c:v>2011 Sep</c:v>
                </c:pt>
                <c:pt idx="81">
                  <c:v>2011 Oct</c:v>
                </c:pt>
                <c:pt idx="82">
                  <c:v>2011 Nov</c:v>
                </c:pt>
                <c:pt idx="83">
                  <c:v>2011 Dec</c:v>
                </c:pt>
                <c:pt idx="84">
                  <c:v>2012 Jan</c:v>
                </c:pt>
                <c:pt idx="85">
                  <c:v>2012 Feb</c:v>
                </c:pt>
                <c:pt idx="86">
                  <c:v>2012 Mar</c:v>
                </c:pt>
                <c:pt idx="87">
                  <c:v>2012 Apr</c:v>
                </c:pt>
                <c:pt idx="88">
                  <c:v>2012 May</c:v>
                </c:pt>
                <c:pt idx="89">
                  <c:v>2012 Jun</c:v>
                </c:pt>
                <c:pt idx="90">
                  <c:v>2012 Jul</c:v>
                </c:pt>
                <c:pt idx="91">
                  <c:v>2012 Aug</c:v>
                </c:pt>
                <c:pt idx="92">
                  <c:v>2012 Sep</c:v>
                </c:pt>
                <c:pt idx="93">
                  <c:v>2012 Oct</c:v>
                </c:pt>
                <c:pt idx="94">
                  <c:v>2012 Nov</c:v>
                </c:pt>
                <c:pt idx="95">
                  <c:v>2012 Dec</c:v>
                </c:pt>
                <c:pt idx="96">
                  <c:v>2013 Jan</c:v>
                </c:pt>
                <c:pt idx="97">
                  <c:v>2013 Feb</c:v>
                </c:pt>
                <c:pt idx="98">
                  <c:v>2013 Mar</c:v>
                </c:pt>
                <c:pt idx="99">
                  <c:v>2013 Apr</c:v>
                </c:pt>
                <c:pt idx="100">
                  <c:v>2013 May</c:v>
                </c:pt>
                <c:pt idx="101">
                  <c:v>2013 Jun</c:v>
                </c:pt>
                <c:pt idx="102">
                  <c:v>2013 Jul</c:v>
                </c:pt>
                <c:pt idx="103">
                  <c:v>2013 Aug</c:v>
                </c:pt>
                <c:pt idx="104">
                  <c:v>2013 Sep</c:v>
                </c:pt>
                <c:pt idx="105">
                  <c:v>2013 Oct</c:v>
                </c:pt>
                <c:pt idx="106">
                  <c:v>2013 Nov</c:v>
                </c:pt>
                <c:pt idx="107">
                  <c:v>2013 Dec</c:v>
                </c:pt>
                <c:pt idx="108">
                  <c:v>2014 Jan</c:v>
                </c:pt>
                <c:pt idx="109">
                  <c:v>2014 Feb</c:v>
                </c:pt>
                <c:pt idx="110">
                  <c:v>2014 Mar</c:v>
                </c:pt>
                <c:pt idx="111">
                  <c:v>2014 Apr</c:v>
                </c:pt>
                <c:pt idx="112">
                  <c:v>2014 May</c:v>
                </c:pt>
                <c:pt idx="113">
                  <c:v>2014 Jun</c:v>
                </c:pt>
                <c:pt idx="114">
                  <c:v>2014 Jul</c:v>
                </c:pt>
                <c:pt idx="115">
                  <c:v>2014 Aug</c:v>
                </c:pt>
                <c:pt idx="116">
                  <c:v>2014 Sep</c:v>
                </c:pt>
                <c:pt idx="117">
                  <c:v>2014 Oct</c:v>
                </c:pt>
                <c:pt idx="118">
                  <c:v>2014 Nov</c:v>
                </c:pt>
                <c:pt idx="119">
                  <c:v>2014 Dec</c:v>
                </c:pt>
                <c:pt idx="120">
                  <c:v>2015 Jan</c:v>
                </c:pt>
                <c:pt idx="121">
                  <c:v>2015 Feb</c:v>
                </c:pt>
                <c:pt idx="122">
                  <c:v>2015 Mar</c:v>
                </c:pt>
                <c:pt idx="123">
                  <c:v>2015 Apr</c:v>
                </c:pt>
                <c:pt idx="124">
                  <c:v>2015 May</c:v>
                </c:pt>
                <c:pt idx="125">
                  <c:v>2015 Jun</c:v>
                </c:pt>
                <c:pt idx="126">
                  <c:v>2015 Jul</c:v>
                </c:pt>
                <c:pt idx="127">
                  <c:v>2015 Aug</c:v>
                </c:pt>
                <c:pt idx="128">
                  <c:v>2015 Sep</c:v>
                </c:pt>
                <c:pt idx="129">
                  <c:v>2015 Oct</c:v>
                </c:pt>
                <c:pt idx="130">
                  <c:v>2015 Nov</c:v>
                </c:pt>
                <c:pt idx="131">
                  <c:v>2015 Dec</c:v>
                </c:pt>
                <c:pt idx="132">
                  <c:v>2016 Jan</c:v>
                </c:pt>
                <c:pt idx="133">
                  <c:v>2016 Feb</c:v>
                </c:pt>
                <c:pt idx="134">
                  <c:v>2016 Mar</c:v>
                </c:pt>
                <c:pt idx="135">
                  <c:v>2016 Apr</c:v>
                </c:pt>
                <c:pt idx="136">
                  <c:v>2016 May</c:v>
                </c:pt>
                <c:pt idx="137">
                  <c:v>2016 Jun</c:v>
                </c:pt>
                <c:pt idx="138">
                  <c:v>2016 Jul</c:v>
                </c:pt>
                <c:pt idx="139">
                  <c:v>2016 Aug</c:v>
                </c:pt>
                <c:pt idx="140">
                  <c:v>2016 Sep</c:v>
                </c:pt>
                <c:pt idx="141">
                  <c:v>2016 Oct</c:v>
                </c:pt>
                <c:pt idx="142">
                  <c:v>2016 Nov</c:v>
                </c:pt>
                <c:pt idx="143">
                  <c:v>2016 Dec</c:v>
                </c:pt>
                <c:pt idx="144">
                  <c:v>2017 Jan</c:v>
                </c:pt>
                <c:pt idx="145">
                  <c:v>2017 Feb</c:v>
                </c:pt>
                <c:pt idx="146">
                  <c:v>2017 Mar</c:v>
                </c:pt>
                <c:pt idx="147">
                  <c:v>2017 Apr</c:v>
                </c:pt>
                <c:pt idx="148">
                  <c:v>2017 May</c:v>
                </c:pt>
                <c:pt idx="149">
                  <c:v>2017 Jun</c:v>
                </c:pt>
                <c:pt idx="150">
                  <c:v>2017 Jul</c:v>
                </c:pt>
                <c:pt idx="151">
                  <c:v>2017 Aug</c:v>
                </c:pt>
                <c:pt idx="152">
                  <c:v>2017 Sep</c:v>
                </c:pt>
                <c:pt idx="153">
                  <c:v>2017 Oct</c:v>
                </c:pt>
                <c:pt idx="154">
                  <c:v>2017 Nov</c:v>
                </c:pt>
                <c:pt idx="155">
                  <c:v>2017 Dec</c:v>
                </c:pt>
              </c:strCache>
            </c:strRef>
          </c:cat>
          <c:val>
            <c:numRef>
              <c:f>Graphs!$AF$3:$AF$158</c:f>
              <c:numCache>
                <c:formatCode>0.000000</c:formatCode>
                <c:ptCount val="156"/>
                <c:pt idx="0">
                  <c:v>4.0089210009813554</c:v>
                </c:pt>
                <c:pt idx="1">
                  <c:v>4.1183450048971597</c:v>
                </c:pt>
                <c:pt idx="2">
                  <c:v>4.1058945694716247</c:v>
                </c:pt>
                <c:pt idx="3">
                  <c:v>3.9921099412340837</c:v>
                </c:pt>
                <c:pt idx="4">
                  <c:v>3.8342605392156712</c:v>
                </c:pt>
                <c:pt idx="5">
                  <c:v>3.6940901960784309</c:v>
                </c:pt>
                <c:pt idx="6">
                  <c:v>3.7518276199804119</c:v>
                </c:pt>
                <c:pt idx="7">
                  <c:v>3.6212876712328792</c:v>
                </c:pt>
                <c:pt idx="8">
                  <c:v>3.5754824561403504</c:v>
                </c:pt>
                <c:pt idx="9">
                  <c:v>3.7902082519531248</c:v>
                </c:pt>
                <c:pt idx="10">
                  <c:v>3.7663746334310853</c:v>
                </c:pt>
                <c:pt idx="11">
                  <c:v>3.5778477517106602</c:v>
                </c:pt>
                <c:pt idx="12">
                  <c:v>3.7631279296875197</c:v>
                </c:pt>
                <c:pt idx="13">
                  <c:v>3.7220266113281237</c:v>
                </c:pt>
                <c:pt idx="14">
                  <c:v>3.9920966242661367</c:v>
                </c:pt>
                <c:pt idx="15">
                  <c:v>4.2246306152343784</c:v>
                </c:pt>
                <c:pt idx="16">
                  <c:v>4.2710936585365884</c:v>
                </c:pt>
                <c:pt idx="17">
                  <c:v>4.3167982926829334</c:v>
                </c:pt>
                <c:pt idx="18">
                  <c:v>4.2253662109374845</c:v>
                </c:pt>
                <c:pt idx="19">
                  <c:v>4.0437399804496872</c:v>
                </c:pt>
                <c:pt idx="20">
                  <c:v>3.8840265225933202</c:v>
                </c:pt>
                <c:pt idx="21">
                  <c:v>3.8957962598425202</c:v>
                </c:pt>
                <c:pt idx="22">
                  <c:v>3.8459239450441607</c:v>
                </c:pt>
                <c:pt idx="23">
                  <c:v>4.0631790971540731</c:v>
                </c:pt>
                <c:pt idx="24">
                  <c:v>4.1964589882121803</c:v>
                </c:pt>
                <c:pt idx="25">
                  <c:v>4.0701370333988214</c:v>
                </c:pt>
                <c:pt idx="26">
                  <c:v>4.2105525024533854</c:v>
                </c:pt>
                <c:pt idx="27">
                  <c:v>4.3078081452404318</c:v>
                </c:pt>
                <c:pt idx="28">
                  <c:v>4.5008461727183517</c:v>
                </c:pt>
                <c:pt idx="29">
                  <c:v>4.6598763493621203</c:v>
                </c:pt>
                <c:pt idx="30">
                  <c:v>4.5345945481335672</c:v>
                </c:pt>
                <c:pt idx="31">
                  <c:v>4.5911012782693899</c:v>
                </c:pt>
                <c:pt idx="32">
                  <c:v>4.6278148873652629</c:v>
                </c:pt>
                <c:pt idx="33">
                  <c:v>4.4984702439024389</c:v>
                </c:pt>
                <c:pt idx="34">
                  <c:v>4.5363145004849663</c:v>
                </c:pt>
                <c:pt idx="35">
                  <c:v>4.5871935014548981</c:v>
                </c:pt>
                <c:pt idx="36">
                  <c:v>4.4867272286821924</c:v>
                </c:pt>
                <c:pt idx="37">
                  <c:v>4.5760830106485972</c:v>
                </c:pt>
                <c:pt idx="38">
                  <c:v>4.5923327702702705</c:v>
                </c:pt>
                <c:pt idx="39">
                  <c:v>4.655832042594386</c:v>
                </c:pt>
                <c:pt idx="40">
                  <c:v>4.7859252651880375</c:v>
                </c:pt>
                <c:pt idx="41">
                  <c:v>4.9027942307692305</c:v>
                </c:pt>
                <c:pt idx="42">
                  <c:v>4.7336164745437124</c:v>
                </c:pt>
                <c:pt idx="43">
                  <c:v>4.6344665221579691</c:v>
                </c:pt>
                <c:pt idx="44">
                  <c:v>4.7425166505791445</c:v>
                </c:pt>
                <c:pt idx="45">
                  <c:v>4.7859411337209314</c:v>
                </c:pt>
                <c:pt idx="46">
                  <c:v>4.3271065132223265</c:v>
                </c:pt>
                <c:pt idx="47">
                  <c:v>4.1192844488188856</c:v>
                </c:pt>
                <c:pt idx="48">
                  <c:v>4.6430341246290805</c:v>
                </c:pt>
                <c:pt idx="49">
                  <c:v>4.5457349308300365</c:v>
                </c:pt>
                <c:pt idx="50">
                  <c:v>4.5401411530815112</c:v>
                </c:pt>
                <c:pt idx="51">
                  <c:v>4.4495305666003855</c:v>
                </c:pt>
                <c:pt idx="52">
                  <c:v>4.8469202499999726</c:v>
                </c:pt>
                <c:pt idx="53">
                  <c:v>4.7490628128128511</c:v>
                </c:pt>
                <c:pt idx="54">
                  <c:v>4.5699451158106834</c:v>
                </c:pt>
                <c:pt idx="55">
                  <c:v>4.5044541583166255</c:v>
                </c:pt>
                <c:pt idx="56">
                  <c:v>4.4349460882647964</c:v>
                </c:pt>
                <c:pt idx="57">
                  <c:v>4.4947174674674351</c:v>
                </c:pt>
                <c:pt idx="58">
                  <c:v>4.3914480099502491</c:v>
                </c:pt>
                <c:pt idx="59">
                  <c:v>4.4909913280475715</c:v>
                </c:pt>
                <c:pt idx="60">
                  <c:v>4.4171243805748324</c:v>
                </c:pt>
                <c:pt idx="61">
                  <c:v>4.3214343409316145</c:v>
                </c:pt>
                <c:pt idx="62">
                  <c:v>4.2431892224409449</c:v>
                </c:pt>
                <c:pt idx="63">
                  <c:v>4.2371532972440944</c:v>
                </c:pt>
                <c:pt idx="64">
                  <c:v>4.1407091937069822</c:v>
                </c:pt>
                <c:pt idx="65">
                  <c:v>4.1855487684729065</c:v>
                </c:pt>
                <c:pt idx="66">
                  <c:v>4.071386922320551</c:v>
                </c:pt>
                <c:pt idx="67">
                  <c:v>3.6033604822834646</c:v>
                </c:pt>
                <c:pt idx="68">
                  <c:v>4.3111665848871494</c:v>
                </c:pt>
                <c:pt idx="69">
                  <c:v>4.0010571638861734</c:v>
                </c:pt>
                <c:pt idx="70">
                  <c:v>4.4465328753680078</c:v>
                </c:pt>
                <c:pt idx="71">
                  <c:v>4.5591333170254345</c:v>
                </c:pt>
                <c:pt idx="72">
                  <c:v>4.6117837243401834</c:v>
                </c:pt>
                <c:pt idx="73">
                  <c:v>4.71174853515625</c:v>
                </c:pt>
                <c:pt idx="74">
                  <c:v>4.8530211781888966</c:v>
                </c:pt>
                <c:pt idx="75">
                  <c:v>4.793173394941677</c:v>
                </c:pt>
                <c:pt idx="76">
                  <c:v>4.6002845666990835</c:v>
                </c:pt>
                <c:pt idx="77">
                  <c:v>4.7171937682570455</c:v>
                </c:pt>
                <c:pt idx="78">
                  <c:v>4.8271832358674089</c:v>
                </c:pt>
                <c:pt idx="79">
                  <c:v>4.6044819512194683</c:v>
                </c:pt>
                <c:pt idx="80">
                  <c:v>4.5374419902912724</c:v>
                </c:pt>
                <c:pt idx="81">
                  <c:v>4.9163191747572812</c:v>
                </c:pt>
                <c:pt idx="82">
                  <c:v>5.2421944174757265</c:v>
                </c:pt>
                <c:pt idx="83">
                  <c:v>4.8175289396886862</c:v>
                </c:pt>
                <c:pt idx="84">
                  <c:v>4.6427509737098349</c:v>
                </c:pt>
                <c:pt idx="85">
                  <c:v>4.3991640701071075</c:v>
                </c:pt>
                <c:pt idx="86">
                  <c:v>4.3604990262901664</c:v>
                </c:pt>
                <c:pt idx="87">
                  <c:v>4.4107534113060431</c:v>
                </c:pt>
                <c:pt idx="88">
                  <c:v>4.1218090820312501</c:v>
                </c:pt>
                <c:pt idx="89">
                  <c:v>4.4697746582031304</c:v>
                </c:pt>
                <c:pt idx="90">
                  <c:v>4.3018591308593814</c:v>
                </c:pt>
                <c:pt idx="91">
                  <c:v>4.2084999999999999</c:v>
                </c:pt>
                <c:pt idx="92">
                  <c:v>3.9544680799220187</c:v>
                </c:pt>
                <c:pt idx="93">
                  <c:v>3.9624814634146337</c:v>
                </c:pt>
                <c:pt idx="94">
                  <c:v>3.7792451076320939</c:v>
                </c:pt>
                <c:pt idx="95">
                  <c:v>3.6660413405088064</c:v>
                </c:pt>
                <c:pt idx="96">
                  <c:v>3.7914764705882327</c:v>
                </c:pt>
                <c:pt idx="97">
                  <c:v>3.8376010794896964</c:v>
                </c:pt>
                <c:pt idx="98">
                  <c:v>3.7403579154375652</c:v>
                </c:pt>
                <c:pt idx="99">
                  <c:v>3.3951237648221402</c:v>
                </c:pt>
                <c:pt idx="100">
                  <c:v>3.6164723865877599</c:v>
                </c:pt>
                <c:pt idx="101">
                  <c:v>3.816659448818875</c:v>
                </c:pt>
                <c:pt idx="102">
                  <c:v>3.8954960629921258</c:v>
                </c:pt>
                <c:pt idx="103">
                  <c:v>3.8516781836129992</c:v>
                </c:pt>
                <c:pt idx="104">
                  <c:v>3.8058649851631889</c:v>
                </c:pt>
                <c:pt idx="105">
                  <c:v>3.7022614200595827</c:v>
                </c:pt>
                <c:pt idx="106">
                  <c:v>3.7390086719524285</c:v>
                </c:pt>
                <c:pt idx="107">
                  <c:v>3.7963516865079412</c:v>
                </c:pt>
                <c:pt idx="108">
                  <c:v>3.5100997023809652</c:v>
                </c:pt>
                <c:pt idx="109">
                  <c:v>3.4368510427010932</c:v>
                </c:pt>
                <c:pt idx="110">
                  <c:v>3.3435738805970212</c:v>
                </c:pt>
                <c:pt idx="111">
                  <c:v>3.2328351539225428</c:v>
                </c:pt>
                <c:pt idx="112">
                  <c:v>3.1258840796020002</c:v>
                </c:pt>
                <c:pt idx="113">
                  <c:v>3.0300619402985078</c:v>
                </c:pt>
                <c:pt idx="114">
                  <c:v>2.8722442729083668</c:v>
                </c:pt>
                <c:pt idx="115">
                  <c:v>2.50473655378486</c:v>
                </c:pt>
                <c:pt idx="116">
                  <c:v>2.6392671984047777</c:v>
                </c:pt>
                <c:pt idx="117">
                  <c:v>2.5486571215139437</c:v>
                </c:pt>
                <c:pt idx="118">
                  <c:v>2.3587091226321037</c:v>
                </c:pt>
                <c:pt idx="119">
                  <c:v>2.1412201903807597</c:v>
                </c:pt>
                <c:pt idx="120">
                  <c:v>1.6579424044265669</c:v>
                </c:pt>
                <c:pt idx="121">
                  <c:v>1.5725777331995987</c:v>
                </c:pt>
                <c:pt idx="122">
                  <c:v>1.3215170170170172</c:v>
                </c:pt>
                <c:pt idx="123">
                  <c:v>1.6135864999999998</c:v>
                </c:pt>
                <c:pt idx="124">
                  <c:v>1.9351316051844381</c:v>
                </c:pt>
                <c:pt idx="125">
                  <c:v>2.4484972554890252</c:v>
                </c:pt>
                <c:pt idx="126">
                  <c:v>2.0700925648702593</c:v>
                </c:pt>
                <c:pt idx="127">
                  <c:v>2.2039830169830212</c:v>
                </c:pt>
                <c:pt idx="128">
                  <c:v>2.1134144144144145</c:v>
                </c:pt>
                <c:pt idx="129">
                  <c:v>1.9547005494505569</c:v>
                </c:pt>
                <c:pt idx="130">
                  <c:v>1.9616123876123877</c:v>
                </c:pt>
                <c:pt idx="131">
                  <c:v>2.1561110279441116</c:v>
                </c:pt>
                <c:pt idx="132">
                  <c:v>1.8175598205383849</c:v>
                </c:pt>
                <c:pt idx="133">
                  <c:v>1.6724203406813629</c:v>
                </c:pt>
                <c:pt idx="134">
                  <c:v>1.5804535000000057</c:v>
                </c:pt>
                <c:pt idx="135">
                  <c:v>1.821363476953908</c:v>
                </c:pt>
                <c:pt idx="136">
                  <c:v>1.6764151651651715</c:v>
                </c:pt>
                <c:pt idx="137">
                  <c:v>1.2246655844155845</c:v>
                </c:pt>
                <c:pt idx="138">
                  <c:v>1.087928393213567</c:v>
                </c:pt>
                <c:pt idx="139">
                  <c:v>1.1007659680638779</c:v>
                </c:pt>
                <c:pt idx="140">
                  <c:v>1.1224375000000064</c:v>
                </c:pt>
                <c:pt idx="141">
                  <c:v>1.4813634328358198</c:v>
                </c:pt>
                <c:pt idx="142">
                  <c:v>1.7579644632206695</c:v>
                </c:pt>
                <c:pt idx="143">
                  <c:v>1.71218175074184</c:v>
                </c:pt>
                <c:pt idx="144">
                  <c:v>2.0693104125736741</c:v>
                </c:pt>
                <c:pt idx="145">
                  <c:v>1.889483823529412</c:v>
                </c:pt>
                <c:pt idx="146">
                  <c:v>1.9947652709359609</c:v>
                </c:pt>
                <c:pt idx="147">
                  <c:v>1.9403289990186461</c:v>
                </c:pt>
                <c:pt idx="148">
                  <c:v>1.9426565581854045</c:v>
                </c:pt>
                <c:pt idx="149">
                  <c:v>1.9221966929911156</c:v>
                </c:pt>
                <c:pt idx="150">
                  <c:v>2.0074842053307012</c:v>
                </c:pt>
                <c:pt idx="151">
                  <c:v>1.8764795566502481</c:v>
                </c:pt>
                <c:pt idx="152">
                  <c:v>1.976506896551733</c:v>
                </c:pt>
                <c:pt idx="153">
                  <c:v>1.854420118343195</c:v>
                </c:pt>
                <c:pt idx="154">
                  <c:v>1.7993066502463058</c:v>
                </c:pt>
                <c:pt idx="155">
                  <c:v>1.9078947238658777</c:v>
                </c:pt>
              </c:numCache>
            </c:numRef>
          </c:val>
          <c:extLst xmlns:c16r2="http://schemas.microsoft.com/office/drawing/2015/06/chart">
            <c:ext xmlns:c16="http://schemas.microsoft.com/office/drawing/2014/chart" uri="{C3380CC4-5D6E-409C-BE32-E72D297353CC}">
              <c16:uniqueId val="{00000002-70DE-4088-891D-EA9A53C13CF7}"/>
            </c:ext>
          </c:extLst>
        </c:ser>
        <c:marker val="1"/>
        <c:axId val="75708672"/>
        <c:axId val="75727232"/>
      </c:lineChart>
      <c:dateAx>
        <c:axId val="75708672"/>
        <c:scaling>
          <c:orientation val="minMax"/>
        </c:scaling>
        <c:axPos val="b"/>
        <c:title>
          <c:tx>
            <c:rich>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en-GB" sz="1000">
                    <a:latin typeface="Times New Roman" pitchFamily="18" charset="0"/>
                    <a:cs typeface="Times New Roman" pitchFamily="18" charset="0"/>
                  </a:rPr>
                  <a:t>Years</a:t>
                </a:r>
                <a:endParaRPr lang="ru-RU" sz="1000">
                  <a:latin typeface="Times New Roman" pitchFamily="18" charset="0"/>
                  <a:cs typeface="Times New Roman" pitchFamily="18" charset="0"/>
                </a:endParaRPr>
              </a:p>
            </c:rich>
          </c:tx>
          <c:spPr>
            <a:noFill/>
            <a:ln>
              <a:noFill/>
            </a:ln>
            <a:effectLst/>
          </c:spPr>
        </c:title>
        <c:numFmt formatCode="General" sourceLinked="0"/>
        <c:minorTickMark val="out"/>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en-US"/>
          </a:p>
        </c:txPr>
        <c:crossAx val="75727232"/>
        <c:crosses val="autoZero"/>
        <c:lblOffset val="100"/>
        <c:baseTimeUnit val="days"/>
        <c:minorUnit val="5"/>
      </c:dateAx>
      <c:valAx>
        <c:axId val="75727232"/>
        <c:scaling>
          <c:orientation val="minMax"/>
          <c:max val="6"/>
          <c:min val="-1"/>
        </c:scaling>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en-GB" sz="1000">
                    <a:latin typeface="Times New Roman" pitchFamily="18" charset="0"/>
                    <a:cs typeface="Times New Roman" pitchFamily="18" charset="0"/>
                  </a:rPr>
                  <a:t>Yields,</a:t>
                </a:r>
                <a:r>
                  <a:rPr lang="en-GB" sz="1000" baseline="0">
                    <a:latin typeface="Times New Roman" pitchFamily="18" charset="0"/>
                    <a:cs typeface="Times New Roman" pitchFamily="18" charset="0"/>
                  </a:rPr>
                  <a:t> %</a:t>
                </a:r>
                <a:endParaRPr lang="ru-RU" sz="1000">
                  <a:latin typeface="Times New Roman" pitchFamily="18" charset="0"/>
                  <a:cs typeface="Times New Roman" pitchFamily="18" charset="0"/>
                </a:endParaRPr>
              </a:p>
            </c:rich>
          </c:tx>
          <c:spPr>
            <a:noFill/>
            <a:ln>
              <a:noFill/>
            </a:ln>
            <a:effectLst/>
          </c:spPr>
        </c:title>
        <c:numFmt formatCode="0.00" sourceLinked="0"/>
        <c:minorTickMark val="out"/>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en-US"/>
          </a:p>
        </c:txPr>
        <c:crossAx val="75708672"/>
        <c:crosses val="autoZero"/>
        <c:crossBetween val="between"/>
        <c:majorUnit val="1"/>
        <c:minorUnit val="0.25"/>
      </c:valAx>
      <c:spPr>
        <a:solidFill>
          <a:schemeClr val="bg1"/>
        </a:solid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solidFill>
        <a:schemeClr val="tx1"/>
      </a:solidFill>
      <a:prstDash val="solid"/>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view3D>
      <c:rotX val="0"/>
      <c:rotY val="0"/>
      <c:depthPercent val="100"/>
      <c:perspective val="0"/>
    </c:view3D>
    <c:floor>
      <c:spPr>
        <a:noFill/>
        <a:ln>
          <a:noFill/>
        </a:ln>
        <a:effectLst/>
        <a:sp3d/>
      </c:spPr>
    </c:floor>
    <c:sideWall>
      <c:spPr>
        <a:noFill/>
        <a:ln>
          <a:noFill/>
        </a:ln>
        <a:effectLst/>
        <a:sp3d/>
      </c:spPr>
    </c:sideWall>
    <c:backWall>
      <c:spPr>
        <a:noFill/>
        <a:ln>
          <a:noFill/>
        </a:ln>
        <a:effectLst/>
        <a:sp3d/>
      </c:spPr>
    </c:backWall>
    <c:plotArea>
      <c:layout/>
      <c:line3DChart>
        <c:grouping val="standard"/>
        <c:ser>
          <c:idx val="0"/>
          <c:order val="0"/>
          <c:tx>
            <c:strRef>
              <c:f>Graphs!$Q$15</c:f>
              <c:strCache>
                <c:ptCount val="1"/>
                <c:pt idx="0">
                  <c:v>Subsample 2005-2007</c:v>
                </c:pt>
              </c:strCache>
            </c:strRef>
          </c:tx>
          <c:spPr>
            <a:solidFill>
              <a:schemeClr val="dk1">
                <a:tint val="88500"/>
              </a:schemeClr>
            </a:solidFill>
            <a:ln>
              <a:noFill/>
            </a:ln>
            <a:effectLst/>
            <a:sp3d/>
          </c:spPr>
          <c:dLbls>
            <c:dLbl>
              <c:idx val="0"/>
              <c:delete val="1"/>
              <c:extLst xmlns:c16r2="http://schemas.microsoft.com/office/drawing/2015/06/chart">
                <c:ext xmlns:c16="http://schemas.microsoft.com/office/drawing/2014/chart" uri="{C3380CC4-5D6E-409C-BE32-E72D297353CC}">
                  <c16:uniqueId val="{00000000-E378-41F1-9AA5-C3865920F24F}"/>
                </c:ext>
                <c:ext xmlns:c15="http://schemas.microsoft.com/office/drawing/2012/chart" uri="{CE6537A1-D6FC-4f65-9D91-7224C49458BB}"/>
              </c:extLst>
            </c:dLbl>
            <c:dLbl>
              <c:idx val="1"/>
              <c:tx>
                <c:rich>
                  <a:bodyPr/>
                  <a:lstStyle/>
                  <a:p>
                    <a:r>
                      <a:rPr lang="en-US" sz="1100" b="1">
                        <a:latin typeface="Times New Roman" pitchFamily="18" charset="0"/>
                        <a:cs typeface="Times New Roman" pitchFamily="18" charset="0"/>
                      </a:rPr>
                      <a:t>2005-2007</a:t>
                    </a:r>
                    <a:endParaRPr lang="en-US"/>
                  </a:p>
                </c:rich>
              </c:tx>
              <c:showSerName val="1"/>
              <c:extLst xmlns:c16r2="http://schemas.microsoft.com/office/drawing/2015/06/chart">
                <c:ext xmlns:c16="http://schemas.microsoft.com/office/drawing/2014/chart" uri="{C3380CC4-5D6E-409C-BE32-E72D297353CC}">
                  <c16:uniqueId val="{00000001-E378-41F1-9AA5-C3865920F24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E378-41F1-9AA5-C3865920F24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E378-41F1-9AA5-C3865920F24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E378-41F1-9AA5-C3865920F24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E378-41F1-9AA5-C3865920F24F}"/>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E378-41F1-9AA5-C3865920F24F}"/>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E378-41F1-9AA5-C3865920F24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E378-41F1-9AA5-C3865920F24F}"/>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9-E378-41F1-9AA5-C3865920F24F}"/>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A-E378-41F1-9AA5-C3865920F24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showSerName val="1"/>
            <c:extLst xmlns:c16r2="http://schemas.microsoft.com/office/drawing/2015/06/chart">
              <c:ext xmlns:c15="http://schemas.microsoft.com/office/drawing/2012/chart" uri="{CE6537A1-D6FC-4f65-9D91-7224C49458BB}">
                <c15:showLeaderLines val="0"/>
              </c:ext>
            </c:extLst>
          </c:dLbls>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Graphs!$Y$16:$Y$26</c:f>
              <c:numCache>
                <c:formatCode>General</c:formatCode>
                <c:ptCount val="11"/>
                <c:pt idx="0">
                  <c:v>0.73200000000000065</c:v>
                </c:pt>
                <c:pt idx="1">
                  <c:v>0.753000000000003</c:v>
                </c:pt>
                <c:pt idx="2">
                  <c:v>0.76300000000000301</c:v>
                </c:pt>
                <c:pt idx="3">
                  <c:v>0.76300000000000301</c:v>
                </c:pt>
                <c:pt idx="4">
                  <c:v>0.65900000000000336</c:v>
                </c:pt>
                <c:pt idx="5">
                  <c:v>0.54700000000000004</c:v>
                </c:pt>
                <c:pt idx="6">
                  <c:v>0.39900000000000174</c:v>
                </c:pt>
                <c:pt idx="7">
                  <c:v>0.34600000000000031</c:v>
                </c:pt>
                <c:pt idx="8">
                  <c:v>0.32600000000000151</c:v>
                </c:pt>
                <c:pt idx="9">
                  <c:v>0.3190000000000015</c:v>
                </c:pt>
                <c:pt idx="10">
                  <c:v>0.3180000000000015</c:v>
                </c:pt>
              </c:numCache>
            </c:numRef>
          </c:val>
          <c:extLst xmlns:c16r2="http://schemas.microsoft.com/office/drawing/2015/06/chart">
            <c:ext xmlns:c16="http://schemas.microsoft.com/office/drawing/2014/chart" uri="{C3380CC4-5D6E-409C-BE32-E72D297353CC}">
              <c16:uniqueId val="{0000000C-E378-41F1-9AA5-C3865920F24F}"/>
            </c:ext>
          </c:extLst>
        </c:ser>
        <c:ser>
          <c:idx val="1"/>
          <c:order val="1"/>
          <c:tx>
            <c:strRef>
              <c:f>Graphs!$Q$27</c:f>
              <c:strCache>
                <c:ptCount val="1"/>
                <c:pt idx="0">
                  <c:v>Subsample 2008-2011</c:v>
                </c:pt>
              </c:strCache>
            </c:strRef>
          </c:tx>
          <c:spPr>
            <a:solidFill>
              <a:schemeClr val="dk1">
                <a:tint val="55000"/>
              </a:schemeClr>
            </a:solidFill>
            <a:ln>
              <a:noFill/>
            </a:ln>
            <a:effectLst/>
            <a:sp3d/>
          </c:spPr>
          <c:dLbls>
            <c:dLbl>
              <c:idx val="0"/>
              <c:delete val="1"/>
              <c:extLst xmlns:c16r2="http://schemas.microsoft.com/office/drawing/2015/06/chart">
                <c:ext xmlns:c16="http://schemas.microsoft.com/office/drawing/2014/chart" uri="{C3380CC4-5D6E-409C-BE32-E72D297353CC}">
                  <c16:uniqueId val="{0000000D-E378-41F1-9AA5-C3865920F24F}"/>
                </c:ext>
                <c:ext xmlns:c15="http://schemas.microsoft.com/office/drawing/2012/chart" uri="{CE6537A1-D6FC-4f65-9D91-7224C49458BB}"/>
              </c:extLst>
            </c:dLbl>
            <c:dLbl>
              <c:idx val="1"/>
              <c:tx>
                <c:rich>
                  <a:bodyPr/>
                  <a:lstStyle/>
                  <a:p>
                    <a:r>
                      <a:rPr lang="en-US" sz="1100" b="1">
                        <a:latin typeface="Times New Roman" pitchFamily="18" charset="0"/>
                        <a:cs typeface="Times New Roman" pitchFamily="18" charset="0"/>
                      </a:rPr>
                      <a:t>2008-2011</a:t>
                    </a:r>
                    <a:endParaRPr lang="en-US"/>
                  </a:p>
                </c:rich>
              </c:tx>
              <c:showSerName val="1"/>
              <c:extLst xmlns:c16r2="http://schemas.microsoft.com/office/drawing/2015/06/chart">
                <c:ext xmlns:c16="http://schemas.microsoft.com/office/drawing/2014/chart" uri="{C3380CC4-5D6E-409C-BE32-E72D297353CC}">
                  <c16:uniqueId val="{0000000E-E378-41F1-9AA5-C3865920F24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F-E378-41F1-9AA5-C3865920F24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0-E378-41F1-9AA5-C3865920F24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1-E378-41F1-9AA5-C3865920F24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2-E378-41F1-9AA5-C3865920F24F}"/>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3-E378-41F1-9AA5-C3865920F24F}"/>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4-E378-41F1-9AA5-C3865920F24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5-E378-41F1-9AA5-C3865920F24F}"/>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6-E378-41F1-9AA5-C3865920F24F}"/>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7-E378-41F1-9AA5-C3865920F24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showSerName val="1"/>
            <c:extLst xmlns:c16r2="http://schemas.microsoft.com/office/drawing/2015/06/chart">
              <c:ext xmlns:c15="http://schemas.microsoft.com/office/drawing/2012/chart" uri="{CE6537A1-D6FC-4f65-9D91-7224C49458BB}">
                <c15:showLeaderLines val="0"/>
              </c:ext>
            </c:extLst>
          </c:dLbls>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Graphs!$Y$28:$Y$38</c:f>
              <c:numCache>
                <c:formatCode>General</c:formatCode>
                <c:ptCount val="11"/>
                <c:pt idx="0">
                  <c:v>1.246</c:v>
                </c:pt>
                <c:pt idx="1">
                  <c:v>1.212</c:v>
                </c:pt>
                <c:pt idx="2">
                  <c:v>1.171</c:v>
                </c:pt>
                <c:pt idx="3">
                  <c:v>1.121</c:v>
                </c:pt>
                <c:pt idx="4">
                  <c:v>0.75900000000000301</c:v>
                </c:pt>
                <c:pt idx="5">
                  <c:v>0.55000000000000004</c:v>
                </c:pt>
                <c:pt idx="6">
                  <c:v>0.30200000000000032</c:v>
                </c:pt>
                <c:pt idx="7">
                  <c:v>0.24100000000000021</c:v>
                </c:pt>
                <c:pt idx="8">
                  <c:v>0.252</c:v>
                </c:pt>
                <c:pt idx="9">
                  <c:v>0.30000000000000032</c:v>
                </c:pt>
                <c:pt idx="10">
                  <c:v>0.37900000000000145</c:v>
                </c:pt>
              </c:numCache>
            </c:numRef>
          </c:val>
          <c:extLst xmlns:c16r2="http://schemas.microsoft.com/office/drawing/2015/06/chart">
            <c:ext xmlns:c16="http://schemas.microsoft.com/office/drawing/2014/chart" uri="{C3380CC4-5D6E-409C-BE32-E72D297353CC}">
              <c16:uniqueId val="{00000019-E378-41F1-9AA5-C3865920F24F}"/>
            </c:ext>
          </c:extLst>
        </c:ser>
        <c:ser>
          <c:idx val="2"/>
          <c:order val="2"/>
          <c:tx>
            <c:strRef>
              <c:f>Graphs!$Q$39</c:f>
              <c:strCache>
                <c:ptCount val="1"/>
                <c:pt idx="0">
                  <c:v>Subsample 2012-2017</c:v>
                </c:pt>
              </c:strCache>
            </c:strRef>
          </c:tx>
          <c:spPr>
            <a:solidFill>
              <a:schemeClr val="dk1">
                <a:tint val="75000"/>
              </a:schemeClr>
            </a:solidFill>
            <a:ln>
              <a:noFill/>
            </a:ln>
            <a:effectLst/>
            <a:sp3d/>
          </c:spPr>
          <c:dLbls>
            <c:dLbl>
              <c:idx val="0"/>
              <c:delete val="1"/>
              <c:extLst xmlns:c16r2="http://schemas.microsoft.com/office/drawing/2015/06/chart">
                <c:ext xmlns:c16="http://schemas.microsoft.com/office/drawing/2014/chart" uri="{C3380CC4-5D6E-409C-BE32-E72D297353CC}">
                  <c16:uniqueId val="{0000001A-E378-41F1-9AA5-C3865920F24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B-E378-41F1-9AA5-C3865920F24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C-E378-41F1-9AA5-C3865920F24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D-E378-41F1-9AA5-C3865920F24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E-E378-41F1-9AA5-C3865920F24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F-E378-41F1-9AA5-C3865920F24F}"/>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0-E378-41F1-9AA5-C3865920F24F}"/>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21-E378-41F1-9AA5-C3865920F24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22-E378-41F1-9AA5-C3865920F24F}"/>
                </c:ext>
                <c:ext xmlns:c15="http://schemas.microsoft.com/office/drawing/2012/chart" uri="{CE6537A1-D6FC-4f65-9D91-7224C49458BB}"/>
              </c:extLst>
            </c:dLbl>
            <c:dLbl>
              <c:idx val="9"/>
              <c:layout>
                <c:manualLayout>
                  <c:x val="-0.60728744939271251"/>
                  <c:y val="0.18729096989966601"/>
                </c:manualLayout>
              </c:layout>
              <c:tx>
                <c:rich>
                  <a:bodyPr/>
                  <a:lstStyle/>
                  <a:p>
                    <a:r>
                      <a:rPr lang="en-US" sz="1100" b="1">
                        <a:latin typeface="Times New Roman" pitchFamily="18" charset="0"/>
                        <a:cs typeface="Times New Roman" pitchFamily="18" charset="0"/>
                      </a:rPr>
                      <a:t>2012-2017</a:t>
                    </a:r>
                    <a:endParaRPr lang="en-US"/>
                  </a:p>
                </c:rich>
              </c:tx>
              <c:showSerName val="1"/>
              <c:extLst xmlns:c16r2="http://schemas.microsoft.com/office/drawing/2015/06/chart">
                <c:ext xmlns:c16="http://schemas.microsoft.com/office/drawing/2014/chart" uri="{C3380CC4-5D6E-409C-BE32-E72D297353CC}">
                  <c16:uniqueId val="{00000023-E378-41F1-9AA5-C3865920F24F}"/>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4-E378-41F1-9AA5-C3865920F24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SerName val="1"/>
            <c:extLst xmlns:c16r2="http://schemas.microsoft.com/office/drawing/2015/06/chart">
              <c:ext xmlns:c15="http://schemas.microsoft.com/office/drawing/2012/chart" uri="{CE6537A1-D6FC-4f65-9D91-7224C49458BB}">
                <c15:showLeaderLines val="0"/>
              </c:ext>
            </c:extLst>
          </c:dLbls>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Graphs!$Y$40:$Y$50</c:f>
              <c:numCache>
                <c:formatCode>General</c:formatCode>
                <c:ptCount val="11"/>
                <c:pt idx="0">
                  <c:v>0.38500000000000151</c:v>
                </c:pt>
                <c:pt idx="1">
                  <c:v>0.49300000000000038</c:v>
                </c:pt>
                <c:pt idx="2">
                  <c:v>0.56499999999999995</c:v>
                </c:pt>
                <c:pt idx="3">
                  <c:v>0.61300000000000165</c:v>
                </c:pt>
                <c:pt idx="4">
                  <c:v>0.78600000000000003</c:v>
                </c:pt>
                <c:pt idx="5">
                  <c:v>0.93700000000000061</c:v>
                </c:pt>
                <c:pt idx="6">
                  <c:v>1.0640000000000001</c:v>
                </c:pt>
                <c:pt idx="7">
                  <c:v>1.0569999999999946</c:v>
                </c:pt>
                <c:pt idx="8">
                  <c:v>1.0449999999999946</c:v>
                </c:pt>
                <c:pt idx="9">
                  <c:v>1.0389999999999942</c:v>
                </c:pt>
                <c:pt idx="10">
                  <c:v>1.0369999999999941</c:v>
                </c:pt>
              </c:numCache>
            </c:numRef>
          </c:val>
          <c:extLst xmlns:c16r2="http://schemas.microsoft.com/office/drawing/2015/06/chart">
            <c:ext xmlns:c16="http://schemas.microsoft.com/office/drawing/2014/chart" uri="{C3380CC4-5D6E-409C-BE32-E72D297353CC}">
              <c16:uniqueId val="{00000026-E378-41F1-9AA5-C3865920F24F}"/>
            </c:ext>
          </c:extLst>
        </c:ser>
        <c:dLbls>
          <c:showVal val="1"/>
        </c:dLbls>
        <c:axId val="76116736"/>
        <c:axId val="76118656"/>
        <c:axId val="77827584"/>
      </c:line3DChart>
      <c:catAx>
        <c:axId val="7611673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Maturity</a:t>
                </a:r>
                <a:endParaRPr lang="ru-RU"/>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8656"/>
        <c:crosses val="autoZero"/>
        <c:auto val="1"/>
        <c:lblAlgn val="ctr"/>
        <c:lblOffset val="100"/>
      </c:catAx>
      <c:valAx>
        <c:axId val="76118656"/>
        <c:scaling>
          <c:orientation val="minMax"/>
          <c:max val="1.4"/>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 Deviation, %</a:t>
                </a:r>
                <a:endParaRPr lang="ru-RU"/>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6736"/>
        <c:crosses val="autoZero"/>
        <c:crossBetween val="between"/>
        <c:majorUnit val="0.2"/>
        <c:minorUnit val="0.1"/>
      </c:valAx>
      <c:serAx>
        <c:axId val="77827584"/>
        <c:scaling>
          <c:orientation val="minMax"/>
        </c:scaling>
        <c:delete val="1"/>
        <c:axPos val="b"/>
        <c:tickLblPos val="none"/>
        <c:crossAx val="76118656"/>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view3D>
      <c:rotX val="0"/>
      <c:rotY val="0"/>
      <c:perspective val="0"/>
    </c:view3D>
    <c:floor>
      <c:spPr>
        <a:noFill/>
        <a:ln>
          <a:noFill/>
        </a:ln>
        <a:effectLst/>
        <a:sp3d/>
      </c:spPr>
    </c:floor>
    <c:sideWall>
      <c:spPr>
        <a:noFill/>
        <a:ln>
          <a:noFill/>
        </a:ln>
        <a:effectLst/>
        <a:sp3d/>
      </c:spPr>
    </c:sideWall>
    <c:backWall>
      <c:spPr>
        <a:noFill/>
        <a:ln>
          <a:noFill/>
        </a:ln>
        <a:effectLst/>
        <a:sp3d/>
      </c:spPr>
    </c:backWall>
    <c:plotArea>
      <c:layout/>
      <c:line3DChart>
        <c:grouping val="standard"/>
        <c:ser>
          <c:idx val="0"/>
          <c:order val="0"/>
          <c:tx>
            <c:strRef>
              <c:f>Graphs!$Q$15</c:f>
              <c:strCache>
                <c:ptCount val="1"/>
                <c:pt idx="0">
                  <c:v>Subsample 2005-2007</c:v>
                </c:pt>
              </c:strCache>
            </c:strRef>
          </c:tx>
          <c:spPr>
            <a:solidFill>
              <a:schemeClr val="dk1">
                <a:tint val="88500"/>
              </a:schemeClr>
            </a:solidFill>
            <a:ln>
              <a:noFill/>
            </a:ln>
            <a:effectLst/>
            <a:sp3d/>
          </c:spPr>
          <c:dLbls>
            <c:dLbl>
              <c:idx val="0"/>
              <c:delete val="1"/>
              <c:extLst xmlns:c16r2="http://schemas.microsoft.com/office/drawing/2015/06/chart">
                <c:ext xmlns:c16="http://schemas.microsoft.com/office/drawing/2014/chart" uri="{C3380CC4-5D6E-409C-BE32-E72D297353CC}">
                  <c16:uniqueId val="{00000000-D02F-4D57-A1CF-725DB375C83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D02F-4D57-A1CF-725DB375C83C}"/>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D02F-4D57-A1CF-725DB375C83C}"/>
                </c:ext>
                <c:ext xmlns:c15="http://schemas.microsoft.com/office/drawing/2012/chart" uri="{CE6537A1-D6FC-4f65-9D91-7224C49458BB}"/>
              </c:extLst>
            </c:dLbl>
            <c:dLbl>
              <c:idx val="3"/>
              <c:layout>
                <c:manualLayout>
                  <c:x val="-0.24603174603174621"/>
                  <c:y val="-5.2380952380952375E-2"/>
                </c:manualLayout>
              </c:layout>
              <c:tx>
                <c:rich>
                  <a:bodyPr/>
                  <a:lstStyle/>
                  <a:p>
                    <a:r>
                      <a:rPr lang="en-US" sz="1100" b="1">
                        <a:latin typeface="Times New Roman" pitchFamily="18" charset="0"/>
                        <a:cs typeface="Times New Roman" pitchFamily="18" charset="0"/>
                      </a:rPr>
                      <a:t>2005-2007</a:t>
                    </a:r>
                    <a:endParaRPr lang="en-US"/>
                  </a:p>
                </c:rich>
              </c:tx>
              <c:showSerName val="1"/>
              <c:extLst xmlns:c16r2="http://schemas.microsoft.com/office/drawing/2015/06/chart">
                <c:ext xmlns:c16="http://schemas.microsoft.com/office/drawing/2014/chart" uri="{C3380CC4-5D6E-409C-BE32-E72D297353CC}">
                  <c16:uniqueId val="{00000003-D02F-4D57-A1CF-725DB375C83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D02F-4D57-A1CF-725DB375C83C}"/>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D02F-4D57-A1CF-725DB375C83C}"/>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D02F-4D57-A1CF-725DB375C83C}"/>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D02F-4D57-A1CF-725DB375C83C}"/>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D02F-4D57-A1CF-725DB375C83C}"/>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9-D02F-4D57-A1CF-725DB375C83C}"/>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A-D02F-4D57-A1CF-725DB375C83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SerName val="1"/>
            <c:extLst xmlns:c16r2="http://schemas.microsoft.com/office/drawing/2015/06/chart">
              <c:ext xmlns:c15="http://schemas.microsoft.com/office/drawing/2012/chart" uri="{CE6537A1-D6FC-4f65-9D91-7224C49458BB}">
                <c15:showLeaderLines val="0"/>
              </c:ext>
            </c:extLst>
          </c:dLbls>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Graphs!$Z$16:$Z$26</c:f>
              <c:numCache>
                <c:formatCode>General</c:formatCode>
                <c:ptCount val="11"/>
                <c:pt idx="0">
                  <c:v>3.9000000000000014E-2</c:v>
                </c:pt>
                <c:pt idx="1">
                  <c:v>-8.4000000000000047E-2</c:v>
                </c:pt>
                <c:pt idx="2">
                  <c:v>-0.16300000000000001</c:v>
                </c:pt>
                <c:pt idx="3">
                  <c:v>-0.21600000000000041</c:v>
                </c:pt>
                <c:pt idx="4">
                  <c:v>-0.29100000000000031</c:v>
                </c:pt>
                <c:pt idx="5">
                  <c:v>-0.19800000000000001</c:v>
                </c:pt>
                <c:pt idx="6">
                  <c:v>1.6000000000000021E-2</c:v>
                </c:pt>
                <c:pt idx="7">
                  <c:v>0.12400000000000012</c:v>
                </c:pt>
                <c:pt idx="8">
                  <c:v>0.18000000000000024</c:v>
                </c:pt>
                <c:pt idx="9">
                  <c:v>0.21100000000000024</c:v>
                </c:pt>
                <c:pt idx="10">
                  <c:v>0.224</c:v>
                </c:pt>
              </c:numCache>
            </c:numRef>
          </c:val>
          <c:extLst xmlns:c16r2="http://schemas.microsoft.com/office/drawing/2015/06/chart">
            <c:ext xmlns:c16="http://schemas.microsoft.com/office/drawing/2014/chart" uri="{C3380CC4-5D6E-409C-BE32-E72D297353CC}">
              <c16:uniqueId val="{0000000C-D02F-4D57-A1CF-725DB375C83C}"/>
            </c:ext>
          </c:extLst>
        </c:ser>
        <c:ser>
          <c:idx val="1"/>
          <c:order val="1"/>
          <c:tx>
            <c:strRef>
              <c:f>Graphs!$Q$27</c:f>
              <c:strCache>
                <c:ptCount val="1"/>
                <c:pt idx="0">
                  <c:v>Subsample 2008-2011</c:v>
                </c:pt>
              </c:strCache>
            </c:strRef>
          </c:tx>
          <c:spPr>
            <a:solidFill>
              <a:schemeClr val="dk1">
                <a:tint val="55000"/>
              </a:schemeClr>
            </a:solidFill>
            <a:ln>
              <a:noFill/>
            </a:ln>
            <a:effectLst/>
            <a:sp3d/>
          </c:spPr>
          <c:dLbls>
            <c:dLbl>
              <c:idx val="0"/>
              <c:tx>
                <c:rich>
                  <a:bodyPr/>
                  <a:lstStyle/>
                  <a:p>
                    <a:r>
                      <a:rPr lang="en-US" sz="1100" b="1">
                        <a:latin typeface="Times New Roman" pitchFamily="18" charset="0"/>
                        <a:cs typeface="Times New Roman" pitchFamily="18" charset="0"/>
                      </a:rPr>
                      <a:t>2008-2011</a:t>
                    </a:r>
                    <a:endParaRPr lang="en-US"/>
                  </a:p>
                </c:rich>
              </c:tx>
              <c:showSerName val="1"/>
              <c:extLst xmlns:c16r2="http://schemas.microsoft.com/office/drawing/2015/06/chart">
                <c:ext xmlns:c16="http://schemas.microsoft.com/office/drawing/2014/chart" uri="{C3380CC4-5D6E-409C-BE32-E72D297353CC}">
                  <c16:uniqueId val="{0000000D-D02F-4D57-A1CF-725DB375C83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E-D02F-4D57-A1CF-725DB375C83C}"/>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F-D02F-4D57-A1CF-725DB375C83C}"/>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0-D02F-4D57-A1CF-725DB375C83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1-D02F-4D57-A1CF-725DB375C83C}"/>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2-D02F-4D57-A1CF-725DB375C83C}"/>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3-D02F-4D57-A1CF-725DB375C83C}"/>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4-D02F-4D57-A1CF-725DB375C83C}"/>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5-D02F-4D57-A1CF-725DB375C83C}"/>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6-D02F-4D57-A1CF-725DB375C83C}"/>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7-D02F-4D57-A1CF-725DB375C83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SerName val="1"/>
            <c:extLst xmlns:c16r2="http://schemas.microsoft.com/office/drawing/2015/06/chart">
              <c:ext xmlns:c15="http://schemas.microsoft.com/office/drawing/2012/chart" uri="{CE6537A1-D6FC-4f65-9D91-7224C49458BB}">
                <c15:showLeaderLines val="0"/>
              </c:ext>
            </c:extLst>
          </c:dLbls>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Graphs!$Z$28:$Z$38</c:f>
              <c:numCache>
                <c:formatCode>General</c:formatCode>
                <c:ptCount val="11"/>
                <c:pt idx="0">
                  <c:v>1.256</c:v>
                </c:pt>
                <c:pt idx="1">
                  <c:v>1.113</c:v>
                </c:pt>
                <c:pt idx="2">
                  <c:v>1.0069999999999939</c:v>
                </c:pt>
                <c:pt idx="3">
                  <c:v>0.95100000000000062</c:v>
                </c:pt>
                <c:pt idx="4">
                  <c:v>0.80600000000000005</c:v>
                </c:pt>
                <c:pt idx="5">
                  <c:v>0.47900000000000031</c:v>
                </c:pt>
                <c:pt idx="6">
                  <c:v>-0.11600000000000002</c:v>
                </c:pt>
                <c:pt idx="7">
                  <c:v>-0.43200000000000038</c:v>
                </c:pt>
                <c:pt idx="8">
                  <c:v>-0.74500000000000266</c:v>
                </c:pt>
                <c:pt idx="9">
                  <c:v>-0.78</c:v>
                </c:pt>
                <c:pt idx="10">
                  <c:v>-0.59899999999999998</c:v>
                </c:pt>
              </c:numCache>
            </c:numRef>
          </c:val>
          <c:extLst xmlns:c16r2="http://schemas.microsoft.com/office/drawing/2015/06/chart">
            <c:ext xmlns:c16="http://schemas.microsoft.com/office/drawing/2014/chart" uri="{C3380CC4-5D6E-409C-BE32-E72D297353CC}">
              <c16:uniqueId val="{00000019-D02F-4D57-A1CF-725DB375C83C}"/>
            </c:ext>
          </c:extLst>
        </c:ser>
        <c:ser>
          <c:idx val="2"/>
          <c:order val="2"/>
          <c:tx>
            <c:strRef>
              <c:f>Graphs!$Q$39</c:f>
              <c:strCache>
                <c:ptCount val="1"/>
                <c:pt idx="0">
                  <c:v>Subsample 2012-2017</c:v>
                </c:pt>
              </c:strCache>
            </c:strRef>
          </c:tx>
          <c:spPr>
            <a:solidFill>
              <a:schemeClr val="dk1">
                <a:tint val="75000"/>
              </a:schemeClr>
            </a:solidFill>
            <a:ln>
              <a:noFill/>
            </a:ln>
            <a:effectLst/>
            <a:sp3d/>
          </c:spPr>
          <c:dLbls>
            <c:dLbl>
              <c:idx val="0"/>
              <c:delete val="1"/>
              <c:extLst xmlns:c16r2="http://schemas.microsoft.com/office/drawing/2015/06/chart">
                <c:ext xmlns:c16="http://schemas.microsoft.com/office/drawing/2014/chart" uri="{C3380CC4-5D6E-409C-BE32-E72D297353CC}">
                  <c16:uniqueId val="{0000001A-D02F-4D57-A1CF-725DB375C83C}"/>
                </c:ext>
                <c:ext xmlns:c15="http://schemas.microsoft.com/office/drawing/2012/chart" uri="{CE6537A1-D6FC-4f65-9D91-7224C49458BB}"/>
              </c:extLst>
            </c:dLbl>
            <c:dLbl>
              <c:idx val="1"/>
              <c:layout>
                <c:manualLayout>
                  <c:x val="-7.9365079365079388E-2"/>
                  <c:y val="4.7619047619047623E-3"/>
                </c:manualLayout>
              </c:layout>
              <c:tx>
                <c:rich>
                  <a:bodyPr/>
                  <a:lstStyle/>
                  <a:p>
                    <a:r>
                      <a:rPr lang="en-US" sz="1100" b="1">
                        <a:latin typeface="Times New Roman" pitchFamily="18" charset="0"/>
                        <a:cs typeface="Times New Roman" pitchFamily="18" charset="0"/>
                      </a:rPr>
                      <a:t>2012-2017</a:t>
                    </a:r>
                    <a:endParaRPr lang="en-US"/>
                  </a:p>
                </c:rich>
              </c:tx>
              <c:showSerName val="1"/>
              <c:extLst xmlns:c16r2="http://schemas.microsoft.com/office/drawing/2015/06/chart">
                <c:ext xmlns:c16="http://schemas.microsoft.com/office/drawing/2014/chart" uri="{C3380CC4-5D6E-409C-BE32-E72D297353CC}">
                  <c16:uniqueId val="{0000001B-D02F-4D57-A1CF-725DB375C83C}"/>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C-D02F-4D57-A1CF-725DB375C83C}"/>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D-D02F-4D57-A1CF-725DB375C83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E-D02F-4D57-A1CF-725DB375C83C}"/>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F-D02F-4D57-A1CF-725DB375C83C}"/>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0-D02F-4D57-A1CF-725DB375C83C}"/>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21-D02F-4D57-A1CF-725DB375C83C}"/>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22-D02F-4D57-A1CF-725DB375C83C}"/>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23-D02F-4D57-A1CF-725DB375C83C}"/>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4-D02F-4D57-A1CF-725DB375C83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SerName val="1"/>
            <c:extLst xmlns:c16r2="http://schemas.microsoft.com/office/drawing/2015/06/chart">
              <c:ext xmlns:c15="http://schemas.microsoft.com/office/drawing/2012/chart" uri="{CE6537A1-D6FC-4f65-9D91-7224C49458BB}">
                <c15:showLeaderLines val="0"/>
              </c:ext>
            </c:extLst>
          </c:dLbls>
          <c:cat>
            <c:strRef>
              <c:f>Graphs!$Q$4:$Q$14</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Graphs!$Z$40:$Z$50</c:f>
              <c:numCache>
                <c:formatCode>General</c:formatCode>
                <c:ptCount val="11"/>
                <c:pt idx="0">
                  <c:v>0.14800000000000021</c:v>
                </c:pt>
                <c:pt idx="1">
                  <c:v>0.58599999999999997</c:v>
                </c:pt>
                <c:pt idx="2">
                  <c:v>0.757000000000003</c:v>
                </c:pt>
                <c:pt idx="3">
                  <c:v>0.82299999999999995</c:v>
                </c:pt>
                <c:pt idx="4">
                  <c:v>0.72800000000000065</c:v>
                </c:pt>
                <c:pt idx="5">
                  <c:v>0.59799999999999998</c:v>
                </c:pt>
                <c:pt idx="6">
                  <c:v>0.41300000000000031</c:v>
                </c:pt>
                <c:pt idx="7">
                  <c:v>0.32500000000000151</c:v>
                </c:pt>
                <c:pt idx="8">
                  <c:v>0.28200000000000008</c:v>
                </c:pt>
                <c:pt idx="9">
                  <c:v>0.26100000000000001</c:v>
                </c:pt>
                <c:pt idx="10">
                  <c:v>0.24900000000000044</c:v>
                </c:pt>
              </c:numCache>
            </c:numRef>
          </c:val>
          <c:extLst xmlns:c16r2="http://schemas.microsoft.com/office/drawing/2015/06/chart">
            <c:ext xmlns:c16="http://schemas.microsoft.com/office/drawing/2014/chart" uri="{C3380CC4-5D6E-409C-BE32-E72D297353CC}">
              <c16:uniqueId val="{00000026-D02F-4D57-A1CF-725DB375C83C}"/>
            </c:ext>
          </c:extLst>
        </c:ser>
        <c:dLbls>
          <c:showVal val="1"/>
        </c:dLbls>
        <c:axId val="78521856"/>
        <c:axId val="78523776"/>
        <c:axId val="41150656"/>
      </c:line3DChart>
      <c:catAx>
        <c:axId val="785218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Maturity</a:t>
                </a:r>
                <a:endParaRPr lang="ru-RU"/>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23776"/>
        <c:crosses val="autoZero"/>
        <c:auto val="1"/>
        <c:lblAlgn val="ctr"/>
        <c:lblOffset val="100"/>
      </c:catAx>
      <c:valAx>
        <c:axId val="78523776"/>
        <c:scaling>
          <c:orientation val="minMax"/>
          <c:max val="1.5"/>
          <c:min val="-1"/>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Skewness</a:t>
                </a:r>
                <a:endParaRPr lang="ru-RU"/>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21856"/>
        <c:crosses val="autoZero"/>
        <c:crossBetween val="between"/>
        <c:majorUnit val="0.5"/>
        <c:minorUnit val="0.25"/>
      </c:valAx>
      <c:serAx>
        <c:axId val="41150656"/>
        <c:scaling>
          <c:orientation val="minMax"/>
        </c:scaling>
        <c:delete val="1"/>
        <c:axPos val="b"/>
        <c:tickLblPos val="none"/>
        <c:crossAx val="78523776"/>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1"/>
  <c:chart>
    <c:view3D>
      <c:rotX val="0"/>
      <c:rotY val="0"/>
      <c:perspective val="0"/>
    </c:view3D>
    <c:floor>
      <c:spPr>
        <a:noFill/>
        <a:ln>
          <a:noFill/>
        </a:ln>
        <a:effectLst/>
        <a:sp3d/>
      </c:spPr>
    </c:floor>
    <c:sideWall>
      <c:spPr>
        <a:noFill/>
        <a:ln>
          <a:noFill/>
        </a:ln>
        <a:effectLst/>
        <a:sp3d/>
      </c:spPr>
    </c:sideWall>
    <c:backWall>
      <c:spPr>
        <a:noFill/>
        <a:ln>
          <a:noFill/>
        </a:ln>
        <a:effectLst/>
        <a:sp3d/>
      </c:spPr>
    </c:backWall>
    <c:plotArea>
      <c:layout/>
      <c:line3DChart>
        <c:grouping val="standard"/>
        <c:ser>
          <c:idx val="0"/>
          <c:order val="0"/>
          <c:tx>
            <c:strRef>
              <c:f>Graphs!$B$3</c:f>
              <c:strCache>
                <c:ptCount val="1"/>
                <c:pt idx="0">
                  <c:v>2005-2007</c:v>
                </c:pt>
              </c:strCache>
            </c:strRef>
          </c:tx>
          <c:spPr>
            <a:solidFill>
              <a:schemeClr val="dk1">
                <a:tint val="88500"/>
              </a:schemeClr>
            </a:solidFill>
            <a:ln>
              <a:noFill/>
            </a:ln>
            <a:effectLst/>
            <a:sp3d/>
          </c:spPr>
          <c:dLbls>
            <c:dLbl>
              <c:idx val="0"/>
              <c:delete val="1"/>
              <c:extLst xmlns:c16r2="http://schemas.microsoft.com/office/drawing/2015/06/chart">
                <c:ext xmlns:c16="http://schemas.microsoft.com/office/drawing/2014/chart" uri="{C3380CC4-5D6E-409C-BE32-E72D297353CC}">
                  <c16:uniqueId val="{00000000-C332-4798-91B9-C4B9C89308F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C332-4798-91B9-C4B9C89308F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C332-4798-91B9-C4B9C89308F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C332-4798-91B9-C4B9C89308F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C332-4798-91B9-C4B9C89308F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C332-4798-91B9-C4B9C89308FF}"/>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C332-4798-91B9-C4B9C89308FF}"/>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C332-4798-91B9-C4B9C89308F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C332-4798-91B9-C4B9C89308FF}"/>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9-C332-4798-91B9-C4B9C89308FF}"/>
                </c:ext>
                <c:ext xmlns:c15="http://schemas.microsoft.com/office/drawing/2012/chart" uri="{CE6537A1-D6FC-4f65-9D91-7224C49458BB}"/>
              </c:extLst>
            </c:dLbl>
            <c:dLbl>
              <c:idx val="10"/>
              <c:layout>
                <c:manualLayout>
                  <c:x val="-8.0258899676375506E-2"/>
                  <c:y val="-1.3888888888889018E-2"/>
                </c:manualLayout>
              </c:layout>
              <c:showSerName val="1"/>
              <c:extLst xmlns:c16r2="http://schemas.microsoft.com/office/drawing/2015/06/chart">
                <c:ext xmlns:c16="http://schemas.microsoft.com/office/drawing/2014/chart" uri="{C3380CC4-5D6E-409C-BE32-E72D297353CC}">
                  <c16:uniqueId val="{00000006-F59B-4423-8C21-809CBD9EA4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SerName val="1"/>
            <c:extLst xmlns:c16r2="http://schemas.microsoft.com/office/drawing/2015/06/chart">
              <c:ext xmlns:c15="http://schemas.microsoft.com/office/drawing/2012/chart" uri="{CE6537A1-D6FC-4f65-9D91-7224C49458BB}">
                <c15:showLeaderLines val="0"/>
              </c:ext>
            </c:extLst>
          </c:dLbls>
          <c:cat>
            <c:strRef>
              <c:f>Graphs!$D$2:$N$2</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Graphs!$D$6:$N$6</c:f>
              <c:numCache>
                <c:formatCode>General</c:formatCode>
                <c:ptCount val="11"/>
                <c:pt idx="0">
                  <c:v>3.9359999999999977</c:v>
                </c:pt>
                <c:pt idx="1">
                  <c:v>3.9589999999999987</c:v>
                </c:pt>
                <c:pt idx="2">
                  <c:v>4.0060000000000002</c:v>
                </c:pt>
                <c:pt idx="3">
                  <c:v>0.29700000000000032</c:v>
                </c:pt>
                <c:pt idx="4">
                  <c:v>0.64700000000000302</c:v>
                </c:pt>
                <c:pt idx="5">
                  <c:v>1.0329999999999941</c:v>
                </c:pt>
                <c:pt idx="6">
                  <c:v>2.2210000000000001</c:v>
                </c:pt>
                <c:pt idx="7">
                  <c:v>3.1379999999999999</c:v>
                </c:pt>
                <c:pt idx="8">
                  <c:v>3.669</c:v>
                </c:pt>
                <c:pt idx="9">
                  <c:v>3.9559999999999977</c:v>
                </c:pt>
                <c:pt idx="10">
                  <c:v>4.1049999999999782</c:v>
                </c:pt>
              </c:numCache>
            </c:numRef>
          </c:val>
          <c:extLst xmlns:c16r2="http://schemas.microsoft.com/office/drawing/2015/06/chart">
            <c:ext xmlns:c16="http://schemas.microsoft.com/office/drawing/2014/chart" uri="{C3380CC4-5D6E-409C-BE32-E72D297353CC}">
              <c16:uniqueId val="{0000000B-C332-4798-91B9-C4B9C89308FF}"/>
            </c:ext>
          </c:extLst>
        </c:ser>
        <c:ser>
          <c:idx val="1"/>
          <c:order val="1"/>
          <c:tx>
            <c:strRef>
              <c:f>Graphs!$B$7</c:f>
              <c:strCache>
                <c:ptCount val="1"/>
                <c:pt idx="0">
                  <c:v>2008-2011</c:v>
                </c:pt>
              </c:strCache>
            </c:strRef>
          </c:tx>
          <c:spPr>
            <a:solidFill>
              <a:schemeClr val="dk1">
                <a:tint val="55000"/>
              </a:schemeClr>
            </a:solidFill>
            <a:ln>
              <a:noFill/>
            </a:ln>
            <a:effectLst/>
            <a:sp3d/>
          </c:spPr>
          <c:dLbls>
            <c:dLbl>
              <c:idx val="0"/>
              <c:delete val="1"/>
              <c:extLst xmlns:c16r2="http://schemas.microsoft.com/office/drawing/2015/06/chart">
                <c:ext xmlns:c16="http://schemas.microsoft.com/office/drawing/2014/chart" uri="{C3380CC4-5D6E-409C-BE32-E72D297353CC}">
                  <c16:uniqueId val="{0000000C-C332-4798-91B9-C4B9C89308F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D-C332-4798-91B9-C4B9C89308F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E-C332-4798-91B9-C4B9C89308F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F-C332-4798-91B9-C4B9C89308F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0-C332-4798-91B9-C4B9C89308F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1-C332-4798-91B9-C4B9C89308FF}"/>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2-C332-4798-91B9-C4B9C89308FF}"/>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3-C332-4798-91B9-C4B9C89308F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4-C332-4798-91B9-C4B9C89308FF}"/>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5-C332-4798-91B9-C4B9C89308FF}"/>
                </c:ext>
                <c:ext xmlns:c15="http://schemas.microsoft.com/office/drawing/2012/chart" uri="{CE6537A1-D6FC-4f65-9D91-7224C49458BB}"/>
              </c:extLst>
            </c:dLbl>
            <c:dLbl>
              <c:idx val="10"/>
              <c:layout>
                <c:manualLayout>
                  <c:x val="-8.0258899676375506E-2"/>
                  <c:y val="-6.4814814814815047E-2"/>
                </c:manualLayout>
              </c:layout>
              <c:showSerName val="1"/>
              <c:extLst xmlns:c16r2="http://schemas.microsoft.com/office/drawing/2015/06/chart">
                <c:ext xmlns:c16="http://schemas.microsoft.com/office/drawing/2014/chart" uri="{C3380CC4-5D6E-409C-BE32-E72D297353CC}">
                  <c16:uniqueId val="{00000005-F59B-4423-8C21-809CBD9EA4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SerName val="1"/>
            <c:extLst xmlns:c16r2="http://schemas.microsoft.com/office/drawing/2015/06/chart">
              <c:ext xmlns:c15="http://schemas.microsoft.com/office/drawing/2012/chart" uri="{CE6537A1-D6FC-4f65-9D91-7224C49458BB}">
                <c15:showLeaderLines val="0"/>
              </c:ext>
            </c:extLst>
          </c:dLbls>
          <c:cat>
            <c:strRef>
              <c:f>Graphs!$D$2:$N$2</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Graphs!$D$10:$N$10</c:f>
              <c:numCache>
                <c:formatCode>General</c:formatCode>
                <c:ptCount val="11"/>
                <c:pt idx="0">
                  <c:v>1.163</c:v>
                </c:pt>
                <c:pt idx="1">
                  <c:v>1.2989999999999946</c:v>
                </c:pt>
                <c:pt idx="2">
                  <c:v>1.462</c:v>
                </c:pt>
                <c:pt idx="3">
                  <c:v>0.35000000000000031</c:v>
                </c:pt>
                <c:pt idx="4">
                  <c:v>1.494</c:v>
                </c:pt>
                <c:pt idx="5">
                  <c:v>3.073</c:v>
                </c:pt>
                <c:pt idx="6">
                  <c:v>8.5360000000000014</c:v>
                </c:pt>
                <c:pt idx="7">
                  <c:v>12.333</c:v>
                </c:pt>
                <c:pt idx="8">
                  <c:v>12.39</c:v>
                </c:pt>
                <c:pt idx="9">
                  <c:v>10.483000000000002</c:v>
                </c:pt>
                <c:pt idx="10">
                  <c:v>8.1960000000000015</c:v>
                </c:pt>
              </c:numCache>
            </c:numRef>
          </c:val>
          <c:extLst xmlns:c16r2="http://schemas.microsoft.com/office/drawing/2015/06/chart">
            <c:ext xmlns:c16="http://schemas.microsoft.com/office/drawing/2014/chart" uri="{C3380CC4-5D6E-409C-BE32-E72D297353CC}">
              <c16:uniqueId val="{00000017-C332-4798-91B9-C4B9C89308FF}"/>
            </c:ext>
          </c:extLst>
        </c:ser>
        <c:ser>
          <c:idx val="2"/>
          <c:order val="2"/>
          <c:tx>
            <c:strRef>
              <c:f>Graphs!$B$11</c:f>
              <c:strCache>
                <c:ptCount val="1"/>
                <c:pt idx="0">
                  <c:v>2012-2017</c:v>
                </c:pt>
              </c:strCache>
            </c:strRef>
          </c:tx>
          <c:spPr>
            <a:solidFill>
              <a:schemeClr val="dk1">
                <a:tint val="75000"/>
              </a:schemeClr>
            </a:solidFill>
            <a:ln>
              <a:noFill/>
            </a:ln>
            <a:effectLst/>
            <a:sp3d/>
          </c:spPr>
          <c:dLbls>
            <c:dLbl>
              <c:idx val="0"/>
              <c:layout>
                <c:manualLayout>
                  <c:x val="0.63171521035598965"/>
                  <c:y val="-8.7962962962963229E-2"/>
                </c:manualLayout>
              </c:layout>
              <c:showSerName val="1"/>
              <c:extLst xmlns:c16r2="http://schemas.microsoft.com/office/drawing/2015/06/chart">
                <c:ext xmlns:c16="http://schemas.microsoft.com/office/drawing/2014/chart" uri="{C3380CC4-5D6E-409C-BE32-E72D297353CC}">
                  <c16:uniqueId val="{00000003-F59B-4423-8C21-809CBD9EA45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8-C332-4798-91B9-C4B9C89308FF}"/>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9-C332-4798-91B9-C4B9C89308F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A-C332-4798-91B9-C4B9C89308F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B-C332-4798-91B9-C4B9C89308FF}"/>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C-C332-4798-91B9-C4B9C89308FF}"/>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D-C332-4798-91B9-C4B9C89308FF}"/>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E-C332-4798-91B9-C4B9C89308FF}"/>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F-C332-4798-91B9-C4B9C89308FF}"/>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20-C332-4798-91B9-C4B9C89308FF}"/>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4-F59B-4423-8C21-809CBD9EA4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SerName val="1"/>
            <c:extLst xmlns:c16r2="http://schemas.microsoft.com/office/drawing/2015/06/chart">
              <c:ext xmlns:c15="http://schemas.microsoft.com/office/drawing/2012/chart" uri="{CE6537A1-D6FC-4f65-9D91-7224C49458BB}">
                <c15:showLeaderLines val="0"/>
              </c:ext>
            </c:extLst>
          </c:dLbls>
          <c:cat>
            <c:strRef>
              <c:f>Graphs!$D$2:$N$2</c:f>
              <c:strCache>
                <c:ptCount val="11"/>
                <c:pt idx="0">
                  <c:v>3M</c:v>
                </c:pt>
                <c:pt idx="1">
                  <c:v>6M</c:v>
                </c:pt>
                <c:pt idx="2">
                  <c:v>9M</c:v>
                </c:pt>
                <c:pt idx="3">
                  <c:v>1Y</c:v>
                </c:pt>
                <c:pt idx="4">
                  <c:v>3Y</c:v>
                </c:pt>
                <c:pt idx="5">
                  <c:v>5Y</c:v>
                </c:pt>
                <c:pt idx="6">
                  <c:v>10Y</c:v>
                </c:pt>
                <c:pt idx="7">
                  <c:v>15Y</c:v>
                </c:pt>
                <c:pt idx="8">
                  <c:v>20Y</c:v>
                </c:pt>
                <c:pt idx="9">
                  <c:v>25Y</c:v>
                </c:pt>
                <c:pt idx="10">
                  <c:v>30Y</c:v>
                </c:pt>
              </c:strCache>
            </c:strRef>
          </c:cat>
          <c:val>
            <c:numRef>
              <c:f>Graphs!$D$14:$N$14</c:f>
              <c:numCache>
                <c:formatCode>General</c:formatCode>
                <c:ptCount val="11"/>
                <c:pt idx="0">
                  <c:v>-7.8000000000000014E-2</c:v>
                </c:pt>
                <c:pt idx="1">
                  <c:v>0.14600000000000021</c:v>
                </c:pt>
                <c:pt idx="2">
                  <c:v>0.24700000000000041</c:v>
                </c:pt>
                <c:pt idx="3">
                  <c:v>0.30500000000000038</c:v>
                </c:pt>
                <c:pt idx="4">
                  <c:v>0.630000000000003</c:v>
                </c:pt>
                <c:pt idx="5">
                  <c:v>1.026</c:v>
                </c:pt>
                <c:pt idx="6">
                  <c:v>1.8049999999999946</c:v>
                </c:pt>
                <c:pt idx="7">
                  <c:v>2.2770000000000001</c:v>
                </c:pt>
                <c:pt idx="8">
                  <c:v>2.5459999999999998</c:v>
                </c:pt>
                <c:pt idx="9">
                  <c:v>2.706</c:v>
                </c:pt>
                <c:pt idx="10">
                  <c:v>2.8089999999999997</c:v>
                </c:pt>
              </c:numCache>
            </c:numRef>
          </c:val>
          <c:extLst xmlns:c16r2="http://schemas.microsoft.com/office/drawing/2015/06/chart">
            <c:ext xmlns:c16="http://schemas.microsoft.com/office/drawing/2014/chart" uri="{C3380CC4-5D6E-409C-BE32-E72D297353CC}">
              <c16:uniqueId val="{00000022-C332-4798-91B9-C4B9C89308FF}"/>
            </c:ext>
          </c:extLst>
        </c:ser>
        <c:dLbls>
          <c:showVal val="1"/>
        </c:dLbls>
        <c:axId val="79074432"/>
        <c:axId val="79076352"/>
        <c:axId val="79181568"/>
      </c:line3DChart>
      <c:catAx>
        <c:axId val="790744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Maturity</a:t>
                </a:r>
                <a:endParaRPr lang="ru-RU"/>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76352"/>
        <c:crosses val="autoZero"/>
        <c:auto val="1"/>
        <c:lblAlgn val="ctr"/>
        <c:lblOffset val="100"/>
      </c:catAx>
      <c:valAx>
        <c:axId val="79076352"/>
        <c:scaling>
          <c:orientation val="minMax"/>
          <c:max val="14"/>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Sharpe Ratio</a:t>
                </a:r>
                <a:endParaRPr lang="ru-RU"/>
              </a:p>
            </c:rich>
          </c:tx>
          <c:spPr>
            <a:noFill/>
            <a:ln>
              <a:noFill/>
            </a:ln>
            <a:effectLst/>
          </c:spPr>
        </c:title>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74432"/>
        <c:crosses val="autoZero"/>
        <c:crossBetween val="between"/>
        <c:majorUnit val="2"/>
        <c:minorUnit val="1"/>
      </c:valAx>
      <c:serAx>
        <c:axId val="79181568"/>
        <c:scaling>
          <c:orientation val="minMax"/>
        </c:scaling>
        <c:delete val="1"/>
        <c:axPos val="b"/>
        <c:tickLblPos val="none"/>
        <c:crossAx val="79076352"/>
        <c:crosses val="autoZero"/>
      </c:ser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BEC39-1E70-439A-85F6-36687BD9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9570</Words>
  <Characters>54555</Characters>
  <Application>Microsoft Office Word</Application>
  <DocSecurity>0</DocSecurity>
  <Lines>454</Lines>
  <Paragraphs>127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Darko</cp:lastModifiedBy>
  <cp:revision>5</cp:revision>
  <dcterms:created xsi:type="dcterms:W3CDTF">2019-02-04T12:28:00Z</dcterms:created>
  <dcterms:modified xsi:type="dcterms:W3CDTF">2019-02-04T12:39:00Z</dcterms:modified>
</cp:coreProperties>
</file>