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9FC" w:rsidRDefault="00C779FC" w:rsidP="00C779FC">
      <w:pPr>
        <w:spacing w:line="360" w:lineRule="auto"/>
        <w:rPr>
          <w:b/>
        </w:rPr>
      </w:pPr>
      <w:r>
        <w:rPr>
          <w:b/>
        </w:rPr>
        <w:t xml:space="preserve">УДК </w:t>
      </w:r>
      <w:r w:rsidRPr="00C779FC">
        <w:rPr>
          <w:b/>
        </w:rPr>
        <w:t>338.434</w:t>
      </w:r>
    </w:p>
    <w:p w:rsidR="00604F14" w:rsidRPr="00C779FC" w:rsidRDefault="00604F14" w:rsidP="007A56A3">
      <w:pPr>
        <w:spacing w:line="360" w:lineRule="auto"/>
        <w:jc w:val="center"/>
        <w:rPr>
          <w:b/>
          <w:sz w:val="28"/>
        </w:rPr>
      </w:pPr>
      <w:r w:rsidRPr="00C779FC">
        <w:rPr>
          <w:b/>
          <w:sz w:val="28"/>
        </w:rPr>
        <w:t xml:space="preserve">Оптимизация структуры капитала </w:t>
      </w:r>
    </w:p>
    <w:p w:rsidR="00604F14" w:rsidRPr="007A56A3" w:rsidRDefault="00604F14" w:rsidP="007A56A3">
      <w:pPr>
        <w:spacing w:line="360" w:lineRule="auto"/>
        <w:jc w:val="center"/>
        <w:rPr>
          <w:b/>
        </w:rPr>
      </w:pPr>
      <w:r w:rsidRPr="00C779FC">
        <w:rPr>
          <w:b/>
          <w:sz w:val="28"/>
        </w:rPr>
        <w:t xml:space="preserve">как способ антикризисного управления в сельском хозяйстве </w:t>
      </w:r>
    </w:p>
    <w:p w:rsidR="00D52F24" w:rsidRDefault="00D52F24" w:rsidP="00D52F24">
      <w:pPr>
        <w:spacing w:line="360" w:lineRule="auto"/>
        <w:jc w:val="both"/>
      </w:pPr>
      <w:r>
        <w:t xml:space="preserve">Булгаков Андрей Леонидович, </w:t>
      </w:r>
      <w:r w:rsidRPr="00C779FC">
        <w:t>кандидат экономических наук</w:t>
      </w:r>
      <w:r>
        <w:t xml:space="preserve">, доцент кафедры Финансов и Кредита экономического </w:t>
      </w:r>
      <w:proofErr w:type="spellStart"/>
      <w:r>
        <w:t>факульткта</w:t>
      </w:r>
      <w:proofErr w:type="spellEnd"/>
      <w:r>
        <w:t xml:space="preserve"> МГУ им. Ломоносова, Москва, Россия. </w:t>
      </w:r>
    </w:p>
    <w:p w:rsidR="00D52F24" w:rsidRDefault="00D52F24" w:rsidP="00D52F24">
      <w:pPr>
        <w:spacing w:line="360" w:lineRule="auto"/>
        <w:jc w:val="both"/>
        <w:rPr>
          <w:lang w:val="en-GB"/>
        </w:rPr>
      </w:pPr>
      <w:proofErr w:type="spellStart"/>
      <w:r w:rsidRPr="00B24FBE">
        <w:rPr>
          <w:lang w:val="en-GB"/>
        </w:rPr>
        <w:t>Bulgakov</w:t>
      </w:r>
      <w:proofErr w:type="spellEnd"/>
      <w:r w:rsidRPr="00B24FBE">
        <w:rPr>
          <w:lang w:val="en-GB"/>
        </w:rPr>
        <w:t xml:space="preserve"> Andrey </w:t>
      </w:r>
      <w:proofErr w:type="spellStart"/>
      <w:r w:rsidRPr="00B24FBE">
        <w:rPr>
          <w:lang w:val="en-GB"/>
        </w:rPr>
        <w:t>Leonidovich</w:t>
      </w:r>
      <w:proofErr w:type="spellEnd"/>
      <w:r>
        <w:rPr>
          <w:lang w:val="en-GB"/>
        </w:rPr>
        <w:t xml:space="preserve">, </w:t>
      </w:r>
      <w:proofErr w:type="spellStart"/>
      <w:r>
        <w:rPr>
          <w:lang w:val="en-GB"/>
        </w:rPr>
        <w:t>phd</w:t>
      </w:r>
      <w:proofErr w:type="spellEnd"/>
      <w:r w:rsidRPr="00B24FBE">
        <w:rPr>
          <w:lang w:val="en-GB"/>
        </w:rPr>
        <w:t xml:space="preserve"> of economic sciences, associate professor in </w:t>
      </w:r>
      <w:proofErr w:type="spellStart"/>
      <w:r w:rsidRPr="00B24FBE">
        <w:rPr>
          <w:lang w:val="en-GB"/>
        </w:rPr>
        <w:t>subdepartment</w:t>
      </w:r>
      <w:proofErr w:type="spellEnd"/>
      <w:r w:rsidRPr="00B24FBE">
        <w:rPr>
          <w:lang w:val="en-GB"/>
        </w:rPr>
        <w:t xml:space="preserve"> of</w:t>
      </w:r>
      <w:r>
        <w:rPr>
          <w:lang w:val="en-GB"/>
        </w:rPr>
        <w:t xml:space="preserve"> finance and c</w:t>
      </w:r>
      <w:r w:rsidRPr="00B24FBE">
        <w:rPr>
          <w:lang w:val="en-GB"/>
        </w:rPr>
        <w:t>redit</w:t>
      </w:r>
      <w:r>
        <w:rPr>
          <w:lang w:val="en-GB"/>
        </w:rPr>
        <w:t>,</w:t>
      </w:r>
      <w:r w:rsidRPr="00B24FBE">
        <w:rPr>
          <w:lang w:val="en-GB"/>
        </w:rPr>
        <w:t xml:space="preserve"> economic faculty of </w:t>
      </w:r>
      <w:proofErr w:type="spellStart"/>
      <w:r w:rsidRPr="00B24FBE">
        <w:rPr>
          <w:lang w:val="en-GB"/>
        </w:rPr>
        <w:t>Lo</w:t>
      </w:r>
      <w:r>
        <w:rPr>
          <w:lang w:val="en-GB"/>
        </w:rPr>
        <w:t>monosov</w:t>
      </w:r>
      <w:proofErr w:type="spellEnd"/>
      <w:r>
        <w:rPr>
          <w:lang w:val="en-GB"/>
        </w:rPr>
        <w:t xml:space="preserve"> Moscow State University, </w:t>
      </w:r>
      <w:r w:rsidRPr="00B24FBE">
        <w:rPr>
          <w:lang w:val="en-GB"/>
        </w:rPr>
        <w:t>Moscow, Russia.</w:t>
      </w:r>
    </w:p>
    <w:p w:rsidR="00D52F24" w:rsidRPr="00B24FBE" w:rsidRDefault="00D52F24" w:rsidP="00D52F24">
      <w:pPr>
        <w:spacing w:line="360" w:lineRule="auto"/>
        <w:jc w:val="both"/>
        <w:rPr>
          <w:lang w:val="en-GB"/>
        </w:rPr>
      </w:pPr>
      <w:r w:rsidRPr="00B24FBE">
        <w:rPr>
          <w:lang w:val="en-GB"/>
        </w:rPr>
        <w:t>E-mail:</w:t>
      </w:r>
      <w:r>
        <w:rPr>
          <w:lang w:val="en-GB"/>
        </w:rPr>
        <w:t xml:space="preserve"> </w:t>
      </w:r>
      <w:r w:rsidRPr="00B24FBE">
        <w:rPr>
          <w:lang w:val="en-GB"/>
        </w:rPr>
        <w:t>z3900207@mail.ru</w:t>
      </w:r>
    </w:p>
    <w:p w:rsidR="00D52F24" w:rsidRDefault="00D52F24" w:rsidP="00D52F24">
      <w:pPr>
        <w:spacing w:line="360" w:lineRule="auto"/>
        <w:jc w:val="both"/>
      </w:pPr>
      <w:r>
        <w:t xml:space="preserve">Виноградова Ольга Сергеевна, </w:t>
      </w:r>
      <w:r w:rsidRPr="00C779FC">
        <w:t>магистр экономики,</w:t>
      </w:r>
      <w:r>
        <w:t xml:space="preserve"> старший преподаватель кафедры Управления О</w:t>
      </w:r>
      <w:r w:rsidRPr="00C779FC">
        <w:t>рганизацией экономического факультета МГУ им. Ломоносова</w:t>
      </w:r>
      <w:r>
        <w:t>, Москва, Россия</w:t>
      </w:r>
      <w:r w:rsidRPr="00C779FC">
        <w:t>.</w:t>
      </w:r>
    </w:p>
    <w:p w:rsidR="00D52F24" w:rsidRPr="00B24FBE" w:rsidRDefault="00D52F24" w:rsidP="00D52F24">
      <w:pPr>
        <w:spacing w:line="360" w:lineRule="auto"/>
        <w:jc w:val="both"/>
        <w:rPr>
          <w:lang w:val="en-GB"/>
        </w:rPr>
      </w:pPr>
      <w:proofErr w:type="spellStart"/>
      <w:r>
        <w:rPr>
          <w:lang w:val="en-GB"/>
        </w:rPr>
        <w:t>Vinogradova</w:t>
      </w:r>
      <w:proofErr w:type="spellEnd"/>
      <w:r>
        <w:rPr>
          <w:lang w:val="en-GB"/>
        </w:rPr>
        <w:t xml:space="preserve"> Olga, m</w:t>
      </w:r>
      <w:r w:rsidRPr="00B24FBE">
        <w:rPr>
          <w:lang w:val="en-GB"/>
        </w:rPr>
        <w:t xml:space="preserve">aster of Economics, head teacher in </w:t>
      </w:r>
      <w:proofErr w:type="spellStart"/>
      <w:r w:rsidRPr="00B24FBE">
        <w:rPr>
          <w:lang w:val="en-GB"/>
        </w:rPr>
        <w:t>subdepartment</w:t>
      </w:r>
      <w:proofErr w:type="spellEnd"/>
      <w:r w:rsidRPr="00B24FBE">
        <w:rPr>
          <w:lang w:val="en-GB"/>
        </w:rPr>
        <w:t xml:space="preserve"> of corporate management, economic faculty of </w:t>
      </w:r>
      <w:proofErr w:type="spellStart"/>
      <w:r w:rsidRPr="00B24FBE">
        <w:rPr>
          <w:lang w:val="en-GB"/>
        </w:rPr>
        <w:t>Lo</w:t>
      </w:r>
      <w:r>
        <w:rPr>
          <w:lang w:val="en-GB"/>
        </w:rPr>
        <w:t>monosov</w:t>
      </w:r>
      <w:proofErr w:type="spellEnd"/>
      <w:r>
        <w:rPr>
          <w:lang w:val="en-GB"/>
        </w:rPr>
        <w:t xml:space="preserve"> Moscow State University, </w:t>
      </w:r>
      <w:r w:rsidRPr="00B24FBE">
        <w:rPr>
          <w:lang w:val="en-GB"/>
        </w:rPr>
        <w:t>Moscow, Russia.</w:t>
      </w:r>
    </w:p>
    <w:p w:rsidR="00D52F24" w:rsidRPr="00B24FBE" w:rsidRDefault="00D52F24" w:rsidP="00D52F24">
      <w:pPr>
        <w:spacing w:line="360" w:lineRule="auto"/>
        <w:jc w:val="both"/>
        <w:rPr>
          <w:lang w:val="en-GB"/>
        </w:rPr>
      </w:pPr>
      <w:r w:rsidRPr="00B24FBE">
        <w:rPr>
          <w:lang w:val="en-GB"/>
        </w:rPr>
        <w:t>E-mail: o.s.gluhova@mail.ru</w:t>
      </w:r>
    </w:p>
    <w:p w:rsidR="00D52F24" w:rsidRDefault="00D52F24" w:rsidP="00B67FAA">
      <w:pPr>
        <w:spacing w:line="360" w:lineRule="auto"/>
        <w:jc w:val="both"/>
        <w:rPr>
          <w:b/>
          <w:i/>
        </w:rPr>
      </w:pPr>
      <w:bookmarkStart w:id="0" w:name="_GoBack"/>
      <w:bookmarkEnd w:id="0"/>
    </w:p>
    <w:p w:rsidR="00C779FC" w:rsidRPr="007B25A4" w:rsidRDefault="00B24FBE" w:rsidP="00B67FAA">
      <w:pPr>
        <w:spacing w:line="360" w:lineRule="auto"/>
        <w:jc w:val="both"/>
        <w:rPr>
          <w:b/>
          <w:i/>
        </w:rPr>
      </w:pPr>
      <w:r w:rsidRPr="007B25A4">
        <w:rPr>
          <w:b/>
          <w:i/>
        </w:rPr>
        <w:t>Аннотация:</w:t>
      </w:r>
    </w:p>
    <w:p w:rsidR="00B24FBE" w:rsidRDefault="00B24FBE" w:rsidP="00B24FBE">
      <w:pPr>
        <w:spacing w:line="360" w:lineRule="auto"/>
        <w:ind w:firstLine="709"/>
        <w:jc w:val="both"/>
      </w:pPr>
      <w:r>
        <w:t xml:space="preserve">В современных экономических условиях тема антикризисного управления является весьма актуальной для российских предприятий и активно освещается в научной литературе. Трактовка кризисного управления (или кризисного менеджмента) может различаться в разных источниках. Авторы выделяют следующие две группы трактовок данного понятия. С одной стороны, антикризисное управление может пониматься как совокупность антикризисных процедур применительно к конкретному предприятию, попавшему в состояние кризиса, который способен привести к процедуре банкротства. Данного определения придерживаются, например, </w:t>
      </w:r>
      <w:r w:rsidRPr="00DA5755">
        <w:t>В. И. Кошкин и С. Г. Беляев</w:t>
      </w:r>
      <w:r>
        <w:t xml:space="preserve"> </w:t>
      </w:r>
      <w:r w:rsidRPr="00DA5755">
        <w:t>[</w:t>
      </w:r>
      <w:r>
        <w:t>1</w:t>
      </w:r>
      <w:r w:rsidRPr="00DA5755">
        <w:t>, с. 59].</w:t>
      </w:r>
    </w:p>
    <w:p w:rsidR="00B24FBE" w:rsidRDefault="00B24FBE" w:rsidP="00B24FBE">
      <w:pPr>
        <w:spacing w:line="360" w:lineRule="auto"/>
        <w:ind w:firstLine="709"/>
        <w:jc w:val="both"/>
      </w:pPr>
      <w:r>
        <w:t xml:space="preserve">С другой стороны, под антикризисным управлением может иметься в виду управление, при котором учитывается вероятность кризиса, проводятся меры по предупреждению кризиса и повышению устойчивости предприятия. Иными словами, антикризисное управление – это управление, которое нацелено на предотвращение возможных серьезных проблем в процессе деятельности компании, обеспечение стабильности, поддержание достаточной рентабельности бизнеса. В рамках данной работы авторы придерживаются второго типа определений и концентрируют свое внимание на возможностях определения вероятности кризиса, опираясь на определенные факторы. </w:t>
      </w:r>
    </w:p>
    <w:p w:rsidR="00B24FBE" w:rsidRPr="009B331B" w:rsidRDefault="00B24FBE" w:rsidP="00B24FBE">
      <w:pPr>
        <w:spacing w:line="360" w:lineRule="auto"/>
        <w:ind w:firstLine="709"/>
        <w:jc w:val="both"/>
      </w:pPr>
      <w:r>
        <w:t xml:space="preserve">Особенно важную роль антикризисное управление играет для сельскохозяйственных предприятий, для которых характерны зависимость бизнеса от природных условий, </w:t>
      </w:r>
      <w:r>
        <w:lastRenderedPageBreak/>
        <w:t xml:space="preserve">сезонность производственных работ, значительная конкуренция, </w:t>
      </w:r>
      <w:r w:rsidRPr="008C56C6">
        <w:t>резкие колебания цен на</w:t>
      </w:r>
      <w:r>
        <w:t xml:space="preserve"> сельскохозяйственную продукцию, высокая изношенность основных фондов. Серьезной проблемой также является недостаток финансирования, </w:t>
      </w:r>
      <w:r w:rsidRPr="008C56C6">
        <w:t>низкая инвестиционная привлекательность сельскохозяйственных организаций,</w:t>
      </w:r>
      <w:r>
        <w:t xml:space="preserve"> </w:t>
      </w:r>
      <w:r w:rsidRPr="008C56C6">
        <w:t>труднодоступность кредитных ресурсов и не</w:t>
      </w:r>
      <w:r>
        <w:t>достаток залогового обеспечения. Все это приводит к высокому уровню банкротств для предприятий сельскохозяйственной отрасли. Так, на конец 2016 года, по данным СПАРК-Интерфакс, на 27,6 тыс. действующих сельскохозяйственных предприятий приходилось более 300 компаний в состоянии банкротства, а еще около 1,9 тыс. предприятий ликвидировались. В рамках данной работы рассматривается механизм антикризисного управления, направленного на предупреждение банкротства</w:t>
      </w:r>
      <w:r w:rsidR="00A670F9">
        <w:t xml:space="preserve"> предприятий сельскохозяйственной отрасли</w:t>
      </w:r>
      <w:r>
        <w:t xml:space="preserve">, </w:t>
      </w:r>
      <w:r w:rsidR="00A670F9">
        <w:t>предполагающий определение вероятности</w:t>
      </w:r>
      <w:r>
        <w:t xml:space="preserve"> наступления банкротства на основе значимых факторов.</w:t>
      </w:r>
    </w:p>
    <w:p w:rsidR="00B24FBE" w:rsidRPr="00B24FBE" w:rsidRDefault="00B24FBE" w:rsidP="00B67FAA">
      <w:pPr>
        <w:spacing w:line="360" w:lineRule="auto"/>
        <w:jc w:val="both"/>
      </w:pPr>
    </w:p>
    <w:p w:rsidR="007A56A3" w:rsidRPr="007B25A4" w:rsidRDefault="007A56A3" w:rsidP="00B67FAA">
      <w:pPr>
        <w:spacing w:line="360" w:lineRule="auto"/>
        <w:jc w:val="both"/>
      </w:pPr>
      <w:r w:rsidRPr="007B25A4">
        <w:rPr>
          <w:b/>
          <w:i/>
        </w:rPr>
        <w:t>Ключевые слова:</w:t>
      </w:r>
      <w:r w:rsidRPr="007A56A3">
        <w:rPr>
          <w:i/>
        </w:rPr>
        <w:t xml:space="preserve"> </w:t>
      </w:r>
      <w:r w:rsidRPr="007B25A4">
        <w:t xml:space="preserve">антикризисное управление, структура капитала, сельское хозяйство, банкротство </w:t>
      </w:r>
      <w:r w:rsidR="00C779FC" w:rsidRPr="007B25A4">
        <w:t>предприятий.</w:t>
      </w:r>
    </w:p>
    <w:p w:rsidR="00604F14" w:rsidRPr="00B24FBE" w:rsidRDefault="00C779FC" w:rsidP="00C779FC">
      <w:pPr>
        <w:spacing w:line="360" w:lineRule="auto"/>
        <w:jc w:val="both"/>
        <w:rPr>
          <w:i/>
          <w:lang w:val="en-GB"/>
        </w:rPr>
      </w:pPr>
      <w:r w:rsidRPr="007B25A4">
        <w:rPr>
          <w:b/>
          <w:i/>
          <w:lang w:val="en-GB"/>
        </w:rPr>
        <w:t>Key words:</w:t>
      </w:r>
      <w:r w:rsidRPr="00B24FBE">
        <w:rPr>
          <w:i/>
          <w:lang w:val="en-GB"/>
        </w:rPr>
        <w:t xml:space="preserve"> </w:t>
      </w:r>
      <w:r w:rsidRPr="007B25A4">
        <w:rPr>
          <w:lang w:val="en-GB"/>
        </w:rPr>
        <w:t>crisis management, capital structure, agriculture sector, bankruptcy of enterprises.</w:t>
      </w:r>
    </w:p>
    <w:p w:rsidR="00996F50" w:rsidRPr="00EA7A3B" w:rsidRDefault="00996F50" w:rsidP="00B24FBE">
      <w:pPr>
        <w:spacing w:line="360" w:lineRule="auto"/>
        <w:jc w:val="both"/>
        <w:rPr>
          <w:b/>
          <w:i/>
          <w:lang w:val="en-US"/>
        </w:rPr>
      </w:pPr>
    </w:p>
    <w:p w:rsidR="00007BB1" w:rsidRPr="002A66ED" w:rsidRDefault="00A670F9" w:rsidP="00B24FBE">
      <w:pPr>
        <w:spacing w:line="360" w:lineRule="auto"/>
        <w:jc w:val="both"/>
      </w:pPr>
      <w:r w:rsidRPr="007B25A4">
        <w:rPr>
          <w:b/>
          <w:i/>
        </w:rPr>
        <w:t>Основные положения:</w:t>
      </w:r>
      <w:r>
        <w:t xml:space="preserve"> разработан механизм определения вероятности банкротства предприятия сельскохозяйственной отрасли, предполагающий </w:t>
      </w:r>
      <w:r w:rsidR="008B2657">
        <w:t>оценку стр</w:t>
      </w:r>
      <w:r w:rsidR="007B25A4">
        <w:t>уктуры капитала с целью выявления экономической устойчивости организации в условиях кризиса.</w:t>
      </w:r>
    </w:p>
    <w:p w:rsidR="007B25A4" w:rsidRDefault="007B25A4" w:rsidP="004E4D5B">
      <w:pPr>
        <w:spacing w:line="360" w:lineRule="auto"/>
        <w:ind w:firstLine="709"/>
        <w:jc w:val="both"/>
        <w:rPr>
          <w:b/>
          <w:u w:val="single"/>
        </w:rPr>
      </w:pPr>
    </w:p>
    <w:p w:rsidR="00CC6207" w:rsidRDefault="00E55462" w:rsidP="004E4D5B">
      <w:pPr>
        <w:spacing w:line="360" w:lineRule="auto"/>
        <w:ind w:firstLine="709"/>
        <w:jc w:val="both"/>
      </w:pPr>
      <w:r>
        <w:t>В рамках антикризисного управления, направленного на предупреждение банкротства, важным является определить вероятность наступления банкротства на основе значимых факторов. Существует немало моделей, созданных в целях прогнозирования банкротства</w:t>
      </w:r>
      <w:r w:rsidR="00CC6207">
        <w:t xml:space="preserve">. </w:t>
      </w:r>
      <w:r w:rsidR="00CC6207" w:rsidRPr="00CC6207">
        <w:t xml:space="preserve">Первой попыткой использовать </w:t>
      </w:r>
      <w:r w:rsidR="00CC6207">
        <w:t>финансовые показатели компании</w:t>
      </w:r>
      <w:r w:rsidR="00CC6207" w:rsidRPr="00CC6207">
        <w:t xml:space="preserve"> для прогнозирования банкротства считается </w:t>
      </w:r>
      <w:r w:rsidR="000D0AC0" w:rsidRPr="000D0AC0">
        <w:rPr>
          <w:b/>
          <w:i/>
        </w:rPr>
        <w:t>модель</w:t>
      </w:r>
      <w:r w:rsidR="00CC6207" w:rsidRPr="000D0AC0">
        <w:rPr>
          <w:b/>
          <w:i/>
        </w:rPr>
        <w:t xml:space="preserve"> У. </w:t>
      </w:r>
      <w:proofErr w:type="spellStart"/>
      <w:r w:rsidR="00CC6207" w:rsidRPr="000D0AC0">
        <w:rPr>
          <w:b/>
          <w:i/>
        </w:rPr>
        <w:t>Бивера</w:t>
      </w:r>
      <w:proofErr w:type="spellEnd"/>
      <w:r w:rsidR="00CC6207" w:rsidRPr="00CC6207">
        <w:t>, в которой проанализировано 30 коэффициентов за пятилетний период по группе компаний, половина из которых обанкротилась. Все коэффициенты были сгруппированы им в шесть групп, при этом исследование показало, что наибольшую значимость для прогнозирования имел показатель, характеризовавший соотношение притока денежных средств и заемного капитала.</w:t>
      </w:r>
      <w:r w:rsidR="00CC6207">
        <w:t xml:space="preserve"> Основным отличием </w:t>
      </w:r>
      <w:r w:rsidR="00F56250">
        <w:t>модели</w:t>
      </w:r>
      <w:r w:rsidR="00CC6207">
        <w:t xml:space="preserve"> </w:t>
      </w:r>
      <w:proofErr w:type="spellStart"/>
      <w:r w:rsidR="00F56250">
        <w:t>У.</w:t>
      </w:r>
      <w:r w:rsidR="00CC6207">
        <w:t>Бивера</w:t>
      </w:r>
      <w:proofErr w:type="spellEnd"/>
      <w:r w:rsidR="00CC6207">
        <w:t xml:space="preserve"> от иных систем диагностики банкротства предприятия является то, что в данной системе </w:t>
      </w:r>
      <w:r w:rsidR="000D0AC0">
        <w:t xml:space="preserve">не рассчитывается </w:t>
      </w:r>
      <w:r w:rsidR="004E4D5B">
        <w:t>интегральный показатель</w:t>
      </w:r>
      <w:r w:rsidR="00CC6207">
        <w:t>, а также не учитывается вес каждого отдельного коэффициента. Значения нескольких коэффициентов сравниваются с нормативными величинами, и предприятию присваивается одно из трех состояний:</w:t>
      </w:r>
      <w:r w:rsidR="004E4D5B">
        <w:t xml:space="preserve"> </w:t>
      </w:r>
    </w:p>
    <w:p w:rsidR="00CC6207" w:rsidRDefault="00CC6207" w:rsidP="00CC6207">
      <w:pPr>
        <w:spacing w:line="360" w:lineRule="auto"/>
        <w:ind w:firstLine="709"/>
        <w:jc w:val="both"/>
      </w:pPr>
      <w:r>
        <w:lastRenderedPageBreak/>
        <w:t>1.</w:t>
      </w:r>
      <w:r>
        <w:tab/>
        <w:t>Финансово устойчивое</w:t>
      </w:r>
    </w:p>
    <w:p w:rsidR="00CC6207" w:rsidRDefault="00CC6207" w:rsidP="00CC6207">
      <w:pPr>
        <w:spacing w:line="360" w:lineRule="auto"/>
        <w:ind w:firstLine="709"/>
        <w:jc w:val="both"/>
      </w:pPr>
      <w:r>
        <w:t>2.</w:t>
      </w:r>
      <w:r>
        <w:tab/>
        <w:t xml:space="preserve">Вероятное банкротство в течении пяти лет    </w:t>
      </w:r>
    </w:p>
    <w:p w:rsidR="00E55462" w:rsidRDefault="00CC6207" w:rsidP="00CC6207">
      <w:pPr>
        <w:spacing w:line="360" w:lineRule="auto"/>
        <w:ind w:firstLine="709"/>
        <w:jc w:val="both"/>
      </w:pPr>
      <w:r>
        <w:t>3.</w:t>
      </w:r>
      <w:r>
        <w:tab/>
        <w:t>Вероятное банкротство в течении одного года</w:t>
      </w:r>
    </w:p>
    <w:p w:rsidR="00CC6207" w:rsidRDefault="00CC6207" w:rsidP="00CC6207">
      <w:pPr>
        <w:spacing w:line="360" w:lineRule="auto"/>
        <w:ind w:firstLine="709"/>
        <w:jc w:val="both"/>
      </w:pPr>
      <w:r>
        <w:t xml:space="preserve">В настоящее время наиболее известными моделями оценки риска банкротства являются следующие модели: </w:t>
      </w:r>
    </w:p>
    <w:p w:rsidR="00CC6207" w:rsidRDefault="00CC6207" w:rsidP="00CC6207">
      <w:pPr>
        <w:pStyle w:val="a5"/>
        <w:numPr>
          <w:ilvl w:val="0"/>
          <w:numId w:val="2"/>
        </w:numPr>
        <w:spacing w:line="360" w:lineRule="auto"/>
        <w:jc w:val="both"/>
      </w:pPr>
      <w:r>
        <w:t xml:space="preserve">Модели </w:t>
      </w:r>
      <w:proofErr w:type="spellStart"/>
      <w:r>
        <w:t>Э.Альтмана</w:t>
      </w:r>
      <w:proofErr w:type="spellEnd"/>
      <w:r>
        <w:t xml:space="preserve"> (США, 1968-2007) </w:t>
      </w:r>
    </w:p>
    <w:p w:rsidR="00CC6207" w:rsidRDefault="00CC6207" w:rsidP="00CC6207">
      <w:pPr>
        <w:pStyle w:val="a5"/>
        <w:numPr>
          <w:ilvl w:val="0"/>
          <w:numId w:val="2"/>
        </w:numPr>
        <w:spacing w:line="360" w:lineRule="auto"/>
        <w:jc w:val="both"/>
      </w:pPr>
      <w:r>
        <w:t>М</w:t>
      </w:r>
      <w:r w:rsidRPr="00CC6207">
        <w:t>одел</w:t>
      </w:r>
      <w:r>
        <w:t>ь</w:t>
      </w:r>
      <w:r w:rsidRPr="00CC6207">
        <w:t xml:space="preserve"> Р. Лиса</w:t>
      </w:r>
      <w:r>
        <w:t xml:space="preserve"> (Великобритания, 1972)</w:t>
      </w:r>
    </w:p>
    <w:p w:rsidR="00CC6207" w:rsidRDefault="00CC6207" w:rsidP="00CC6207">
      <w:pPr>
        <w:pStyle w:val="a5"/>
        <w:numPr>
          <w:ilvl w:val="0"/>
          <w:numId w:val="2"/>
        </w:numPr>
        <w:spacing w:line="360" w:lineRule="auto"/>
        <w:jc w:val="both"/>
      </w:pPr>
      <w:r>
        <w:t xml:space="preserve">Модель </w:t>
      </w:r>
      <w:proofErr w:type="spellStart"/>
      <w:r>
        <w:t>Р.Таффлера</w:t>
      </w:r>
      <w:proofErr w:type="spellEnd"/>
      <w:r>
        <w:t xml:space="preserve"> (Великобритания, 1977)</w:t>
      </w:r>
    </w:p>
    <w:p w:rsidR="00CC6207" w:rsidRDefault="00CC6207" w:rsidP="00CC6207">
      <w:pPr>
        <w:pStyle w:val="a5"/>
        <w:numPr>
          <w:ilvl w:val="0"/>
          <w:numId w:val="2"/>
        </w:numPr>
        <w:spacing w:line="360" w:lineRule="auto"/>
        <w:jc w:val="both"/>
      </w:pPr>
      <w:r w:rsidRPr="00CC6207">
        <w:t xml:space="preserve">Модель </w:t>
      </w:r>
      <w:proofErr w:type="spellStart"/>
      <w:r w:rsidRPr="00CC6207">
        <w:t>Спрингейта</w:t>
      </w:r>
      <w:proofErr w:type="spellEnd"/>
      <w:r>
        <w:t xml:space="preserve"> </w:t>
      </w:r>
      <w:r w:rsidRPr="00CC6207">
        <w:t>(</w:t>
      </w:r>
      <w:r>
        <w:t>Канада, 1978)</w:t>
      </w:r>
    </w:p>
    <w:p w:rsidR="00CC6207" w:rsidRPr="00CC6207" w:rsidRDefault="00CC6207" w:rsidP="00CC6207">
      <w:pPr>
        <w:pStyle w:val="a5"/>
        <w:numPr>
          <w:ilvl w:val="0"/>
          <w:numId w:val="2"/>
        </w:numPr>
        <w:spacing w:line="360" w:lineRule="auto"/>
        <w:jc w:val="both"/>
      </w:pPr>
      <w:r>
        <w:t xml:space="preserve">Модель </w:t>
      </w:r>
      <w:proofErr w:type="spellStart"/>
      <w:r>
        <w:t>Фулмера</w:t>
      </w:r>
      <w:proofErr w:type="spellEnd"/>
      <w:r>
        <w:t xml:space="preserve"> </w:t>
      </w:r>
      <w:r w:rsidRPr="00CC6207">
        <w:t>(США, 1984)</w:t>
      </w:r>
    </w:p>
    <w:p w:rsidR="00CC6207" w:rsidRDefault="00CC6207" w:rsidP="00CC6207">
      <w:pPr>
        <w:pStyle w:val="a5"/>
        <w:numPr>
          <w:ilvl w:val="0"/>
          <w:numId w:val="2"/>
        </w:numPr>
        <w:spacing w:line="360" w:lineRule="auto"/>
        <w:jc w:val="both"/>
      </w:pPr>
      <w:r>
        <w:t>П</w:t>
      </w:r>
      <w:r w:rsidRPr="00CC6207">
        <w:t xml:space="preserve">ятифакторная модель Р.С. </w:t>
      </w:r>
      <w:proofErr w:type="spellStart"/>
      <w:r w:rsidRPr="00CC6207">
        <w:t>Сайфуллина</w:t>
      </w:r>
      <w:proofErr w:type="spellEnd"/>
      <w:r w:rsidRPr="00CC6207">
        <w:t xml:space="preserve"> и Г.Г. </w:t>
      </w:r>
      <w:proofErr w:type="spellStart"/>
      <w:r w:rsidRPr="00CC6207">
        <w:t>Кадыкова</w:t>
      </w:r>
      <w:proofErr w:type="spellEnd"/>
    </w:p>
    <w:p w:rsidR="00E67376" w:rsidRDefault="004E4D5B" w:rsidP="00E67376">
      <w:pPr>
        <w:spacing w:line="360" w:lineRule="auto"/>
        <w:ind w:firstLine="709"/>
        <w:jc w:val="both"/>
      </w:pPr>
      <w:r w:rsidRPr="004E4D5B">
        <w:rPr>
          <w:b/>
          <w:i/>
        </w:rPr>
        <w:t>М</w:t>
      </w:r>
      <w:r w:rsidR="00CC6207" w:rsidRPr="004E4D5B">
        <w:rPr>
          <w:b/>
          <w:i/>
        </w:rPr>
        <w:t xml:space="preserve">одель </w:t>
      </w:r>
      <w:r w:rsidRPr="004E4D5B">
        <w:rPr>
          <w:b/>
          <w:i/>
        </w:rPr>
        <w:t>Э.</w:t>
      </w:r>
      <w:r w:rsidR="00CC6207" w:rsidRPr="004E4D5B">
        <w:rPr>
          <w:b/>
          <w:i/>
        </w:rPr>
        <w:t xml:space="preserve"> Альтма</w:t>
      </w:r>
      <w:r w:rsidRPr="004E4D5B">
        <w:rPr>
          <w:b/>
          <w:i/>
        </w:rPr>
        <w:t>на</w:t>
      </w:r>
      <w:r>
        <w:t xml:space="preserve"> </w:t>
      </w:r>
      <w:r w:rsidR="00CC6207">
        <w:t xml:space="preserve">представляет собой статистическую модель, которая на основе оценки показателей финансового состояния и платежеспособности </w:t>
      </w:r>
      <w:r>
        <w:t>компании позволяет оценить риск</w:t>
      </w:r>
      <w:r w:rsidR="00CC6207">
        <w:t xml:space="preserve"> банкротства и разделить хозяйственные субъекты на потенциальных банкротов и не банкротов.</w:t>
      </w:r>
      <w:r>
        <w:t xml:space="preserve"> </w:t>
      </w:r>
      <w:r w:rsidR="00E67376">
        <w:t xml:space="preserve">Новаторство данной модели заключается в том, что </w:t>
      </w:r>
      <w:proofErr w:type="spellStart"/>
      <w:r w:rsidR="00E67376">
        <w:t>Э.Альтман</w:t>
      </w:r>
      <w:proofErr w:type="spellEnd"/>
      <w:r w:rsidR="00E67376">
        <w:t xml:space="preserve"> был первым, кто для оценки риска банкротства использовал инструментарий множественного дискриминантного анализа. Это позволило определить весовые значения у коэффициентов в интегральной модели, получив в результате классификационную модель для определения класса предприятия. Существует нес</w:t>
      </w:r>
      <w:r w:rsidR="00B64FD9">
        <w:t xml:space="preserve">колько видов моделей </w:t>
      </w:r>
      <w:proofErr w:type="spellStart"/>
      <w:r w:rsidR="00B64FD9">
        <w:t>Э.Альтмана</w:t>
      </w:r>
      <w:proofErr w:type="spellEnd"/>
      <w:r w:rsidR="00E67376">
        <w:t>.</w:t>
      </w:r>
      <w:r w:rsidR="00B64FD9">
        <w:t xml:space="preserve"> Самая первая, </w:t>
      </w:r>
      <w:r w:rsidR="00B64FD9" w:rsidRPr="00B64FD9">
        <w:rPr>
          <w:b/>
          <w:i/>
        </w:rPr>
        <w:t>двухфакторная модель</w:t>
      </w:r>
      <w:r w:rsidR="00B64FD9">
        <w:t xml:space="preserve"> имеет следующий вид: </w:t>
      </w:r>
    </w:p>
    <w:p w:rsidR="00B64FD9" w:rsidRDefault="00B64FD9" w:rsidP="00B64FD9">
      <w:pPr>
        <w:spacing w:line="360" w:lineRule="auto"/>
        <w:ind w:firstLine="709"/>
        <w:jc w:val="both"/>
      </w:pPr>
      <m:oMathPara>
        <m:oMath>
          <m:r>
            <w:rPr>
              <w:rFonts w:ascii="Cambria Math" w:hAnsi="Cambria Math"/>
            </w:rPr>
            <m:t>Z= -0.3877 — 1.073*X1  + 0.0579*X2</m:t>
          </m:r>
        </m:oMath>
      </m:oMathPara>
    </w:p>
    <w:p w:rsidR="00B64FD9" w:rsidRDefault="00B64FD9" w:rsidP="00B64FD9">
      <w:pPr>
        <w:spacing w:line="360" w:lineRule="auto"/>
        <w:ind w:firstLine="709"/>
        <w:jc w:val="both"/>
      </w:pPr>
      <w:r>
        <w:t xml:space="preserve">где X1 – отношение оборотных активов к краткосрочным обязательствам, </w:t>
      </w:r>
    </w:p>
    <w:p w:rsidR="00B64FD9" w:rsidRDefault="00B64FD9" w:rsidP="00B64FD9">
      <w:pPr>
        <w:spacing w:line="360" w:lineRule="auto"/>
        <w:ind w:firstLine="709"/>
        <w:jc w:val="both"/>
      </w:pPr>
      <w:r>
        <w:t>Х2 – отношение долгосрочных и краткосрочных обязательств к собственному капиталу</w:t>
      </w:r>
      <w:r w:rsidR="00AC493B">
        <w:t xml:space="preserve">. </w:t>
      </w:r>
    </w:p>
    <w:p w:rsidR="00B64FD9" w:rsidRDefault="00B64FD9" w:rsidP="00B64FD9">
      <w:pPr>
        <w:spacing w:line="360" w:lineRule="auto"/>
        <w:ind w:firstLine="709"/>
        <w:jc w:val="both"/>
      </w:pPr>
      <w:r>
        <w:t xml:space="preserve">В 1968 году Э. Альтман предложил </w:t>
      </w:r>
      <w:r w:rsidRPr="00B64FD9">
        <w:rPr>
          <w:b/>
          <w:i/>
        </w:rPr>
        <w:t>пятифакторную модель</w:t>
      </w:r>
      <w:r w:rsidRPr="00B64FD9">
        <w:t xml:space="preserve"> </w:t>
      </w:r>
      <w:r>
        <w:t xml:space="preserve">прогнозирования вероятности банкротства предприятия, ставшую классической.  Данная модель имеет следующий вид: </w:t>
      </w:r>
    </w:p>
    <w:p w:rsidR="00B64FD9" w:rsidRDefault="00B64FD9" w:rsidP="00B64FD9">
      <w:pPr>
        <w:spacing w:line="360" w:lineRule="auto"/>
        <w:ind w:firstLine="709"/>
        <w:jc w:val="both"/>
      </w:pPr>
      <m:oMathPara>
        <m:oMath>
          <m:r>
            <w:rPr>
              <w:rFonts w:ascii="Cambria Math" w:hAnsi="Cambria Math"/>
            </w:rPr>
            <m:t xml:space="preserve">Z = 1,2 * </m:t>
          </m:r>
          <m:r>
            <w:rPr>
              <w:rFonts w:ascii="Cambria Math" w:hAnsi="Cambria Math"/>
              <w:lang w:val="en-US"/>
            </w:rPr>
            <m:t>X</m:t>
          </m:r>
          <m:r>
            <w:rPr>
              <w:rFonts w:ascii="Cambria Math" w:hAnsi="Cambria Math"/>
            </w:rPr>
            <m:t>1 + 1,4 * X2 + 3,3 * X3 + 0,6 * X4 + 2,0 * X5</m:t>
          </m:r>
        </m:oMath>
      </m:oMathPara>
    </w:p>
    <w:p w:rsidR="00B64FD9" w:rsidRDefault="00B64FD9" w:rsidP="00B64FD9">
      <w:pPr>
        <w:spacing w:line="360" w:lineRule="auto"/>
        <w:ind w:firstLine="709"/>
        <w:jc w:val="both"/>
      </w:pPr>
      <w:r>
        <w:t xml:space="preserve">где </w:t>
      </w:r>
      <w:r>
        <w:rPr>
          <w:lang w:val="en-US"/>
        </w:rPr>
        <w:t>X</w:t>
      </w:r>
      <w:r>
        <w:t>1 - отношение оборотного капитала к сумме активов</w:t>
      </w:r>
    </w:p>
    <w:p w:rsidR="00B64FD9" w:rsidRDefault="00B64FD9" w:rsidP="00B64FD9">
      <w:pPr>
        <w:spacing w:line="360" w:lineRule="auto"/>
        <w:ind w:firstLine="709"/>
        <w:jc w:val="both"/>
      </w:pPr>
      <w:r>
        <w:t>X2 - отношение нераспределенной прибыли к сумме активов</w:t>
      </w:r>
    </w:p>
    <w:p w:rsidR="00B64FD9" w:rsidRDefault="00B64FD9" w:rsidP="00B64FD9">
      <w:pPr>
        <w:spacing w:line="360" w:lineRule="auto"/>
        <w:ind w:firstLine="709"/>
        <w:jc w:val="both"/>
      </w:pPr>
      <w:r>
        <w:t>X3 - отношение операционной прибыли к сумме активов</w:t>
      </w:r>
    </w:p>
    <w:p w:rsidR="00B64FD9" w:rsidRDefault="00B64FD9" w:rsidP="00B64FD9">
      <w:pPr>
        <w:spacing w:line="360" w:lineRule="auto"/>
        <w:ind w:firstLine="709"/>
        <w:jc w:val="both"/>
      </w:pPr>
      <w:r>
        <w:rPr>
          <w:lang w:val="en-US"/>
        </w:rPr>
        <w:t>X</w:t>
      </w:r>
      <w:r>
        <w:t>4 - отношение рыночной стоимости собственного капитала к стоимости заемного капитала</w:t>
      </w:r>
    </w:p>
    <w:p w:rsidR="00B64FD9" w:rsidRDefault="00B64FD9" w:rsidP="00B64FD9">
      <w:pPr>
        <w:spacing w:line="360" w:lineRule="auto"/>
        <w:ind w:firstLine="709"/>
        <w:jc w:val="both"/>
      </w:pPr>
      <w:r>
        <w:t>X5 - отношение выручки к сумме активов</w:t>
      </w:r>
      <w:r w:rsidR="00AC493B">
        <w:t xml:space="preserve">. </w:t>
      </w:r>
    </w:p>
    <w:p w:rsidR="000D0AC0" w:rsidRDefault="004E4D5B" w:rsidP="000D0AC0">
      <w:pPr>
        <w:spacing w:line="360" w:lineRule="auto"/>
        <w:ind w:firstLine="709"/>
        <w:jc w:val="both"/>
      </w:pPr>
      <w:r>
        <w:lastRenderedPageBreak/>
        <w:t xml:space="preserve">На основе полученного показателя </w:t>
      </w:r>
      <w:r w:rsidR="00CC6207">
        <w:t>Z</w:t>
      </w:r>
      <w:r>
        <w:t xml:space="preserve"> делается заключение о вероятности банкротства в терминах «о</w:t>
      </w:r>
      <w:r w:rsidR="00CC6207">
        <w:t>чень высокая вероятность банкротства</w:t>
      </w:r>
      <w:r>
        <w:t>», «</w:t>
      </w:r>
      <w:r w:rsidR="00CC6207">
        <w:t>высокая вероятность банкротства</w:t>
      </w:r>
      <w:r>
        <w:t>», «</w:t>
      </w:r>
      <w:r w:rsidR="00CC6207">
        <w:t>возможно</w:t>
      </w:r>
      <w:r w:rsidR="000D0AC0">
        <w:t>е</w:t>
      </w:r>
      <w:r w:rsidR="00CC6207">
        <w:t xml:space="preserve"> банкротство</w:t>
      </w:r>
      <w:r>
        <w:t>» и «</w:t>
      </w:r>
      <w:r w:rsidR="00CC6207">
        <w:t>вероятность банкротства крайне мала</w:t>
      </w:r>
      <w:r>
        <w:t xml:space="preserve">». </w:t>
      </w:r>
      <w:r w:rsidR="00CC6207">
        <w:t>Модель Альтмана дает достаточно точный прогноз вероятности банкротства с временным интервалом 1-2 года.</w:t>
      </w:r>
      <w:r>
        <w:t xml:space="preserve"> </w:t>
      </w:r>
      <w:r w:rsidR="00F56250">
        <w:t xml:space="preserve"> </w:t>
      </w:r>
      <w:r w:rsidR="000D0AC0">
        <w:t xml:space="preserve">В дальнейшем </w:t>
      </w:r>
      <w:proofErr w:type="spellStart"/>
      <w:r w:rsidR="000D0AC0">
        <w:t>Э.Альтманом</w:t>
      </w:r>
      <w:proofErr w:type="spellEnd"/>
      <w:r w:rsidR="000D0AC0">
        <w:t xml:space="preserve"> были предложены также корректировки модели для частных компаний, для непроизводственных компаний и для развивающихся рынков. </w:t>
      </w:r>
    </w:p>
    <w:p w:rsidR="00E66F20" w:rsidRDefault="00E66F20" w:rsidP="00E66F20">
      <w:pPr>
        <w:spacing w:line="360" w:lineRule="auto"/>
        <w:ind w:firstLine="709"/>
        <w:jc w:val="both"/>
      </w:pPr>
      <w:r w:rsidRPr="00E66F20">
        <w:rPr>
          <w:b/>
          <w:i/>
        </w:rPr>
        <w:t>Модель прогнозирования банкротства Р. Лиса</w:t>
      </w:r>
      <w:r>
        <w:t xml:space="preserve"> является одной из первых европейских моделей, созданных после модели Э. Альтмана. Формула модели банкротства Лиса выглядит следующим образом: </w:t>
      </w:r>
    </w:p>
    <w:p w:rsidR="00E66F20" w:rsidRDefault="00E66F20" w:rsidP="00E66F20">
      <w:pPr>
        <w:spacing w:line="360" w:lineRule="auto"/>
        <w:ind w:firstLine="709"/>
        <w:jc w:val="both"/>
      </w:pPr>
      <m:oMathPara>
        <m:oMath>
          <m:r>
            <w:rPr>
              <w:rFonts w:ascii="Cambria Math" w:hAnsi="Cambria Math"/>
            </w:rPr>
            <m:t>Z=0.063*</m:t>
          </m:r>
          <m:r>
            <w:rPr>
              <w:rFonts w:ascii="Cambria Math" w:hAnsi="Cambria Math"/>
              <w:lang w:val="en-US"/>
            </w:rPr>
            <m:t>X</m:t>
          </m:r>
          <m:r>
            <w:rPr>
              <w:rFonts w:ascii="Cambria Math" w:hAnsi="Cambria Math"/>
            </w:rPr>
            <m:t>1 + 0.092*X2 + 0.057*X3 + 0.001*X4</m:t>
          </m:r>
        </m:oMath>
      </m:oMathPara>
    </w:p>
    <w:p w:rsidR="00E66F20" w:rsidRDefault="00E66F20" w:rsidP="00E66F20">
      <w:pPr>
        <w:spacing w:line="360" w:lineRule="auto"/>
        <w:ind w:firstLine="709"/>
        <w:jc w:val="both"/>
      </w:pPr>
      <w:r>
        <w:t xml:space="preserve">где </w:t>
      </w:r>
      <w:r>
        <w:rPr>
          <w:lang w:val="en-US"/>
        </w:rPr>
        <w:t>X</w:t>
      </w:r>
      <w:r>
        <w:t>1 - отношение оборотного капитала к сумме активов</w:t>
      </w:r>
    </w:p>
    <w:p w:rsidR="00E66F20" w:rsidRDefault="00E66F20" w:rsidP="00E66F20">
      <w:pPr>
        <w:spacing w:line="360" w:lineRule="auto"/>
        <w:ind w:firstLine="709"/>
        <w:jc w:val="both"/>
      </w:pPr>
      <w:r>
        <w:t xml:space="preserve">X2 - отношение операционной прибыли к сумме активов </w:t>
      </w:r>
    </w:p>
    <w:p w:rsidR="00E66F20" w:rsidRDefault="00E66F20" w:rsidP="00E66F20">
      <w:pPr>
        <w:spacing w:line="360" w:lineRule="auto"/>
        <w:ind w:firstLine="709"/>
        <w:jc w:val="both"/>
      </w:pPr>
      <w:r>
        <w:t>X3 - отношение нераспределенной прибыли к сумме активов</w:t>
      </w:r>
    </w:p>
    <w:p w:rsidR="00E66F20" w:rsidRDefault="00E66F20" w:rsidP="00E66F20">
      <w:pPr>
        <w:spacing w:line="360" w:lineRule="auto"/>
        <w:ind w:firstLine="709"/>
        <w:jc w:val="both"/>
      </w:pPr>
      <w:r>
        <w:rPr>
          <w:lang w:val="en-US"/>
        </w:rPr>
        <w:t>X</w:t>
      </w:r>
      <w:r>
        <w:t>4 - отношение собственного капитала к обязательствам</w:t>
      </w:r>
    </w:p>
    <w:p w:rsidR="00E66F20" w:rsidRDefault="00E66F20" w:rsidP="00E66F20">
      <w:pPr>
        <w:spacing w:line="360" w:lineRule="auto"/>
        <w:ind w:firstLine="709"/>
        <w:jc w:val="both"/>
      </w:pPr>
      <w:r>
        <w:t xml:space="preserve">Данная модель использует те же финансовые показатели, что и модель Альтмана, и является, в сущности, адаптированной моделью Альтмана для компаний Великобритании. По результатам выделяются две группы компаний – с высокой и низкой вероятностью банкротства. </w:t>
      </w:r>
    </w:p>
    <w:p w:rsidR="00E66F20" w:rsidRDefault="00E66F20" w:rsidP="00E66F20">
      <w:pPr>
        <w:spacing w:line="360" w:lineRule="auto"/>
        <w:ind w:firstLine="709"/>
        <w:jc w:val="both"/>
      </w:pPr>
      <w:r w:rsidRPr="00E66F20">
        <w:rPr>
          <w:b/>
          <w:i/>
        </w:rPr>
        <w:t xml:space="preserve">Модель Р. </w:t>
      </w:r>
      <w:proofErr w:type="spellStart"/>
      <w:r w:rsidRPr="00E66F20">
        <w:rPr>
          <w:b/>
          <w:i/>
        </w:rPr>
        <w:t>Таффлера</w:t>
      </w:r>
      <w:proofErr w:type="spellEnd"/>
      <w:r>
        <w:t xml:space="preserve"> также была предложена для английских компаний, но с использованием иных финансовых показателей. Для построения модели прогнозирования банкротства были использованы 46 предприятий, которые обанкротились, и 46 предприятий, которые остались финансово устойчивыми в период с 1969 по 1975 года. </w:t>
      </w:r>
    </w:p>
    <w:p w:rsidR="00E66F20" w:rsidRDefault="00E66F20" w:rsidP="00E66F20">
      <w:pPr>
        <w:spacing w:line="360" w:lineRule="auto"/>
        <w:ind w:firstLine="709"/>
        <w:jc w:val="both"/>
      </w:pPr>
      <m:oMathPara>
        <m:oMath>
          <m:r>
            <w:rPr>
              <w:rFonts w:ascii="Cambria Math" w:hAnsi="Cambria Math"/>
            </w:rPr>
            <m:t>Z= 0.53*</m:t>
          </m:r>
          <m:r>
            <w:rPr>
              <w:rFonts w:ascii="Cambria Math" w:hAnsi="Cambria Math"/>
              <w:lang w:val="en-US"/>
            </w:rPr>
            <m:t>X</m:t>
          </m:r>
          <m:r>
            <w:rPr>
              <w:rFonts w:ascii="Cambria Math" w:hAnsi="Cambria Math"/>
            </w:rPr>
            <m:t>1 + 0.13*X2 + 0.18*X3 + 0.16*X4</m:t>
          </m:r>
        </m:oMath>
      </m:oMathPara>
    </w:p>
    <w:p w:rsidR="00E66F20" w:rsidRDefault="00E66F20" w:rsidP="00E66F20">
      <w:pPr>
        <w:spacing w:line="360" w:lineRule="auto"/>
        <w:ind w:firstLine="709"/>
        <w:jc w:val="both"/>
      </w:pPr>
      <w:r>
        <w:t xml:space="preserve">Где </w:t>
      </w:r>
      <w:r>
        <w:rPr>
          <w:lang w:val="en-US"/>
        </w:rPr>
        <w:t>X</w:t>
      </w:r>
      <w:r w:rsidRPr="00E66F20">
        <w:t xml:space="preserve">1 </w:t>
      </w:r>
      <w:r>
        <w:t>- отношение прибыли от продаж к краткосрочным обязательствам</w:t>
      </w:r>
    </w:p>
    <w:p w:rsidR="00E66F20" w:rsidRDefault="00E66F20" w:rsidP="00E66F20">
      <w:pPr>
        <w:spacing w:line="360" w:lineRule="auto"/>
        <w:ind w:firstLine="709"/>
        <w:jc w:val="both"/>
      </w:pPr>
      <w:r>
        <w:rPr>
          <w:lang w:val="en-US"/>
        </w:rPr>
        <w:t>X</w:t>
      </w:r>
      <w:r w:rsidRPr="00E66F20">
        <w:t>2</w:t>
      </w:r>
      <w:r>
        <w:t xml:space="preserve"> -</w:t>
      </w:r>
      <w:r w:rsidRPr="00E66F20">
        <w:t xml:space="preserve"> </w:t>
      </w:r>
      <w:r>
        <w:t>отношение оборотных активов в обязательствам</w:t>
      </w:r>
      <w:r>
        <w:tab/>
      </w:r>
    </w:p>
    <w:p w:rsidR="00E66F20" w:rsidRDefault="00E66F20" w:rsidP="00E66F20">
      <w:pPr>
        <w:spacing w:line="360" w:lineRule="auto"/>
        <w:ind w:firstLine="709"/>
        <w:jc w:val="both"/>
      </w:pPr>
      <w:r>
        <w:rPr>
          <w:lang w:val="en-US"/>
        </w:rPr>
        <w:t>X</w:t>
      </w:r>
      <w:r w:rsidRPr="00E66F20">
        <w:t>3</w:t>
      </w:r>
      <w:r>
        <w:t xml:space="preserve"> - отношение краткосрочных обязательств к активам</w:t>
      </w:r>
      <w:r>
        <w:tab/>
      </w:r>
    </w:p>
    <w:p w:rsidR="00E66F20" w:rsidRDefault="00E66F20" w:rsidP="00E66F20">
      <w:pPr>
        <w:spacing w:line="360" w:lineRule="auto"/>
        <w:ind w:firstLine="709"/>
        <w:jc w:val="both"/>
      </w:pPr>
      <w:r>
        <w:rPr>
          <w:lang w:val="en-US"/>
        </w:rPr>
        <w:t>X</w:t>
      </w:r>
      <w:r w:rsidRPr="00E66F20">
        <w:t>4</w:t>
      </w:r>
      <w:r>
        <w:t xml:space="preserve"> - отношение выручки к активам</w:t>
      </w:r>
    </w:p>
    <w:p w:rsidR="00E66F20" w:rsidRDefault="00E66F20" w:rsidP="00E66F20">
      <w:pPr>
        <w:spacing w:line="360" w:lineRule="auto"/>
        <w:ind w:firstLine="709"/>
        <w:jc w:val="both"/>
      </w:pPr>
      <w:r>
        <w:t>Результаты использования модели позволя</w:t>
      </w:r>
      <w:r w:rsidR="00235EF8">
        <w:t>ю</w:t>
      </w:r>
      <w:r>
        <w:t xml:space="preserve">т отнести предприятие к зеленой, серой или красной зоне (низкая, средняя и высокая вероятности банкротства). </w:t>
      </w:r>
    </w:p>
    <w:p w:rsidR="00235EF8" w:rsidRDefault="00235EF8" w:rsidP="00235EF8">
      <w:pPr>
        <w:spacing w:line="360" w:lineRule="auto"/>
        <w:ind w:firstLine="709"/>
        <w:jc w:val="both"/>
      </w:pPr>
      <w:r w:rsidRPr="00235EF8">
        <w:rPr>
          <w:b/>
          <w:i/>
        </w:rPr>
        <w:t xml:space="preserve">Следующая модель прогнозирования банкротства предприятия была создана </w:t>
      </w:r>
      <w:proofErr w:type="spellStart"/>
      <w:r w:rsidRPr="00235EF8">
        <w:rPr>
          <w:b/>
          <w:i/>
        </w:rPr>
        <w:t>Г.Спрингейтом</w:t>
      </w:r>
      <w:proofErr w:type="spellEnd"/>
      <w:r w:rsidRPr="00235EF8">
        <w:rPr>
          <w:b/>
          <w:i/>
        </w:rPr>
        <w:t>.</w:t>
      </w:r>
      <w:r>
        <w:t xml:space="preserve"> Для создания своей модели автор использовал финансовую отчетность 40 предприятий Канады, из которых 20 компаний были банкротами, а 20 – финансово устойчивыми компаниями. Автор предлагает следующую модель: </w:t>
      </w:r>
    </w:p>
    <w:p w:rsidR="00235EF8" w:rsidRDefault="00235EF8" w:rsidP="00235EF8">
      <w:pPr>
        <w:spacing w:line="360" w:lineRule="auto"/>
        <w:ind w:firstLine="709"/>
        <w:jc w:val="both"/>
      </w:pPr>
      <m:oMathPara>
        <m:oMath>
          <m:r>
            <w:rPr>
              <w:rFonts w:ascii="Cambria Math" w:hAnsi="Cambria Math"/>
            </w:rPr>
            <m:t>Z= 1.03*K1 + 3.07*K2 + 0.66*K3 + 0.4*K4</m:t>
          </m:r>
        </m:oMath>
      </m:oMathPara>
    </w:p>
    <w:p w:rsidR="00235EF8" w:rsidRDefault="00235EF8" w:rsidP="00235EF8">
      <w:pPr>
        <w:spacing w:line="360" w:lineRule="auto"/>
        <w:ind w:firstLine="709"/>
        <w:jc w:val="both"/>
      </w:pPr>
      <w:r>
        <w:lastRenderedPageBreak/>
        <w:t>где K1 - отношение оборотного капитала к активам</w:t>
      </w:r>
      <w:r>
        <w:tab/>
        <w:t xml:space="preserve"> </w:t>
      </w:r>
    </w:p>
    <w:p w:rsidR="00235EF8" w:rsidRDefault="00235EF8" w:rsidP="00235EF8">
      <w:pPr>
        <w:spacing w:line="360" w:lineRule="auto"/>
        <w:ind w:firstLine="709"/>
        <w:jc w:val="both"/>
      </w:pPr>
      <w:r>
        <w:t>K2 - отношение прибыли до налогообложения и процентов к уплате к активам</w:t>
      </w:r>
    </w:p>
    <w:p w:rsidR="00235EF8" w:rsidRDefault="00235EF8" w:rsidP="00235EF8">
      <w:pPr>
        <w:spacing w:line="360" w:lineRule="auto"/>
        <w:ind w:firstLine="709"/>
        <w:jc w:val="both"/>
      </w:pPr>
      <w:r>
        <w:t>К3 - отношение прибыли до налогообложения к краткосрочным обязательствам</w:t>
      </w:r>
    </w:p>
    <w:p w:rsidR="00235EF8" w:rsidRDefault="00235EF8" w:rsidP="00235EF8">
      <w:pPr>
        <w:spacing w:line="360" w:lineRule="auto"/>
        <w:ind w:firstLine="709"/>
        <w:jc w:val="both"/>
      </w:pPr>
      <w:r>
        <w:t>К4 - отношение выручки к активам</w:t>
      </w:r>
      <w:r>
        <w:tab/>
      </w:r>
    </w:p>
    <w:p w:rsidR="00235EF8" w:rsidRDefault="00235EF8" w:rsidP="00235EF8">
      <w:pPr>
        <w:spacing w:line="360" w:lineRule="auto"/>
        <w:ind w:firstLine="709"/>
        <w:jc w:val="both"/>
      </w:pPr>
      <w:r>
        <w:t xml:space="preserve">В результате модель позволяет выделить две категории компании – с высокой и низкой вероятностью банкротства. </w:t>
      </w:r>
    </w:p>
    <w:p w:rsidR="00F476CC" w:rsidRDefault="00F476CC" w:rsidP="00F476CC">
      <w:pPr>
        <w:spacing w:line="360" w:lineRule="auto"/>
        <w:ind w:firstLine="709"/>
        <w:jc w:val="both"/>
      </w:pPr>
      <w:r w:rsidRPr="00F476CC">
        <w:rPr>
          <w:b/>
          <w:i/>
        </w:rPr>
        <w:t xml:space="preserve">Модель </w:t>
      </w:r>
      <w:proofErr w:type="spellStart"/>
      <w:r w:rsidRPr="00F476CC">
        <w:rPr>
          <w:b/>
          <w:i/>
        </w:rPr>
        <w:t>Фульмера</w:t>
      </w:r>
      <w:proofErr w:type="spellEnd"/>
      <w:r>
        <w:t xml:space="preserve"> была создана на основании обработки данных 60 предприятий - 30 банкротов и 30 нормально работавших - со средним годовым балансом в 455 тысяч долларов. Изначальный вариант модели содержал 40 коэффициентов, окончательный использует всего девять.</w:t>
      </w:r>
    </w:p>
    <w:p w:rsidR="00F476CC" w:rsidRDefault="00F476CC" w:rsidP="00F476CC">
      <w:pPr>
        <w:spacing w:line="360" w:lineRule="auto"/>
        <w:ind w:firstLine="709"/>
        <w:jc w:val="both"/>
      </w:pPr>
      <m:oMathPara>
        <m:oMath>
          <m:r>
            <w:rPr>
              <w:rFonts w:ascii="Cambria Math" w:hAnsi="Cambria Math"/>
            </w:rPr>
            <m:t>Н = 5,528 x1 + 0,212x2 + 0,073x3 + 1,270x4 - 0,120x5 +2,335x6 +0,575x7 + 1,083x8 + 0,894x9 - 3,075</m:t>
          </m:r>
        </m:oMath>
      </m:oMathPara>
    </w:p>
    <w:p w:rsidR="00F476CC" w:rsidRDefault="00F476CC" w:rsidP="00F476CC">
      <w:pPr>
        <w:spacing w:line="360" w:lineRule="auto"/>
        <w:ind w:firstLine="709"/>
        <w:jc w:val="both"/>
      </w:pPr>
      <w:r>
        <w:t>где x1 - отношение нераспределенной прибыли к активам</w:t>
      </w:r>
    </w:p>
    <w:p w:rsidR="00F476CC" w:rsidRDefault="00F476CC" w:rsidP="00F476CC">
      <w:pPr>
        <w:spacing w:line="360" w:lineRule="auto"/>
        <w:ind w:firstLine="709"/>
        <w:jc w:val="both"/>
      </w:pPr>
      <w:r>
        <w:t>x2 - отношение выручки от реализации к активам</w:t>
      </w:r>
    </w:p>
    <w:p w:rsidR="00F476CC" w:rsidRDefault="00F476CC" w:rsidP="00F476CC">
      <w:pPr>
        <w:spacing w:line="360" w:lineRule="auto"/>
        <w:ind w:firstLine="709"/>
        <w:jc w:val="both"/>
      </w:pPr>
      <w:r>
        <w:t>x3 - отношение прибыли до налогообложения к собственному капиталу</w:t>
      </w:r>
    </w:p>
    <w:p w:rsidR="00F476CC" w:rsidRDefault="00F476CC" w:rsidP="00F476CC">
      <w:pPr>
        <w:spacing w:line="360" w:lineRule="auto"/>
        <w:ind w:firstLine="709"/>
        <w:jc w:val="both"/>
      </w:pPr>
      <w:r>
        <w:t>x4 - отношение денежного потока к обязательствам</w:t>
      </w:r>
    </w:p>
    <w:p w:rsidR="00F476CC" w:rsidRDefault="00F476CC" w:rsidP="00F476CC">
      <w:pPr>
        <w:spacing w:line="360" w:lineRule="auto"/>
        <w:ind w:firstLine="709"/>
        <w:jc w:val="both"/>
      </w:pPr>
      <w:r>
        <w:t>x5 - отношение долгосрочных обязательств к активам</w:t>
      </w:r>
    </w:p>
    <w:p w:rsidR="00F476CC" w:rsidRDefault="00F476CC" w:rsidP="00F476CC">
      <w:pPr>
        <w:spacing w:line="360" w:lineRule="auto"/>
        <w:ind w:firstLine="709"/>
        <w:jc w:val="both"/>
      </w:pPr>
      <w:r>
        <w:t>x6 - отношение краткосрочных обязательств к активам</w:t>
      </w:r>
    </w:p>
    <w:p w:rsidR="00F476CC" w:rsidRDefault="00F476CC" w:rsidP="00F476CC">
      <w:pPr>
        <w:spacing w:line="360" w:lineRule="auto"/>
        <w:ind w:firstLine="709"/>
        <w:jc w:val="both"/>
      </w:pPr>
      <w:r>
        <w:t xml:space="preserve">x7 </w:t>
      </w:r>
      <w:r w:rsidR="00F56250">
        <w:t>–</w:t>
      </w:r>
      <w:r>
        <w:t xml:space="preserve"> </w:t>
      </w:r>
      <w:r w:rsidR="00F56250">
        <w:t>натуральный логарифм материальных активов</w:t>
      </w:r>
      <w:r>
        <w:t xml:space="preserve"> </w:t>
      </w:r>
    </w:p>
    <w:p w:rsidR="00F476CC" w:rsidRDefault="00F476CC" w:rsidP="00F476CC">
      <w:pPr>
        <w:spacing w:line="360" w:lineRule="auto"/>
        <w:ind w:firstLine="709"/>
        <w:jc w:val="both"/>
      </w:pPr>
      <w:r>
        <w:t>x8 - отношение оборотного капитала к обязательствам</w:t>
      </w:r>
    </w:p>
    <w:p w:rsidR="00F476CC" w:rsidRDefault="00F476CC" w:rsidP="00F476CC">
      <w:pPr>
        <w:spacing w:line="360" w:lineRule="auto"/>
        <w:ind w:firstLine="709"/>
        <w:jc w:val="both"/>
      </w:pPr>
      <w:r>
        <w:t xml:space="preserve">x9 </w:t>
      </w:r>
      <w:r w:rsidR="00F56250">
        <w:t>–</w:t>
      </w:r>
      <w:r>
        <w:t xml:space="preserve"> </w:t>
      </w:r>
      <w:r w:rsidR="00F56250">
        <w:t xml:space="preserve">натуральный логарифм </w:t>
      </w:r>
      <w:r>
        <w:t>(прибыль до налого</w:t>
      </w:r>
      <w:r w:rsidR="00F56250">
        <w:t>обложения + проценты к уплате)/</w:t>
      </w:r>
      <w:r>
        <w:t>проценты к уплате)</w:t>
      </w:r>
      <w:r w:rsidR="00F56250">
        <w:t xml:space="preserve"> </w:t>
      </w:r>
    </w:p>
    <w:p w:rsidR="00F56250" w:rsidRDefault="00F56250" w:rsidP="00F56250">
      <w:pPr>
        <w:spacing w:line="360" w:lineRule="auto"/>
        <w:ind w:firstLine="709"/>
        <w:jc w:val="both"/>
      </w:pPr>
      <w:r>
        <w:t xml:space="preserve">Среди российских моделей отметим пятифакторную модель Р.С. </w:t>
      </w:r>
      <w:proofErr w:type="spellStart"/>
      <w:r>
        <w:t>Сайфуллина</w:t>
      </w:r>
      <w:proofErr w:type="spellEnd"/>
      <w:r>
        <w:t xml:space="preserve"> и Г.Г. </w:t>
      </w:r>
      <w:proofErr w:type="spellStart"/>
      <w:r>
        <w:t>Кадыкова</w:t>
      </w:r>
      <w:proofErr w:type="spellEnd"/>
      <w:r>
        <w:t>, которые предлагают использовать рейтинговое число:</w:t>
      </w:r>
    </w:p>
    <w:p w:rsidR="00F56250" w:rsidRDefault="00F56250" w:rsidP="00F56250">
      <w:pPr>
        <w:spacing w:line="360" w:lineRule="auto"/>
        <w:ind w:firstLine="709"/>
        <w:jc w:val="both"/>
      </w:pPr>
      <m:oMathPara>
        <m:oMath>
          <m:r>
            <w:rPr>
              <w:rFonts w:ascii="Cambria Math" w:hAnsi="Cambria Math"/>
            </w:rPr>
            <m:t>R = 2К0 + 0,1Ктл + 0,08Ки + 0,45Км + Кпр</m:t>
          </m:r>
        </m:oMath>
      </m:oMathPara>
    </w:p>
    <w:p w:rsidR="00F56250" w:rsidRDefault="00F56250" w:rsidP="00F56250">
      <w:pPr>
        <w:spacing w:line="360" w:lineRule="auto"/>
        <w:ind w:firstLine="709"/>
        <w:jc w:val="both"/>
      </w:pPr>
      <w:r>
        <w:t>где Ко - коэффициент обеспеченности собственными средствами;</w:t>
      </w:r>
    </w:p>
    <w:p w:rsidR="00F56250" w:rsidRDefault="00F56250" w:rsidP="00F56250">
      <w:pPr>
        <w:spacing w:line="360" w:lineRule="auto"/>
        <w:ind w:firstLine="709"/>
        <w:jc w:val="both"/>
      </w:pPr>
      <w:proofErr w:type="spellStart"/>
      <w:r>
        <w:t>Ктл</w:t>
      </w:r>
      <w:proofErr w:type="spellEnd"/>
      <w:r>
        <w:t xml:space="preserve"> - коэффициент текущей ликвидности;</w:t>
      </w:r>
    </w:p>
    <w:p w:rsidR="00F56250" w:rsidRDefault="00F56250" w:rsidP="00F56250">
      <w:pPr>
        <w:spacing w:line="360" w:lineRule="auto"/>
        <w:ind w:firstLine="709"/>
        <w:jc w:val="both"/>
      </w:pPr>
      <w:r>
        <w:t>Ки - коэффициент оборачиваемости активов;</w:t>
      </w:r>
    </w:p>
    <w:p w:rsidR="00F56250" w:rsidRDefault="00F56250" w:rsidP="00F56250">
      <w:pPr>
        <w:spacing w:line="360" w:lineRule="auto"/>
        <w:ind w:firstLine="709"/>
        <w:jc w:val="both"/>
      </w:pPr>
      <w:r>
        <w:t>Км - коммерческая маржа (рентабельность реализации продукции);</w:t>
      </w:r>
    </w:p>
    <w:p w:rsidR="00F56250" w:rsidRDefault="00F56250" w:rsidP="00F56250">
      <w:pPr>
        <w:spacing w:line="360" w:lineRule="auto"/>
        <w:ind w:firstLine="709"/>
        <w:jc w:val="both"/>
      </w:pPr>
      <w:proofErr w:type="spellStart"/>
      <w:r>
        <w:t>Кпр</w:t>
      </w:r>
      <w:proofErr w:type="spellEnd"/>
      <w:r>
        <w:t xml:space="preserve"> - рентабельность собственного капитала.</w:t>
      </w:r>
    </w:p>
    <w:p w:rsidR="00F56250" w:rsidRDefault="00F56250" w:rsidP="00F56250">
      <w:pPr>
        <w:spacing w:line="360" w:lineRule="auto"/>
        <w:ind w:firstLine="709"/>
        <w:jc w:val="both"/>
      </w:pPr>
      <w:r>
        <w:t>При полном соответствии финансовых коэффициентов их минимальным нормативным уровням рейтинговое число будет равно 1 и организация имеет удовлетворительное состояние экономики. Финансовое состояние предприятий с рейтинговым числом менее 1 характеризуется как неудовлетворительное.</w:t>
      </w:r>
    </w:p>
    <w:p w:rsidR="00263CCF" w:rsidRPr="000D0AC0" w:rsidRDefault="00263CCF" w:rsidP="00263CCF">
      <w:pPr>
        <w:spacing w:line="360" w:lineRule="auto"/>
        <w:ind w:firstLine="709"/>
        <w:jc w:val="both"/>
      </w:pPr>
      <w:r w:rsidRPr="00263CCF">
        <w:rPr>
          <w:b/>
          <w:i/>
        </w:rPr>
        <w:lastRenderedPageBreak/>
        <w:t xml:space="preserve">Помимо метода </w:t>
      </w:r>
      <w:r w:rsidRPr="00263CCF">
        <w:rPr>
          <w:b/>
          <w:i/>
          <w:lang w:val="en-US"/>
        </w:rPr>
        <w:t>MDA</w:t>
      </w:r>
      <w:r w:rsidRPr="00263CCF">
        <w:rPr>
          <w:b/>
          <w:i/>
        </w:rPr>
        <w:t xml:space="preserve">, для оценки вероятности банкротства возможно использование </w:t>
      </w:r>
      <w:r w:rsidRPr="00263CCF">
        <w:rPr>
          <w:b/>
          <w:i/>
          <w:lang w:val="en-US"/>
        </w:rPr>
        <w:t>logit</w:t>
      </w:r>
      <w:r w:rsidRPr="00263CCF">
        <w:rPr>
          <w:b/>
          <w:i/>
        </w:rPr>
        <w:t>-модели, или логистической регрессии</w:t>
      </w:r>
      <w:r>
        <w:t xml:space="preserve">. Данная модель позволяет получить </w:t>
      </w:r>
      <w:r w:rsidR="00E0760E">
        <w:t xml:space="preserve">на выходе </w:t>
      </w:r>
      <w:r>
        <w:t xml:space="preserve">не принадлежность компаний к одной из групп, а вероятность банкротства – от 0% до 100%. </w:t>
      </w:r>
      <w:r w:rsidR="00F41515">
        <w:t xml:space="preserve">Применительно к банкротствам компаний данная модель была впервые использована </w:t>
      </w:r>
      <w:proofErr w:type="spellStart"/>
      <w:r w:rsidR="00F41515">
        <w:t>Дж.Ольсоном</w:t>
      </w:r>
      <w:proofErr w:type="spellEnd"/>
      <w:r w:rsidR="00F41515">
        <w:t>. В дальнейшем</w:t>
      </w:r>
      <w:r>
        <w:t xml:space="preserve"> так</w:t>
      </w:r>
      <w:r w:rsidR="00F41515">
        <w:t>ой подход</w:t>
      </w:r>
      <w:r>
        <w:t xml:space="preserve"> используется</w:t>
      </w:r>
      <w:r w:rsidR="00F41515">
        <w:t>, например,</w:t>
      </w:r>
      <w:r>
        <w:t xml:space="preserve"> в</w:t>
      </w:r>
      <w:r w:rsidRPr="00E66F20">
        <w:rPr>
          <w:b/>
          <w:i/>
        </w:rPr>
        <w:t xml:space="preserve"> модел</w:t>
      </w:r>
      <w:r>
        <w:rPr>
          <w:b/>
          <w:i/>
        </w:rPr>
        <w:t>и</w:t>
      </w:r>
      <w:r w:rsidRPr="00E66F20">
        <w:rPr>
          <w:b/>
          <w:i/>
        </w:rPr>
        <w:t xml:space="preserve"> Альтмана-</w:t>
      </w:r>
      <w:proofErr w:type="spellStart"/>
      <w:r w:rsidRPr="00E66F20">
        <w:rPr>
          <w:b/>
          <w:i/>
        </w:rPr>
        <w:t>Сабато</w:t>
      </w:r>
      <w:proofErr w:type="spellEnd"/>
      <w:r>
        <w:t xml:space="preserve">, которая была предложена в 2007 году и выглядит следующим образом: </w:t>
      </w:r>
    </w:p>
    <w:p w:rsidR="00263CCF" w:rsidRPr="000D0AC0" w:rsidRDefault="00263CCF" w:rsidP="00263CCF">
      <w:pPr>
        <w:spacing w:line="360" w:lineRule="auto"/>
        <w:ind w:firstLine="709"/>
        <w:jc w:val="both"/>
        <w:rPr>
          <w:rFonts w:ascii="Cambria Math" w:hAnsi="Cambria Math"/>
          <w:oMath/>
        </w:rPr>
      </w:pPr>
      <m:oMathPara>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lang w:val="en-US"/>
                    </w:rPr>
                    <m:t>-y</m:t>
                  </m:r>
                </m:sup>
              </m:sSup>
            </m:den>
          </m:f>
        </m:oMath>
      </m:oMathPara>
    </w:p>
    <w:p w:rsidR="00263CCF" w:rsidRPr="000D0AC0" w:rsidRDefault="00263CCF" w:rsidP="00263CCF">
      <w:pPr>
        <w:spacing w:line="360" w:lineRule="auto"/>
        <w:ind w:firstLine="709"/>
        <w:jc w:val="both"/>
        <w:rPr>
          <w:rFonts w:ascii="Cambria Math" w:hAnsi="Cambria Math"/>
          <w:oMath/>
        </w:rPr>
      </w:pPr>
      <m:oMathPara>
        <m:oMath>
          <m:r>
            <w:rPr>
              <w:rFonts w:ascii="Cambria Math" w:hAnsi="Cambria Math"/>
            </w:rPr>
            <m:t>Y = 4.28 + 0.18*X1 — 0.01*X2 + 0.08*X3 + 0.02*X4 + 0.19*X5</m:t>
          </m:r>
        </m:oMath>
      </m:oMathPara>
    </w:p>
    <w:p w:rsidR="00263CCF" w:rsidRDefault="00263CCF" w:rsidP="00263CCF">
      <w:pPr>
        <w:spacing w:line="360" w:lineRule="auto"/>
        <w:ind w:firstLine="709"/>
        <w:jc w:val="both"/>
      </w:pPr>
      <w:r>
        <w:t>Х1 – отношение прибыли до вычета налогов и процентов к активам</w:t>
      </w:r>
    </w:p>
    <w:p w:rsidR="00263CCF" w:rsidRDefault="00263CCF" w:rsidP="00263CCF">
      <w:pPr>
        <w:spacing w:line="360" w:lineRule="auto"/>
        <w:ind w:firstLine="709"/>
        <w:jc w:val="both"/>
      </w:pPr>
      <w:r>
        <w:t>Х2 – отношение краткосрочных обязательств к капиталу</w:t>
      </w:r>
    </w:p>
    <w:p w:rsidR="00263CCF" w:rsidRDefault="00263CCF" w:rsidP="00263CCF">
      <w:pPr>
        <w:spacing w:line="360" w:lineRule="auto"/>
        <w:ind w:firstLine="709"/>
        <w:jc w:val="both"/>
      </w:pPr>
      <w:r>
        <w:t>Х3 – отношение чистой прибыли к активам</w:t>
      </w:r>
    </w:p>
    <w:p w:rsidR="00263CCF" w:rsidRDefault="00263CCF" w:rsidP="00263CCF">
      <w:pPr>
        <w:spacing w:line="360" w:lineRule="auto"/>
        <w:ind w:firstLine="709"/>
        <w:jc w:val="both"/>
      </w:pPr>
      <w:r>
        <w:t>Х4 – отношение денежных средств к активам</w:t>
      </w:r>
    </w:p>
    <w:p w:rsidR="00263CCF" w:rsidRDefault="00263CCF" w:rsidP="00263CCF">
      <w:pPr>
        <w:spacing w:line="360" w:lineRule="auto"/>
        <w:ind w:firstLine="709"/>
        <w:jc w:val="both"/>
      </w:pPr>
      <w:r>
        <w:t>Х5 – отношение прибыли до вычета налогов и процентов к процентам к уплате</w:t>
      </w:r>
    </w:p>
    <w:p w:rsidR="00263CCF" w:rsidRDefault="004C161C" w:rsidP="00263CCF">
      <w:pPr>
        <w:spacing w:line="360" w:lineRule="auto"/>
        <w:ind w:firstLine="709"/>
        <w:jc w:val="both"/>
      </w:pPr>
      <w:r>
        <w:t xml:space="preserve">Для российских компаний подобная модель была построена, например, у </w:t>
      </w:r>
      <w:proofErr w:type="spellStart"/>
      <w:r w:rsidRPr="004C161C">
        <w:rPr>
          <w:b/>
          <w:i/>
        </w:rPr>
        <w:t>В.Жданова</w:t>
      </w:r>
      <w:proofErr w:type="spellEnd"/>
      <w:r>
        <w:t xml:space="preserve"> для оценки вероятности банкротства предприятий авиационно-промышленного комплекса. Автор использовал такие факторы, как коэффициент рентабельности оборотных активов, коэффициент самофинансирования, коэффициент соотношения мобильных и иммобилизованных активов, коэффициент оборачиваемости активов, коэффициент ликвидности. </w:t>
      </w:r>
    </w:p>
    <w:p w:rsidR="00150614" w:rsidRDefault="00150614" w:rsidP="00150614">
      <w:pPr>
        <w:spacing w:line="360" w:lineRule="auto"/>
        <w:ind w:firstLine="709"/>
        <w:jc w:val="both"/>
      </w:pPr>
      <w:r>
        <w:rPr>
          <w:b/>
          <w:i/>
        </w:rPr>
        <w:t>Методы</w:t>
      </w:r>
      <w:r w:rsidRPr="00263CCF">
        <w:rPr>
          <w:b/>
          <w:i/>
        </w:rPr>
        <w:t xml:space="preserve"> </w:t>
      </w:r>
      <w:r w:rsidRPr="00263CCF">
        <w:rPr>
          <w:b/>
          <w:i/>
          <w:lang w:val="en-US"/>
        </w:rPr>
        <w:t>MDA</w:t>
      </w:r>
      <w:r>
        <w:rPr>
          <w:b/>
          <w:i/>
        </w:rPr>
        <w:t xml:space="preserve"> и </w:t>
      </w:r>
      <w:r w:rsidRPr="00263CCF">
        <w:rPr>
          <w:b/>
          <w:i/>
          <w:lang w:val="en-US"/>
        </w:rPr>
        <w:t>logit</w:t>
      </w:r>
      <w:r w:rsidRPr="00263CCF">
        <w:rPr>
          <w:b/>
          <w:i/>
        </w:rPr>
        <w:t>-модели</w:t>
      </w:r>
      <w:r>
        <w:rPr>
          <w:b/>
          <w:i/>
        </w:rPr>
        <w:t xml:space="preserve"> являются наиболее используемыми для оценки вероятности банкротства предприятий</w:t>
      </w:r>
      <w:r>
        <w:t xml:space="preserve">. Однако иногда можно встретить и другие методы. Например, в работе </w:t>
      </w:r>
      <w:proofErr w:type="spellStart"/>
      <w:r>
        <w:t>Кастаниаса</w:t>
      </w:r>
      <w:proofErr w:type="spellEnd"/>
      <w:r>
        <w:t xml:space="preserve"> </w:t>
      </w:r>
      <w:r w:rsidRPr="00150614">
        <w:t>[</w:t>
      </w:r>
      <w:proofErr w:type="spellStart"/>
      <w:r>
        <w:rPr>
          <w:lang w:val="en-US"/>
        </w:rPr>
        <w:t>Castanias</w:t>
      </w:r>
      <w:proofErr w:type="spellEnd"/>
      <w:r w:rsidRPr="00150614">
        <w:t>, 1983]</w:t>
      </w:r>
      <w:r>
        <w:t xml:space="preserve"> автор использует коэффициенты </w:t>
      </w:r>
      <w:proofErr w:type="spellStart"/>
      <w:r>
        <w:t>конкордации</w:t>
      </w:r>
      <w:proofErr w:type="spellEnd"/>
      <w:r>
        <w:t xml:space="preserve"> </w:t>
      </w:r>
      <w:proofErr w:type="spellStart"/>
      <w:r>
        <w:t>Кенделла</w:t>
      </w:r>
      <w:proofErr w:type="spellEnd"/>
      <w:r>
        <w:t xml:space="preserve"> и </w:t>
      </w:r>
      <w:proofErr w:type="spellStart"/>
      <w:r>
        <w:t>Спирмена</w:t>
      </w:r>
      <w:proofErr w:type="spellEnd"/>
      <w:r>
        <w:t xml:space="preserve"> для анализа связи между банкротством и следующими факторами:</w:t>
      </w:r>
    </w:p>
    <w:p w:rsidR="00150614" w:rsidRDefault="00150614" w:rsidP="00150614">
      <w:pPr>
        <w:pStyle w:val="a5"/>
        <w:numPr>
          <w:ilvl w:val="0"/>
          <w:numId w:val="5"/>
        </w:numPr>
        <w:spacing w:line="360" w:lineRule="auto"/>
        <w:jc w:val="both"/>
      </w:pPr>
      <w:r>
        <w:t>доля долгосрочного долга в валюте баланса</w:t>
      </w:r>
    </w:p>
    <w:p w:rsidR="00150614" w:rsidRDefault="00150614" w:rsidP="00150614">
      <w:pPr>
        <w:pStyle w:val="a5"/>
        <w:numPr>
          <w:ilvl w:val="0"/>
          <w:numId w:val="5"/>
        </w:numPr>
        <w:spacing w:line="360" w:lineRule="auto"/>
        <w:jc w:val="both"/>
      </w:pPr>
      <w:r>
        <w:t>доля собственного капитала в валюте баланса</w:t>
      </w:r>
    </w:p>
    <w:p w:rsidR="00150614" w:rsidRDefault="00150614" w:rsidP="00150614">
      <w:pPr>
        <w:pStyle w:val="a5"/>
        <w:numPr>
          <w:ilvl w:val="0"/>
          <w:numId w:val="5"/>
        </w:numPr>
        <w:spacing w:line="360" w:lineRule="auto"/>
        <w:jc w:val="both"/>
      </w:pPr>
      <w:r>
        <w:t>отношение долгосрочного долга к собственному капиталу</w:t>
      </w:r>
    </w:p>
    <w:p w:rsidR="00150614" w:rsidRDefault="00150614" w:rsidP="00150614">
      <w:pPr>
        <w:pStyle w:val="a5"/>
        <w:numPr>
          <w:ilvl w:val="0"/>
          <w:numId w:val="5"/>
        </w:numPr>
        <w:spacing w:line="360" w:lineRule="auto"/>
        <w:jc w:val="both"/>
      </w:pPr>
      <w:r>
        <w:t>отношение обязательств к собственному капиталу</w:t>
      </w:r>
    </w:p>
    <w:p w:rsidR="00150614" w:rsidRDefault="00150614" w:rsidP="00150614">
      <w:pPr>
        <w:pStyle w:val="a5"/>
        <w:numPr>
          <w:ilvl w:val="0"/>
          <w:numId w:val="5"/>
        </w:numPr>
        <w:spacing w:line="360" w:lineRule="auto"/>
        <w:jc w:val="both"/>
      </w:pPr>
      <w:r>
        <w:t>доходность активов</w:t>
      </w:r>
    </w:p>
    <w:p w:rsidR="00150614" w:rsidRDefault="00150614" w:rsidP="00150614">
      <w:pPr>
        <w:pStyle w:val="a5"/>
        <w:numPr>
          <w:ilvl w:val="0"/>
          <w:numId w:val="5"/>
        </w:numPr>
        <w:spacing w:line="360" w:lineRule="auto"/>
        <w:jc w:val="both"/>
      </w:pPr>
      <w:r>
        <w:t>отношение денежного потока к долгосрочному долгу</w:t>
      </w:r>
    </w:p>
    <w:p w:rsidR="00150614" w:rsidRPr="00150614" w:rsidRDefault="00150614" w:rsidP="00150614">
      <w:pPr>
        <w:pStyle w:val="a5"/>
        <w:numPr>
          <w:ilvl w:val="0"/>
          <w:numId w:val="5"/>
        </w:numPr>
        <w:spacing w:line="360" w:lineRule="auto"/>
        <w:jc w:val="both"/>
      </w:pPr>
      <w:r>
        <w:t>общая величина активов</w:t>
      </w:r>
    </w:p>
    <w:p w:rsidR="00B7730D" w:rsidRPr="00D52F24" w:rsidRDefault="008B595C" w:rsidP="00162C58">
      <w:pPr>
        <w:spacing w:line="360" w:lineRule="auto"/>
        <w:ind w:firstLine="709"/>
        <w:jc w:val="both"/>
        <w:rPr>
          <w:color w:val="000000" w:themeColor="text1"/>
        </w:rPr>
      </w:pPr>
      <w:r>
        <w:t xml:space="preserve">По результатам анализа </w:t>
      </w:r>
      <w:r w:rsidR="004C161C">
        <w:t xml:space="preserve">литературы </w:t>
      </w:r>
      <w:r>
        <w:t xml:space="preserve">следует отметить следующие </w:t>
      </w:r>
      <w:r w:rsidRPr="008B595C">
        <w:rPr>
          <w:b/>
          <w:i/>
        </w:rPr>
        <w:t xml:space="preserve">ограничения, присущие данным </w:t>
      </w:r>
      <w:r w:rsidRPr="00485FF4">
        <w:rPr>
          <w:b/>
          <w:i/>
        </w:rPr>
        <w:t xml:space="preserve">моделям и затрудняющие их использование для российских </w:t>
      </w:r>
      <w:r w:rsidRPr="00485FF4">
        <w:rPr>
          <w:b/>
          <w:i/>
        </w:rPr>
        <w:lastRenderedPageBreak/>
        <w:t>сельскохозяйственных предприятий</w:t>
      </w:r>
      <w:r>
        <w:t xml:space="preserve">. Во-первых, основная часть моделей были разработаны на основе выборки из иностранных компаний – американских, английских, канадских. Во-вторых, большинство данных моделей созданы достаточно давно. В-третьих, </w:t>
      </w:r>
      <w:r w:rsidR="004C161C">
        <w:t xml:space="preserve">многие из моделей построены на небольшой выборке компаний. В-четвертых, </w:t>
      </w:r>
      <w:r w:rsidRPr="00D52F24">
        <w:rPr>
          <w:color w:val="000000" w:themeColor="text1"/>
        </w:rPr>
        <w:t>сельскохозяйственная отрасль имеет свою специфику, которая не учитывается в моделях</w:t>
      </w:r>
      <w:r w:rsidR="00162C58" w:rsidRPr="00D52F24">
        <w:rPr>
          <w:color w:val="000000" w:themeColor="text1"/>
        </w:rPr>
        <w:t xml:space="preserve">. Все эти ограничения не присущи данной работе, поскольку исследование проводится для российских сельскохозяйственных предприятий по статистическим данным на 31 декабря 2016 года, а итоговая выборка включает в себя 16,650 компаний, из которых 198 предприятий находятся в состоянии банкротства. </w:t>
      </w:r>
    </w:p>
    <w:p w:rsidR="001F0E30" w:rsidRDefault="00024A5E" w:rsidP="009C4D09">
      <w:pPr>
        <w:spacing w:line="360" w:lineRule="auto"/>
        <w:ind w:firstLine="709"/>
        <w:jc w:val="both"/>
      </w:pPr>
      <w:r>
        <w:t xml:space="preserve">Как уже упоминалось, для многих сельскохозяйственных компаний одной из серьезных проблем, приводящих к банкротству, является недостаток финансирования, затруднения при привлечении средств на фоне достаточно высокой потребности в инвестициях. Это указывает на </w:t>
      </w:r>
      <w:r>
        <w:rPr>
          <w:b/>
          <w:i/>
        </w:rPr>
        <w:t>важность</w:t>
      </w:r>
      <w:r w:rsidRPr="00024A5E">
        <w:rPr>
          <w:b/>
          <w:i/>
        </w:rPr>
        <w:t xml:space="preserve"> оптимальной структуры источников финансирования для поддержания финансовой устойчивости сельскохозяйственных предприятий</w:t>
      </w:r>
      <w:r>
        <w:t xml:space="preserve">.  Рассмотренные ранее модели банкротства подтверждают это суждение: </w:t>
      </w:r>
      <w:r w:rsidR="001F0E30">
        <w:rPr>
          <w:b/>
          <w:i/>
        </w:rPr>
        <w:t>факторы, характеризующие структуру</w:t>
      </w:r>
      <w:r w:rsidRPr="002902ED">
        <w:rPr>
          <w:b/>
          <w:i/>
        </w:rPr>
        <w:t xml:space="preserve"> капитала</w:t>
      </w:r>
      <w:r w:rsidR="001F0E30">
        <w:rPr>
          <w:b/>
          <w:i/>
        </w:rPr>
        <w:t>,</w:t>
      </w:r>
      <w:r w:rsidRPr="002902ED">
        <w:rPr>
          <w:b/>
          <w:i/>
        </w:rPr>
        <w:t xml:space="preserve"> так или иначе фигурируют в большинстве моделей </w:t>
      </w:r>
      <w:r w:rsidR="002902ED">
        <w:rPr>
          <w:b/>
          <w:i/>
        </w:rPr>
        <w:t xml:space="preserve">оценки вероятности банкротства </w:t>
      </w:r>
      <w:r w:rsidRPr="002902ED">
        <w:rPr>
          <w:b/>
          <w:i/>
        </w:rPr>
        <w:t xml:space="preserve">и </w:t>
      </w:r>
      <w:r w:rsidR="001F0E30">
        <w:rPr>
          <w:b/>
          <w:i/>
        </w:rPr>
        <w:t xml:space="preserve">значимо </w:t>
      </w:r>
      <w:r w:rsidRPr="002902ED">
        <w:rPr>
          <w:b/>
          <w:i/>
        </w:rPr>
        <w:t>влияют на итоговый результат</w:t>
      </w:r>
      <w:r>
        <w:t xml:space="preserve">. </w:t>
      </w:r>
      <w:r w:rsidR="002902ED">
        <w:t xml:space="preserve">Нераспределенная прибыль, формирующая значительную долю капитала и резервов, используется у Альтмана, </w:t>
      </w:r>
      <w:proofErr w:type="spellStart"/>
      <w:r w:rsidR="002902ED">
        <w:t>Фулмера</w:t>
      </w:r>
      <w:proofErr w:type="spellEnd"/>
      <w:r w:rsidR="002902ED">
        <w:t xml:space="preserve">, Лиса и </w:t>
      </w:r>
      <w:proofErr w:type="spellStart"/>
      <w:r w:rsidR="002902ED">
        <w:t>Спрингейта</w:t>
      </w:r>
      <w:proofErr w:type="spellEnd"/>
      <w:r w:rsidR="002902ED">
        <w:t xml:space="preserve">. Величина стоимости собственного капитала используется в модели Альтмана, модифицированной для частных компаний, чьи акции не торгуются на рынке. </w:t>
      </w:r>
      <w:r w:rsidR="001F0E30">
        <w:t xml:space="preserve">Доля заемного капитала в пассивах используется в двухфакторной модели Альтмана. Доля долгосрочных и краткосрочных обязательств в пассивах применяется у </w:t>
      </w:r>
      <w:proofErr w:type="spellStart"/>
      <w:r w:rsidR="001F0E30">
        <w:t>Фулмера</w:t>
      </w:r>
      <w:proofErr w:type="spellEnd"/>
      <w:r w:rsidR="001F0E30">
        <w:t xml:space="preserve">. Доля краткосрочных обязательств в пассивах является одним из факторов у </w:t>
      </w:r>
      <w:proofErr w:type="spellStart"/>
      <w:r w:rsidR="001F0E30">
        <w:t>Таффлера</w:t>
      </w:r>
      <w:proofErr w:type="spellEnd"/>
      <w:r w:rsidR="001F0E30">
        <w:t xml:space="preserve">. </w:t>
      </w:r>
      <w:r w:rsidR="00894751">
        <w:t xml:space="preserve">Таким образом, </w:t>
      </w:r>
      <w:r w:rsidR="00894751" w:rsidRPr="00894751">
        <w:rPr>
          <w:b/>
          <w:i/>
        </w:rPr>
        <w:t>оптимизация структуры источников формирования активов является важным фактором финансовой устойчивости компании</w:t>
      </w:r>
      <w:r w:rsidR="00894751">
        <w:t xml:space="preserve">. </w:t>
      </w:r>
    </w:p>
    <w:p w:rsidR="000657AF" w:rsidRDefault="00894751" w:rsidP="000657AF">
      <w:pPr>
        <w:spacing w:line="360" w:lineRule="auto"/>
        <w:ind w:firstLine="709"/>
        <w:jc w:val="both"/>
      </w:pPr>
      <w:r>
        <w:t xml:space="preserve">В рамках </w:t>
      </w:r>
      <w:r w:rsidR="00C00B72">
        <w:t xml:space="preserve">теории </w:t>
      </w:r>
      <w:r>
        <w:t xml:space="preserve">структуры капитала </w:t>
      </w:r>
      <w:r w:rsidR="000657AF">
        <w:t>можно выделить</w:t>
      </w:r>
      <w:r>
        <w:t xml:space="preserve"> </w:t>
      </w:r>
      <w:r w:rsidR="000657AF">
        <w:t>следующие</w:t>
      </w:r>
      <w:r>
        <w:t xml:space="preserve"> </w:t>
      </w:r>
      <w:r w:rsidR="001213EF">
        <w:t>п</w:t>
      </w:r>
      <w:r w:rsidR="000657AF">
        <w:t xml:space="preserve">одходы к данному вопросу: </w:t>
      </w:r>
    </w:p>
    <w:p w:rsidR="000657AF" w:rsidRDefault="000657AF" w:rsidP="000657AF">
      <w:pPr>
        <w:pStyle w:val="a5"/>
        <w:numPr>
          <w:ilvl w:val="0"/>
          <w:numId w:val="4"/>
        </w:numPr>
        <w:spacing w:line="360" w:lineRule="auto"/>
        <w:jc w:val="both"/>
      </w:pPr>
      <w:r>
        <w:t>Традиционная теория</w:t>
      </w:r>
    </w:p>
    <w:p w:rsidR="000657AF" w:rsidRDefault="000657AF" w:rsidP="000657AF">
      <w:pPr>
        <w:pStyle w:val="a5"/>
        <w:numPr>
          <w:ilvl w:val="0"/>
          <w:numId w:val="4"/>
        </w:numPr>
        <w:spacing w:line="360" w:lineRule="auto"/>
        <w:jc w:val="both"/>
      </w:pPr>
      <w:r>
        <w:t xml:space="preserve">Компромиссная теория </w:t>
      </w:r>
    </w:p>
    <w:p w:rsidR="000657AF" w:rsidRDefault="000657AF" w:rsidP="000657AF">
      <w:pPr>
        <w:pStyle w:val="a5"/>
        <w:numPr>
          <w:ilvl w:val="0"/>
          <w:numId w:val="4"/>
        </w:numPr>
        <w:spacing w:line="360" w:lineRule="auto"/>
        <w:jc w:val="both"/>
      </w:pPr>
      <w:r>
        <w:t xml:space="preserve">Агентские модели </w:t>
      </w:r>
    </w:p>
    <w:p w:rsidR="000657AF" w:rsidRDefault="000657AF" w:rsidP="000657AF">
      <w:pPr>
        <w:pStyle w:val="a5"/>
        <w:numPr>
          <w:ilvl w:val="0"/>
          <w:numId w:val="4"/>
        </w:numPr>
        <w:spacing w:line="360" w:lineRule="auto"/>
        <w:jc w:val="both"/>
      </w:pPr>
      <w:r>
        <w:t xml:space="preserve">Теория иерархии </w:t>
      </w:r>
    </w:p>
    <w:p w:rsidR="000657AF" w:rsidRDefault="000657AF" w:rsidP="000657AF">
      <w:pPr>
        <w:pStyle w:val="a5"/>
        <w:numPr>
          <w:ilvl w:val="0"/>
          <w:numId w:val="4"/>
        </w:numPr>
        <w:spacing w:line="360" w:lineRule="auto"/>
        <w:jc w:val="both"/>
      </w:pPr>
      <w:r>
        <w:t>Сигнальные модели</w:t>
      </w:r>
    </w:p>
    <w:p w:rsidR="000657AF" w:rsidRDefault="000657AF" w:rsidP="000657AF">
      <w:pPr>
        <w:pStyle w:val="a5"/>
        <w:numPr>
          <w:ilvl w:val="0"/>
          <w:numId w:val="4"/>
        </w:numPr>
        <w:spacing w:line="360" w:lineRule="auto"/>
        <w:jc w:val="both"/>
      </w:pPr>
      <w:r>
        <w:t xml:space="preserve">Поведенческие теории </w:t>
      </w:r>
    </w:p>
    <w:p w:rsidR="000657AF" w:rsidRDefault="008F4EAD" w:rsidP="00D94854">
      <w:pPr>
        <w:spacing w:line="360" w:lineRule="auto"/>
        <w:ind w:firstLine="709"/>
        <w:jc w:val="both"/>
      </w:pPr>
      <w:r>
        <w:lastRenderedPageBreak/>
        <w:t>Т</w:t>
      </w:r>
      <w:r w:rsidR="000657AF">
        <w:t xml:space="preserve">еория Давида </w:t>
      </w:r>
      <w:proofErr w:type="spellStart"/>
      <w:r w:rsidR="000657AF">
        <w:t>Дюрана</w:t>
      </w:r>
      <w:proofErr w:type="spellEnd"/>
      <w:r w:rsidR="000657AF">
        <w:t xml:space="preserve"> </w:t>
      </w:r>
      <w:r w:rsidR="000657AF" w:rsidRPr="000657AF">
        <w:t>[</w:t>
      </w:r>
      <w:proofErr w:type="spellStart"/>
      <w:r w:rsidR="000657AF">
        <w:t>David</w:t>
      </w:r>
      <w:proofErr w:type="spellEnd"/>
      <w:r w:rsidR="000657AF">
        <w:t xml:space="preserve"> </w:t>
      </w:r>
      <w:proofErr w:type="spellStart"/>
      <w:r w:rsidR="000657AF">
        <w:t>Durand</w:t>
      </w:r>
      <w:proofErr w:type="spellEnd"/>
      <w:r w:rsidR="000657AF" w:rsidRPr="000657AF">
        <w:t>, 1</w:t>
      </w:r>
      <w:r w:rsidR="000657AF">
        <w:t>952</w:t>
      </w:r>
      <w:r w:rsidR="000657AF" w:rsidRPr="000657AF">
        <w:t>]</w:t>
      </w:r>
      <w:r w:rsidR="000657AF">
        <w:t xml:space="preserve"> заключается в том, что компания должна увеличивать долговую нагрузку</w:t>
      </w:r>
      <w:r w:rsidR="000657AF" w:rsidRPr="000657AF">
        <w:t xml:space="preserve"> </w:t>
      </w:r>
      <w:r w:rsidR="000657AF">
        <w:t xml:space="preserve">до определенных пределов, чтобы минимизировать затраты на капитал и достичь оптимальной структуры капитала. </w:t>
      </w:r>
      <w:r w:rsidR="00D94854">
        <w:t>Если вначале, при</w:t>
      </w:r>
      <w:r w:rsidR="000657AF">
        <w:t xml:space="preserve"> небольшом увеличении доли заемных средств</w:t>
      </w:r>
      <w:r w:rsidR="00D94854">
        <w:t>,</w:t>
      </w:r>
      <w:r w:rsidR="000657AF">
        <w:t xml:space="preserve"> </w:t>
      </w:r>
      <w:r w:rsidR="00D94854">
        <w:t>привлечение</w:t>
      </w:r>
      <w:r w:rsidR="000657AF">
        <w:t xml:space="preserve"> заемного капитала </w:t>
      </w:r>
      <w:r w:rsidR="00D94854">
        <w:t>позволяет снижать средневзвешенную стоимость капитала,</w:t>
      </w:r>
      <w:r w:rsidR="000657AF">
        <w:t xml:space="preserve"> </w:t>
      </w:r>
      <w:r w:rsidR="00D94854">
        <w:t xml:space="preserve">то по мере привлечения новых займов риски для владельцев собственного капитала возрастают, вследствие чего требуемая доходность собственного капитала компании увеличивается. </w:t>
      </w:r>
    </w:p>
    <w:p w:rsidR="00D94854" w:rsidRDefault="00D94854" w:rsidP="00D94854">
      <w:pPr>
        <w:spacing w:line="360" w:lineRule="auto"/>
        <w:ind w:firstLine="709"/>
        <w:jc w:val="both"/>
      </w:pPr>
      <w:r>
        <w:t>Широко известная т</w:t>
      </w:r>
      <w:r w:rsidR="00E10782">
        <w:t xml:space="preserve">еория Модильяни-Миллера </w:t>
      </w:r>
      <w:r w:rsidR="00E10782" w:rsidRPr="00E10782">
        <w:t>[</w:t>
      </w:r>
      <w:proofErr w:type="spellStart"/>
      <w:r>
        <w:t>Modigliani</w:t>
      </w:r>
      <w:proofErr w:type="spellEnd"/>
      <w:r w:rsidR="00E10782">
        <w:t xml:space="preserve"> </w:t>
      </w:r>
      <w:r w:rsidR="00E10782">
        <w:rPr>
          <w:lang w:val="en-US"/>
        </w:rPr>
        <w:t>and</w:t>
      </w:r>
      <w:r w:rsidR="00E10782" w:rsidRPr="00E10782">
        <w:t xml:space="preserve"> </w:t>
      </w:r>
      <w:proofErr w:type="spellStart"/>
      <w:r>
        <w:t>Miller</w:t>
      </w:r>
      <w:proofErr w:type="spellEnd"/>
      <w:r>
        <w:t>, 1958, 1963</w:t>
      </w:r>
      <w:r w:rsidR="00E10782" w:rsidRPr="00E10782">
        <w:t>]</w:t>
      </w:r>
      <w:r>
        <w:t xml:space="preserve"> утверждает, что в отсутствие налогов способ финансирования не влияет на стоимость компании, однако при появлении налогов на прибыль корпораций привлечение заемных средств будет увеличивать стоимость компании за счет налогового щита, так что оптимальная структура капитала предполагает максимально возможное использование заемных источников финансирования. Отметим, что данная теория опирается на множество нереалистичных предпосылок, в частности, идеальные рынки капитала, отсутствие асимметрии информации, бесконечную длительность потоков прибыли и нулевые темпы их прироста, </w:t>
      </w:r>
      <w:proofErr w:type="spellStart"/>
      <w:r>
        <w:t>безрисковость</w:t>
      </w:r>
      <w:proofErr w:type="spellEnd"/>
      <w:r>
        <w:t xml:space="preserve"> долговых обязательств, отсутствие затрат, связанных с банкротством. </w:t>
      </w:r>
    </w:p>
    <w:p w:rsidR="000C7CD5" w:rsidRDefault="008F4EAD" w:rsidP="000C7CD5">
      <w:pPr>
        <w:spacing w:line="360" w:lineRule="auto"/>
        <w:ind w:firstLine="709"/>
        <w:jc w:val="both"/>
      </w:pPr>
      <w:r>
        <w:t xml:space="preserve">Компромиссная теория предполагает, что наряду с налоговыми выгодами от заемного финансирования существуют издержки банкротства, которые возрастают с ростом долга. Вследствие этого </w:t>
      </w:r>
      <w:r w:rsidRPr="008F4EAD">
        <w:t>менеджеры принимают решение о выборе структуры капитала фирмы</w:t>
      </w:r>
      <w:r w:rsidR="000C7CD5">
        <w:t xml:space="preserve">, ища компромисс между налоговым щитом </w:t>
      </w:r>
      <w:r w:rsidRPr="008F4EAD">
        <w:t>по процентным платежам и издержками финансовых трудностей</w:t>
      </w:r>
      <w:r w:rsidR="000C7CD5">
        <w:t xml:space="preserve">. Таким образом, наличие определенной доли заемного капитала идет на пользу предприятию, но после достижения оптимальной структуры капитала экономия на налогах перекрывается издержками, связанными с возможным банкротством. Эмпирические подтверждения данной теории выявляли </w:t>
      </w:r>
      <w:proofErr w:type="spellStart"/>
      <w:r w:rsidR="000C7CD5">
        <w:t>Раджан</w:t>
      </w:r>
      <w:proofErr w:type="spellEnd"/>
      <w:r w:rsidR="000C7CD5">
        <w:t xml:space="preserve"> и </w:t>
      </w:r>
      <w:proofErr w:type="spellStart"/>
      <w:r w:rsidR="000C7CD5">
        <w:t>Зингалес</w:t>
      </w:r>
      <w:proofErr w:type="spellEnd"/>
      <w:r w:rsidR="000C7CD5">
        <w:t xml:space="preserve"> </w:t>
      </w:r>
      <w:r w:rsidR="000C7CD5" w:rsidRPr="000C7CD5">
        <w:t>[</w:t>
      </w:r>
      <w:proofErr w:type="spellStart"/>
      <w:r w:rsidR="000C7CD5">
        <w:rPr>
          <w:lang w:val="en-US"/>
        </w:rPr>
        <w:t>Rajan</w:t>
      </w:r>
      <w:proofErr w:type="spellEnd"/>
      <w:r w:rsidR="000C7CD5" w:rsidRPr="000C7CD5">
        <w:t xml:space="preserve"> </w:t>
      </w:r>
      <w:r w:rsidR="000C7CD5">
        <w:rPr>
          <w:lang w:val="en-US"/>
        </w:rPr>
        <w:t>and</w:t>
      </w:r>
      <w:r w:rsidR="000C7CD5" w:rsidRPr="000C7CD5">
        <w:t xml:space="preserve"> </w:t>
      </w:r>
      <w:proofErr w:type="spellStart"/>
      <w:r w:rsidR="000C7CD5">
        <w:rPr>
          <w:lang w:val="en-US"/>
        </w:rPr>
        <w:t>Zingales</w:t>
      </w:r>
      <w:proofErr w:type="spellEnd"/>
      <w:r w:rsidR="000C7CD5" w:rsidRPr="000C7CD5">
        <w:t>, 1995]</w:t>
      </w:r>
      <w:r w:rsidR="000C7CD5">
        <w:t xml:space="preserve">, </w:t>
      </w:r>
      <w:proofErr w:type="spellStart"/>
      <w:r w:rsidR="000C7CD5">
        <w:t>Тауб</w:t>
      </w:r>
      <w:proofErr w:type="spellEnd"/>
      <w:r w:rsidR="000C7CD5">
        <w:t xml:space="preserve"> </w:t>
      </w:r>
      <w:r w:rsidR="000C7CD5" w:rsidRPr="000C7CD5">
        <w:t>[</w:t>
      </w:r>
      <w:proofErr w:type="spellStart"/>
      <w:r w:rsidR="000C7CD5">
        <w:rPr>
          <w:lang w:val="en-US"/>
        </w:rPr>
        <w:t>Taub</w:t>
      </w:r>
      <w:proofErr w:type="spellEnd"/>
      <w:r w:rsidR="000C7CD5" w:rsidRPr="000C7CD5">
        <w:t>, 1975]</w:t>
      </w:r>
      <w:r w:rsidR="000C7CD5">
        <w:t xml:space="preserve">, Бут и др. </w:t>
      </w:r>
      <w:r w:rsidR="000C7CD5" w:rsidRPr="000C7CD5">
        <w:t>[</w:t>
      </w:r>
      <w:r w:rsidR="000C7CD5">
        <w:rPr>
          <w:lang w:val="en-US"/>
        </w:rPr>
        <w:t>Booth</w:t>
      </w:r>
      <w:r w:rsidR="000C7CD5" w:rsidRPr="000C7CD5">
        <w:t xml:space="preserve"> </w:t>
      </w:r>
      <w:r w:rsidR="000C7CD5">
        <w:rPr>
          <w:lang w:val="en-US"/>
        </w:rPr>
        <w:t>and</w:t>
      </w:r>
      <w:r w:rsidR="000C7CD5" w:rsidRPr="000C7CD5">
        <w:t xml:space="preserve"> </w:t>
      </w:r>
      <w:r w:rsidR="000C7CD5">
        <w:rPr>
          <w:lang w:val="en-US"/>
        </w:rPr>
        <w:t>al</w:t>
      </w:r>
      <w:r w:rsidR="000C7CD5" w:rsidRPr="000C7CD5">
        <w:t>., 2001</w:t>
      </w:r>
      <w:r w:rsidR="000C7CD5">
        <w:t xml:space="preserve">], </w:t>
      </w:r>
      <w:proofErr w:type="spellStart"/>
      <w:r w:rsidR="000C7CD5">
        <w:t>Зоу</w:t>
      </w:r>
      <w:proofErr w:type="spellEnd"/>
      <w:r w:rsidR="000C7CD5">
        <w:t xml:space="preserve"> и </w:t>
      </w:r>
      <w:proofErr w:type="spellStart"/>
      <w:r w:rsidR="000C7CD5">
        <w:t>Ксиао</w:t>
      </w:r>
      <w:proofErr w:type="spellEnd"/>
      <w:r w:rsidR="000C7CD5">
        <w:t xml:space="preserve"> </w:t>
      </w:r>
      <w:r w:rsidR="000C7CD5" w:rsidRPr="000C7CD5">
        <w:t>[</w:t>
      </w:r>
      <w:r w:rsidR="000C7CD5">
        <w:rPr>
          <w:lang w:val="en-US"/>
        </w:rPr>
        <w:t>Zou</w:t>
      </w:r>
      <w:r w:rsidR="000C7CD5" w:rsidRPr="000C7CD5">
        <w:t xml:space="preserve">, </w:t>
      </w:r>
      <w:r w:rsidR="000C7CD5">
        <w:rPr>
          <w:lang w:val="en-US"/>
        </w:rPr>
        <w:t>Xiao</w:t>
      </w:r>
      <w:r w:rsidR="000C7CD5" w:rsidRPr="000C7CD5">
        <w:t>, 2006]</w:t>
      </w:r>
      <w:r w:rsidR="000C7CD5">
        <w:t xml:space="preserve">. </w:t>
      </w:r>
    </w:p>
    <w:p w:rsidR="00C540F3" w:rsidRDefault="000C7CD5" w:rsidP="000C7CD5">
      <w:pPr>
        <w:spacing w:line="360" w:lineRule="auto"/>
        <w:ind w:firstLine="709"/>
        <w:jc w:val="both"/>
      </w:pPr>
      <w:r>
        <w:t xml:space="preserve">Агентская теория </w:t>
      </w:r>
      <w:r w:rsidR="00485FF4">
        <w:t>опирается на наличие конфликтов между менеджерами</w:t>
      </w:r>
      <w:r w:rsidR="00E10782">
        <w:t>, кредиторами</w:t>
      </w:r>
      <w:r w:rsidR="00485FF4">
        <w:t xml:space="preserve"> и акционерами в силу разных целей при управлении компанией. </w:t>
      </w:r>
      <w:r w:rsidR="00E10782">
        <w:t>Предполагается, что, с одной стороны, что</w:t>
      </w:r>
      <w:r w:rsidR="00485FF4">
        <w:t xml:space="preserve"> </w:t>
      </w:r>
      <w:r w:rsidR="00E10782">
        <w:t xml:space="preserve">акционеры с ростом заемного финансирования более расположены к рискованным и доходным инвестициям, в то время как кредиторы стремятся ограничить склонность компании к риску и увеличивают затраты по заемным средствам при росте вероятности банкротства. С другой стороны, в отношениях между акционерами и менеджерами </w:t>
      </w:r>
      <w:r w:rsidR="00485FF4">
        <w:t>д</w:t>
      </w:r>
      <w:r w:rsidR="00485FF4" w:rsidRPr="00485FF4">
        <w:t xml:space="preserve">олговая нагрузка </w:t>
      </w:r>
      <w:r w:rsidR="00485FF4">
        <w:t xml:space="preserve">выполняет положительную функцию, </w:t>
      </w:r>
      <w:r w:rsidR="00485FF4" w:rsidRPr="00485FF4">
        <w:t>ограничива</w:t>
      </w:r>
      <w:r w:rsidR="00485FF4">
        <w:t>я</w:t>
      </w:r>
      <w:r w:rsidR="00485FF4" w:rsidRPr="00485FF4">
        <w:t xml:space="preserve"> возможность неэффективно </w:t>
      </w:r>
      <w:r w:rsidR="00485FF4">
        <w:t>расходовать</w:t>
      </w:r>
      <w:r w:rsidR="00485FF4" w:rsidRPr="00485FF4">
        <w:t xml:space="preserve"> денежные потоки компании</w:t>
      </w:r>
      <w:r w:rsidR="00485FF4">
        <w:t xml:space="preserve">. </w:t>
      </w:r>
      <w:r w:rsidR="00485FF4">
        <w:lastRenderedPageBreak/>
        <w:t xml:space="preserve">Агентская теория развивалась, например, в работах </w:t>
      </w:r>
      <w:proofErr w:type="spellStart"/>
      <w:r w:rsidR="00485FF4">
        <w:t>Дженсена</w:t>
      </w:r>
      <w:proofErr w:type="spellEnd"/>
      <w:r w:rsidR="00485FF4">
        <w:t xml:space="preserve"> и </w:t>
      </w:r>
      <w:proofErr w:type="spellStart"/>
      <w:r w:rsidR="00485FF4">
        <w:t>Меклинга</w:t>
      </w:r>
      <w:proofErr w:type="spellEnd"/>
      <w:r w:rsidR="00485FF4">
        <w:t xml:space="preserve"> </w:t>
      </w:r>
      <w:r w:rsidR="00485FF4" w:rsidRPr="00485FF4">
        <w:t>[</w:t>
      </w:r>
      <w:r w:rsidR="00485FF4">
        <w:rPr>
          <w:lang w:val="en-US"/>
        </w:rPr>
        <w:t>Jensen</w:t>
      </w:r>
      <w:r w:rsidR="00485FF4" w:rsidRPr="00485FF4">
        <w:t xml:space="preserve"> </w:t>
      </w:r>
      <w:r w:rsidR="00485FF4">
        <w:rPr>
          <w:lang w:val="en-US"/>
        </w:rPr>
        <w:t>and</w:t>
      </w:r>
      <w:r w:rsidR="00485FF4" w:rsidRPr="00485FF4">
        <w:t xml:space="preserve"> </w:t>
      </w:r>
      <w:proofErr w:type="spellStart"/>
      <w:r w:rsidR="00485FF4">
        <w:rPr>
          <w:lang w:val="en-US"/>
        </w:rPr>
        <w:t>Veckling</w:t>
      </w:r>
      <w:proofErr w:type="spellEnd"/>
      <w:r w:rsidR="00485FF4" w:rsidRPr="00485FF4">
        <w:t>, 1976]</w:t>
      </w:r>
      <w:r w:rsidR="00485FF4">
        <w:t xml:space="preserve">, </w:t>
      </w:r>
      <w:proofErr w:type="spellStart"/>
      <w:r w:rsidR="00485FF4">
        <w:t>Штульца</w:t>
      </w:r>
      <w:proofErr w:type="spellEnd"/>
      <w:r w:rsidR="00485FF4">
        <w:t xml:space="preserve"> </w:t>
      </w:r>
      <w:r w:rsidR="00485FF4" w:rsidRPr="00485FF4">
        <w:t>[</w:t>
      </w:r>
      <w:proofErr w:type="spellStart"/>
      <w:r w:rsidR="00485FF4">
        <w:t>Stulz</w:t>
      </w:r>
      <w:proofErr w:type="spellEnd"/>
      <w:r w:rsidR="00485FF4">
        <w:t>, 1990</w:t>
      </w:r>
      <w:r w:rsidR="00485FF4" w:rsidRPr="00485FF4">
        <w:t xml:space="preserve">], </w:t>
      </w:r>
      <w:r w:rsidR="00485FF4">
        <w:t xml:space="preserve">Харриса и </w:t>
      </w:r>
      <w:proofErr w:type="spellStart"/>
      <w:r w:rsidR="00485FF4">
        <w:t>Равива</w:t>
      </w:r>
      <w:proofErr w:type="spellEnd"/>
      <w:r w:rsidR="00485FF4">
        <w:t xml:space="preserve"> </w:t>
      </w:r>
      <w:r w:rsidR="00485FF4" w:rsidRPr="00485FF4">
        <w:t>[</w:t>
      </w:r>
      <w:r w:rsidR="00485FF4">
        <w:rPr>
          <w:lang w:val="en-US"/>
        </w:rPr>
        <w:t>Harris</w:t>
      </w:r>
      <w:r w:rsidR="00485FF4" w:rsidRPr="00485FF4">
        <w:t xml:space="preserve"> </w:t>
      </w:r>
      <w:r w:rsidR="00485FF4">
        <w:rPr>
          <w:lang w:val="en-US"/>
        </w:rPr>
        <w:t>and</w:t>
      </w:r>
      <w:r w:rsidR="00485FF4" w:rsidRPr="00485FF4">
        <w:t xml:space="preserve"> </w:t>
      </w:r>
      <w:proofErr w:type="spellStart"/>
      <w:r w:rsidR="00485FF4">
        <w:rPr>
          <w:lang w:val="en-US"/>
        </w:rPr>
        <w:t>Raviv</w:t>
      </w:r>
      <w:proofErr w:type="spellEnd"/>
      <w:r w:rsidR="00485FF4" w:rsidRPr="00485FF4">
        <w:t>, 1991]</w:t>
      </w:r>
      <w:r w:rsidR="00485FF4">
        <w:t xml:space="preserve">. Теория иерархии </w:t>
      </w:r>
      <w:r w:rsidR="00E10782">
        <w:t xml:space="preserve">была разработана Майерсом и </w:t>
      </w:r>
      <w:proofErr w:type="spellStart"/>
      <w:r w:rsidR="00E10782">
        <w:t>Мэйлафом</w:t>
      </w:r>
      <w:proofErr w:type="spellEnd"/>
      <w:r w:rsidR="00E10782">
        <w:t xml:space="preserve"> </w:t>
      </w:r>
      <w:r w:rsidR="00E10782" w:rsidRPr="00E10782">
        <w:t>[</w:t>
      </w:r>
      <w:r w:rsidR="00E10782">
        <w:rPr>
          <w:lang w:val="en-US"/>
        </w:rPr>
        <w:t>Myers</w:t>
      </w:r>
      <w:r w:rsidR="00E10782" w:rsidRPr="00E10782">
        <w:t xml:space="preserve"> </w:t>
      </w:r>
      <w:r w:rsidR="00E10782">
        <w:rPr>
          <w:lang w:val="en-US"/>
        </w:rPr>
        <w:t>and</w:t>
      </w:r>
      <w:r w:rsidR="00E10782" w:rsidRPr="00E10782">
        <w:t xml:space="preserve"> </w:t>
      </w:r>
      <w:proofErr w:type="spellStart"/>
      <w:r w:rsidR="00E10782">
        <w:rPr>
          <w:lang w:val="en-US"/>
        </w:rPr>
        <w:t>Majluf</w:t>
      </w:r>
      <w:proofErr w:type="spellEnd"/>
      <w:r w:rsidR="00E10782" w:rsidRPr="00E10782">
        <w:t xml:space="preserve">, 1984] </w:t>
      </w:r>
      <w:r w:rsidR="00E10782">
        <w:t xml:space="preserve">и </w:t>
      </w:r>
      <w:r w:rsidR="00485FF4">
        <w:t>заключает</w:t>
      </w:r>
      <w:r w:rsidR="00E10782">
        <w:t>ся</w:t>
      </w:r>
      <w:r w:rsidR="00485FF4">
        <w:t xml:space="preserve"> в том, что финансирование за счет различных источников происходит в определенном порядке. </w:t>
      </w:r>
      <w:r w:rsidR="00E10782">
        <w:t xml:space="preserve">Сигнальная модель опирается на асимметрию информации, которая будет влиять на структуру капитала, а поведенческие модели стремятся учесть </w:t>
      </w:r>
      <w:r w:rsidR="00C00B72">
        <w:t xml:space="preserve">воздействие на структуру капитала различных социальных, когнитивных и эмоциональных факторов. </w:t>
      </w:r>
    </w:p>
    <w:p w:rsidR="00E4247B" w:rsidRDefault="00C00B72" w:rsidP="00E4247B">
      <w:pPr>
        <w:spacing w:line="360" w:lineRule="auto"/>
        <w:ind w:firstLine="709"/>
        <w:jc w:val="both"/>
      </w:pPr>
      <w:r>
        <w:t xml:space="preserve">Таким образом, в рамках </w:t>
      </w:r>
      <w:r w:rsidR="00E4247B">
        <w:t>ряда</w:t>
      </w:r>
      <w:r>
        <w:t xml:space="preserve"> теорий структуры капитала авторы указывают на существование оптимальной структуры капитала, которой должна придерживаться компании, чтобы достигнуть определенных целей. Обычно в качестве такой цели выступает стоимость компании, однако </w:t>
      </w:r>
      <w:r w:rsidRPr="00C00B72">
        <w:rPr>
          <w:b/>
          <w:i/>
        </w:rPr>
        <w:t>в рамках исследования в данной работе будет рассматриваться возможность оптимизации структуры капитала, позволяющая минимизировать вероятность банкротства сельскохозяйственного предприятия</w:t>
      </w:r>
      <w:r>
        <w:t xml:space="preserve">. </w:t>
      </w:r>
    </w:p>
    <w:p w:rsidR="00440003" w:rsidRDefault="00C00B72" w:rsidP="00ED2D80">
      <w:pPr>
        <w:spacing w:line="360" w:lineRule="auto"/>
        <w:ind w:firstLine="709"/>
        <w:jc w:val="both"/>
      </w:pPr>
      <w:r>
        <w:t xml:space="preserve">Это позволяет отнести </w:t>
      </w:r>
      <w:r w:rsidR="00ED2D80">
        <w:t>разрабатываемую</w:t>
      </w:r>
      <w:r>
        <w:t xml:space="preserve"> модель к группе компромиссных моделей, предполагающих наличие как выгод, так и издержек при повы</w:t>
      </w:r>
      <w:r w:rsidR="00FA1A98">
        <w:t xml:space="preserve">шении уровня долговой нагрузки, хотя в качестве целевого показателя при оптимизации выступает не стоимость фирмы, а вероятность банкротства. </w:t>
      </w:r>
      <w:r w:rsidR="00E4247B">
        <w:t xml:space="preserve">Говоря о специфике отрасли, стоит отметить, что именно компромиссная теория впервые позволила провести различие в структуре капитала между отраслями. Это обусловлено тем, что издержки банкротства неодинаковы у фирм, занимающихся разными видами деятельности. Компании, имеющей много материальных активов, легче получить заем по более низкой стоимости, так как ее имущество может быть использовано в качестве залога. Кроме того, компромиссная теория утверждает, что </w:t>
      </w:r>
      <w:proofErr w:type="spellStart"/>
      <w:r w:rsidR="00E4247B">
        <w:t>высокорисковым</w:t>
      </w:r>
      <w:proofErr w:type="spellEnd"/>
      <w:r w:rsidR="00E4247B">
        <w:t xml:space="preserve"> компаниям следует привлекать заемный капитал в меньших объемах, так как у них будут велики ожидаемые издержки возможных финансовых затруднений, а </w:t>
      </w:r>
      <w:proofErr w:type="spellStart"/>
      <w:r w:rsidR="00E4247B">
        <w:t>низкорисковые</w:t>
      </w:r>
      <w:proofErr w:type="spellEnd"/>
      <w:r w:rsidR="00E4247B">
        <w:t xml:space="preserve"> фирмы могут интенсивнее привлекать заемный капитал.</w:t>
      </w:r>
    </w:p>
    <w:p w:rsidR="00996F50" w:rsidRDefault="00996F50" w:rsidP="00440003">
      <w:pPr>
        <w:spacing w:line="360" w:lineRule="auto"/>
        <w:ind w:firstLine="709"/>
        <w:jc w:val="both"/>
        <w:rPr>
          <w:b/>
          <w:i/>
        </w:rPr>
      </w:pPr>
    </w:p>
    <w:p w:rsidR="00440003" w:rsidRPr="00ED2D80" w:rsidRDefault="00440003" w:rsidP="00440003">
      <w:pPr>
        <w:spacing w:line="360" w:lineRule="auto"/>
        <w:ind w:firstLine="709"/>
        <w:jc w:val="both"/>
        <w:rPr>
          <w:b/>
          <w:i/>
        </w:rPr>
      </w:pPr>
      <w:r w:rsidRPr="00ED2D80">
        <w:rPr>
          <w:b/>
          <w:i/>
        </w:rPr>
        <w:t>Гипотез</w:t>
      </w:r>
      <w:r w:rsidR="00C65592" w:rsidRPr="00ED2D80">
        <w:rPr>
          <w:b/>
          <w:i/>
        </w:rPr>
        <w:t>ы</w:t>
      </w:r>
      <w:r w:rsidRPr="00ED2D80">
        <w:rPr>
          <w:b/>
          <w:i/>
        </w:rPr>
        <w:t xml:space="preserve"> исследования </w:t>
      </w:r>
    </w:p>
    <w:p w:rsidR="005152E6" w:rsidRPr="00D52F24" w:rsidRDefault="005152E6" w:rsidP="005152E6">
      <w:pPr>
        <w:spacing w:line="360" w:lineRule="auto"/>
        <w:ind w:firstLine="709"/>
        <w:jc w:val="both"/>
        <w:rPr>
          <w:i/>
          <w:color w:val="000000" w:themeColor="text1"/>
        </w:rPr>
      </w:pPr>
      <w:r w:rsidRPr="00D52F24">
        <w:rPr>
          <w:color w:val="000000" w:themeColor="text1"/>
        </w:rPr>
        <w:t xml:space="preserve">Как было выявлено при анализе литературы, показатели, характеризующие структуру капитала компании, оказывались значимыми в большинстве предложенных ранее моделях оценки вероятности банкротства.  Поэтому первая гипотеза заключается в том, что структура капитала имеет значение в ходе реализации антикризисного управления предприятием. </w:t>
      </w:r>
    </w:p>
    <w:p w:rsidR="00C65592" w:rsidRPr="00D52F24" w:rsidRDefault="00C65592" w:rsidP="000C7CD5">
      <w:pPr>
        <w:spacing w:line="360" w:lineRule="auto"/>
        <w:ind w:firstLine="709"/>
        <w:jc w:val="both"/>
        <w:rPr>
          <w:i/>
          <w:color w:val="000000" w:themeColor="text1"/>
        </w:rPr>
      </w:pPr>
      <w:r w:rsidRPr="00D52F24">
        <w:rPr>
          <w:i/>
          <w:color w:val="000000" w:themeColor="text1"/>
        </w:rPr>
        <w:t xml:space="preserve">Гипотеза 1. </w:t>
      </w:r>
    </w:p>
    <w:p w:rsidR="00440003" w:rsidRPr="00D52F24" w:rsidRDefault="00C65592" w:rsidP="000C7CD5">
      <w:pPr>
        <w:spacing w:line="360" w:lineRule="auto"/>
        <w:ind w:firstLine="709"/>
        <w:jc w:val="both"/>
        <w:rPr>
          <w:i/>
          <w:color w:val="000000" w:themeColor="text1"/>
        </w:rPr>
      </w:pPr>
      <w:r w:rsidRPr="00D52F24">
        <w:rPr>
          <w:i/>
          <w:color w:val="000000" w:themeColor="text1"/>
        </w:rPr>
        <w:t>Структура капитала оказывает значимое влияние н</w:t>
      </w:r>
      <w:r w:rsidR="00440003" w:rsidRPr="00D52F24">
        <w:rPr>
          <w:i/>
          <w:color w:val="000000" w:themeColor="text1"/>
        </w:rPr>
        <w:t xml:space="preserve">а вероятность банкротства </w:t>
      </w:r>
      <w:r w:rsidRPr="00D52F24">
        <w:rPr>
          <w:i/>
          <w:color w:val="000000" w:themeColor="text1"/>
        </w:rPr>
        <w:t>предприятия сельскохозяйственной отрасли</w:t>
      </w:r>
    </w:p>
    <w:p w:rsidR="005152E6" w:rsidRPr="00D52F24" w:rsidRDefault="005152E6" w:rsidP="00C65592">
      <w:pPr>
        <w:spacing w:line="360" w:lineRule="auto"/>
        <w:ind w:firstLine="709"/>
        <w:jc w:val="both"/>
        <w:rPr>
          <w:color w:val="000000" w:themeColor="text1"/>
        </w:rPr>
      </w:pPr>
      <w:r w:rsidRPr="00D52F24">
        <w:rPr>
          <w:color w:val="000000" w:themeColor="text1"/>
        </w:rPr>
        <w:lastRenderedPageBreak/>
        <w:t xml:space="preserve">Далее, одна из теорий структуры капитала предполагает, что </w:t>
      </w:r>
      <w:r w:rsidR="00162C58" w:rsidRPr="00D52F24">
        <w:rPr>
          <w:color w:val="000000" w:themeColor="text1"/>
        </w:rPr>
        <w:t>долговая нагрузка</w:t>
      </w:r>
      <w:r w:rsidRPr="00D52F24">
        <w:rPr>
          <w:color w:val="000000" w:themeColor="text1"/>
        </w:rPr>
        <w:t xml:space="preserve"> может </w:t>
      </w:r>
      <w:r w:rsidR="00162C58" w:rsidRPr="00D52F24">
        <w:rPr>
          <w:color w:val="000000" w:themeColor="text1"/>
        </w:rPr>
        <w:t>оказывать</w:t>
      </w:r>
      <w:r w:rsidRPr="00D52F24">
        <w:rPr>
          <w:color w:val="000000" w:themeColor="text1"/>
        </w:rPr>
        <w:t xml:space="preserve"> нелинейное влияние на эффективность деятельности компании. В связи с этим была также проверена вторая гипотеза о том, что при проведении антикризисной политики следует учитывать текущее значение долговой нагрузки, потому что </w:t>
      </w:r>
      <w:r w:rsidR="00162C58" w:rsidRPr="00D52F24">
        <w:rPr>
          <w:color w:val="000000" w:themeColor="text1"/>
        </w:rPr>
        <w:t>влияние долговой нагрузки на вероятность банкротства сельскохозяйственного предприятия м</w:t>
      </w:r>
      <w:r w:rsidRPr="00D52F24">
        <w:rPr>
          <w:color w:val="000000" w:themeColor="text1"/>
        </w:rPr>
        <w:t xml:space="preserve">ожет </w:t>
      </w:r>
      <w:r w:rsidR="00162C58" w:rsidRPr="00D52F24">
        <w:rPr>
          <w:color w:val="000000" w:themeColor="text1"/>
        </w:rPr>
        <w:t>быть</w:t>
      </w:r>
      <w:r w:rsidRPr="00D52F24">
        <w:rPr>
          <w:color w:val="000000" w:themeColor="text1"/>
        </w:rPr>
        <w:t xml:space="preserve"> </w:t>
      </w:r>
      <w:r w:rsidR="00162C58" w:rsidRPr="00D52F24">
        <w:rPr>
          <w:color w:val="000000" w:themeColor="text1"/>
        </w:rPr>
        <w:t>разным</w:t>
      </w:r>
      <w:r w:rsidRPr="00D52F24">
        <w:rPr>
          <w:color w:val="000000" w:themeColor="text1"/>
        </w:rPr>
        <w:t xml:space="preserve"> </w:t>
      </w:r>
      <w:r w:rsidR="00162C58" w:rsidRPr="00D52F24">
        <w:rPr>
          <w:color w:val="000000" w:themeColor="text1"/>
        </w:rPr>
        <w:t xml:space="preserve">в зависимости от текущего показателя долговой нагрузки. </w:t>
      </w:r>
    </w:p>
    <w:p w:rsidR="00C65592" w:rsidRPr="00D52F24" w:rsidRDefault="00C65592" w:rsidP="00C65592">
      <w:pPr>
        <w:spacing w:line="360" w:lineRule="auto"/>
        <w:ind w:firstLine="709"/>
        <w:jc w:val="both"/>
        <w:rPr>
          <w:i/>
          <w:color w:val="000000" w:themeColor="text1"/>
        </w:rPr>
      </w:pPr>
      <w:r w:rsidRPr="00D52F24">
        <w:rPr>
          <w:i/>
          <w:color w:val="000000" w:themeColor="text1"/>
        </w:rPr>
        <w:t xml:space="preserve">Гипотеза 2. </w:t>
      </w:r>
    </w:p>
    <w:p w:rsidR="00C65592" w:rsidRPr="00D52F24" w:rsidRDefault="00C65592" w:rsidP="00C65592">
      <w:pPr>
        <w:spacing w:line="360" w:lineRule="auto"/>
        <w:ind w:firstLine="709"/>
        <w:jc w:val="both"/>
        <w:rPr>
          <w:i/>
          <w:color w:val="000000" w:themeColor="text1"/>
        </w:rPr>
      </w:pPr>
      <w:r w:rsidRPr="00D52F24">
        <w:rPr>
          <w:i/>
          <w:color w:val="000000" w:themeColor="text1"/>
        </w:rPr>
        <w:t xml:space="preserve">С ростом привлечения заемного финансирования вероятность банкротства предприятия сельскохозяйственной отрасли сначала снижается за счет роста доходности, а затем растет за счет риска невыполнения обязательств.  </w:t>
      </w:r>
    </w:p>
    <w:p w:rsidR="00ED2D80" w:rsidRPr="00D52F24" w:rsidRDefault="00ED2D80" w:rsidP="000C7CD5">
      <w:pPr>
        <w:spacing w:line="360" w:lineRule="auto"/>
        <w:ind w:firstLine="709"/>
        <w:jc w:val="both"/>
        <w:rPr>
          <w:b/>
          <w:color w:val="000000" w:themeColor="text1"/>
          <w:u w:val="single"/>
        </w:rPr>
      </w:pPr>
    </w:p>
    <w:p w:rsidR="00081B4C" w:rsidRPr="00081B4C" w:rsidRDefault="00505D1B" w:rsidP="000C7CD5">
      <w:pPr>
        <w:spacing w:line="360" w:lineRule="auto"/>
        <w:ind w:firstLine="709"/>
        <w:jc w:val="both"/>
      </w:pPr>
      <w:r w:rsidRPr="00D52F24">
        <w:rPr>
          <w:color w:val="000000" w:themeColor="text1"/>
        </w:rPr>
        <w:t>Как было выявлено при анализе литературы</w:t>
      </w:r>
      <w:r w:rsidR="00081B4C" w:rsidRPr="00D52F24">
        <w:rPr>
          <w:color w:val="000000" w:themeColor="text1"/>
        </w:rPr>
        <w:t xml:space="preserve">, наиболее часто используемыми </w:t>
      </w:r>
      <w:r w:rsidR="00081B4C">
        <w:t xml:space="preserve">методами для оценки вероятности банкротства являются </w:t>
      </w:r>
      <w:r w:rsidR="00081B4C">
        <w:rPr>
          <w:lang w:val="en-US"/>
        </w:rPr>
        <w:t>MDA</w:t>
      </w:r>
      <w:r w:rsidR="00081B4C">
        <w:t xml:space="preserve"> – многофакторный дискриминантный анализ – и </w:t>
      </w:r>
      <w:r w:rsidR="00081B4C">
        <w:rPr>
          <w:lang w:val="en-US"/>
        </w:rPr>
        <w:t>logit</w:t>
      </w:r>
      <w:r w:rsidR="00081B4C">
        <w:t xml:space="preserve">-модель. Для данного исследования была выбрана </w:t>
      </w:r>
      <w:r w:rsidR="00081B4C" w:rsidRPr="00081B4C">
        <w:rPr>
          <w:b/>
          <w:i/>
          <w:lang w:val="en-US"/>
        </w:rPr>
        <w:t>logit</w:t>
      </w:r>
      <w:r w:rsidR="00081B4C" w:rsidRPr="00081B4C">
        <w:rPr>
          <w:b/>
          <w:i/>
        </w:rPr>
        <w:t>-модель</w:t>
      </w:r>
      <w:r w:rsidR="00152817">
        <w:t xml:space="preserve">, которая </w:t>
      </w:r>
      <w:r w:rsidR="00081B4C">
        <w:t xml:space="preserve">позволяет получить именно вероятность банкротства, а не просто отнести предприятие к той или иной группе – как, например, у Альтмана отнесение к рисковой группе означает вероятность банкротства выше 80%, а к надёжным предприятия – вероятность банкротства ниже 30%. Модель для исследования будет иметь следующий вид: </w:t>
      </w:r>
    </w:p>
    <w:p w:rsidR="00081B4C" w:rsidRPr="00081B4C" w:rsidRDefault="00081B4C" w:rsidP="00081B4C">
      <w:pPr>
        <w:spacing w:line="360" w:lineRule="auto"/>
        <w:ind w:firstLine="709"/>
        <w:jc w:val="both"/>
      </w:pPr>
      <m:oMathPara>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lang w:val="en-US"/>
                    </w:rPr>
                    <m:t>y</m:t>
                  </m:r>
                </m:sup>
              </m:sSup>
            </m:den>
          </m:f>
        </m:oMath>
      </m:oMathPara>
    </w:p>
    <w:p w:rsidR="00081B4C" w:rsidRPr="000D0AC0" w:rsidRDefault="00081B4C" w:rsidP="00081B4C">
      <w:pPr>
        <w:spacing w:line="360" w:lineRule="auto"/>
        <w:ind w:firstLine="709"/>
        <w:jc w:val="both"/>
        <w:rPr>
          <w:rFonts w:ascii="Cambria Math" w:hAnsi="Cambria Math"/>
          <w:oMath/>
        </w:rPr>
      </w:pPr>
      <m:oMathPara>
        <m:oMath>
          <m:r>
            <w:rPr>
              <w:rFonts w:ascii="Cambria Math" w:hAnsi="Cambria Math"/>
            </w:rPr>
            <m:t>Y = f (</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m:oMathPara>
    </w:p>
    <w:p w:rsidR="00484588" w:rsidRDefault="00484588" w:rsidP="00081B4C">
      <w:pPr>
        <w:spacing w:line="360" w:lineRule="auto"/>
        <w:ind w:firstLine="709"/>
        <w:jc w:val="both"/>
      </w:pPr>
      <w:r>
        <w:rPr>
          <w:b/>
          <w:i/>
        </w:rPr>
        <w:t xml:space="preserve">В качестве зависимой переменной </w:t>
      </w:r>
      <w:r>
        <w:t xml:space="preserve">в </w:t>
      </w:r>
      <w:r>
        <w:rPr>
          <w:lang w:val="en-US"/>
        </w:rPr>
        <w:t>logit</w:t>
      </w:r>
      <w:r>
        <w:t xml:space="preserve">-модели выступает факт наличия или отсутствия банкротства. Таким образом, зависимая переменная может принимать значения или 1 (если компания в состоянии банкротства), или 0 (если компания действующая). </w:t>
      </w:r>
    </w:p>
    <w:p w:rsidR="00081B4C" w:rsidRDefault="00081B4C" w:rsidP="00081B4C">
      <w:pPr>
        <w:spacing w:line="360" w:lineRule="auto"/>
        <w:ind w:firstLine="709"/>
        <w:jc w:val="both"/>
      </w:pPr>
      <w:r w:rsidRPr="002752F0">
        <w:rPr>
          <w:b/>
          <w:i/>
        </w:rPr>
        <w:t>В качестве объясняющей переменной</w:t>
      </w:r>
      <w:r>
        <w:t xml:space="preserve"> выступает показатель структуры капитала</w:t>
      </w:r>
      <w:r w:rsidR="002752F0">
        <w:t xml:space="preserve">, который характеризует коэффициент финансового </w:t>
      </w:r>
      <w:proofErr w:type="spellStart"/>
      <w:r w:rsidR="002752F0">
        <w:t>левериджа</w:t>
      </w:r>
      <w:proofErr w:type="spellEnd"/>
      <w:r w:rsidR="002752F0">
        <w:t>:</w:t>
      </w:r>
    </w:p>
    <w:p w:rsidR="002752F0" w:rsidRDefault="002752F0" w:rsidP="001F0D46">
      <w:pPr>
        <w:pStyle w:val="a5"/>
        <w:numPr>
          <w:ilvl w:val="0"/>
          <w:numId w:val="7"/>
        </w:numPr>
        <w:spacing w:line="360" w:lineRule="auto"/>
        <w:jc w:val="both"/>
      </w:pPr>
      <w:r w:rsidRPr="001F0D46">
        <w:rPr>
          <w:lang w:val="en-US"/>
        </w:rPr>
        <w:t>LEV</w:t>
      </w:r>
      <w:r w:rsidRPr="002752F0">
        <w:t xml:space="preserve"> = </w:t>
      </w:r>
      <w:r>
        <w:t>отношение заемных средств к собственному капиталу</w:t>
      </w:r>
    </w:p>
    <w:p w:rsidR="002752F0" w:rsidRPr="00D52F24" w:rsidRDefault="00505D1B" w:rsidP="00081B4C">
      <w:pPr>
        <w:spacing w:line="360" w:lineRule="auto"/>
        <w:ind w:firstLine="709"/>
        <w:jc w:val="both"/>
        <w:rPr>
          <w:color w:val="000000" w:themeColor="text1"/>
        </w:rPr>
      </w:pPr>
      <w:r w:rsidRPr="00D52F24">
        <w:rPr>
          <w:color w:val="000000" w:themeColor="text1"/>
        </w:rPr>
        <w:t xml:space="preserve">В рамках компромиссных моделей структуры капитала, рассмотренных </w:t>
      </w:r>
      <w:r w:rsidR="00A16A53" w:rsidRPr="00D52F24">
        <w:rPr>
          <w:color w:val="000000" w:themeColor="text1"/>
        </w:rPr>
        <w:t>в теоретической части работы</w:t>
      </w:r>
      <w:r w:rsidRPr="00D52F24">
        <w:rPr>
          <w:color w:val="000000" w:themeColor="text1"/>
        </w:rPr>
        <w:t>, п</w:t>
      </w:r>
      <w:r w:rsidR="002752F0" w:rsidRPr="00D52F24">
        <w:rPr>
          <w:color w:val="000000" w:themeColor="text1"/>
        </w:rPr>
        <w:t xml:space="preserve">редполагается, что рост долговой нагрузки сначала может снижать вероятность банкротства за счет получаемых компанией выгод от заемного финансирования, а затем увеличивать вследствие рисков неуплаты по обязательствам. </w:t>
      </w:r>
    </w:p>
    <w:p w:rsidR="00505D1B" w:rsidRPr="00D52F24" w:rsidRDefault="00505D1B" w:rsidP="00505D1B">
      <w:pPr>
        <w:spacing w:line="360" w:lineRule="auto"/>
        <w:ind w:firstLine="709"/>
        <w:jc w:val="both"/>
        <w:rPr>
          <w:color w:val="000000" w:themeColor="text1"/>
        </w:rPr>
      </w:pPr>
      <w:r w:rsidRPr="00D52F24">
        <w:rPr>
          <w:b/>
          <w:i/>
          <w:color w:val="000000" w:themeColor="text1"/>
        </w:rPr>
        <w:t>К</w:t>
      </w:r>
      <w:r w:rsidR="002752F0" w:rsidRPr="00D52F24">
        <w:rPr>
          <w:b/>
          <w:i/>
          <w:color w:val="000000" w:themeColor="text1"/>
        </w:rPr>
        <w:t>онтрольны</w:t>
      </w:r>
      <w:r w:rsidRPr="00D52F24">
        <w:rPr>
          <w:b/>
          <w:i/>
          <w:color w:val="000000" w:themeColor="text1"/>
        </w:rPr>
        <w:t>е</w:t>
      </w:r>
      <w:r w:rsidR="002752F0" w:rsidRPr="00D52F24">
        <w:rPr>
          <w:b/>
          <w:i/>
          <w:color w:val="000000" w:themeColor="text1"/>
        </w:rPr>
        <w:t xml:space="preserve"> переменны</w:t>
      </w:r>
      <w:r w:rsidRPr="00D52F24">
        <w:rPr>
          <w:b/>
          <w:i/>
          <w:color w:val="000000" w:themeColor="text1"/>
        </w:rPr>
        <w:t>е</w:t>
      </w:r>
      <w:r w:rsidR="002752F0" w:rsidRPr="00D52F24">
        <w:rPr>
          <w:color w:val="000000" w:themeColor="text1"/>
        </w:rPr>
        <w:t xml:space="preserve"> </w:t>
      </w:r>
      <w:r w:rsidRPr="00D52F24">
        <w:rPr>
          <w:color w:val="000000" w:themeColor="text1"/>
        </w:rPr>
        <w:t xml:space="preserve">были выбраны на основе анализа литературы, позволившего выявить факторы, наиболее часто оказывающиеся значимыми при оценке вероятности банкротства. К ним относятся: </w:t>
      </w:r>
    </w:p>
    <w:p w:rsidR="006433B7" w:rsidRPr="006433B7" w:rsidRDefault="009F5B69" w:rsidP="006433B7">
      <w:pPr>
        <w:pStyle w:val="a5"/>
        <w:numPr>
          <w:ilvl w:val="0"/>
          <w:numId w:val="6"/>
        </w:numPr>
        <w:spacing w:line="360" w:lineRule="auto"/>
        <w:jc w:val="both"/>
      </w:pPr>
      <w:r>
        <w:rPr>
          <w:lang w:val="en-US"/>
        </w:rPr>
        <w:lastRenderedPageBreak/>
        <w:t>TURN</w:t>
      </w:r>
      <w:r w:rsidR="006433B7" w:rsidRPr="006433B7">
        <w:t xml:space="preserve"> = отношение выручки к активам – показывает оборачиваемость активов, эффективность их использования; </w:t>
      </w:r>
    </w:p>
    <w:p w:rsidR="006433B7" w:rsidRPr="006433B7" w:rsidRDefault="009F5B69" w:rsidP="006433B7">
      <w:pPr>
        <w:pStyle w:val="a5"/>
        <w:numPr>
          <w:ilvl w:val="0"/>
          <w:numId w:val="6"/>
        </w:numPr>
        <w:spacing w:line="360" w:lineRule="auto"/>
        <w:jc w:val="both"/>
      </w:pPr>
      <w:r>
        <w:rPr>
          <w:lang w:val="en-US"/>
        </w:rPr>
        <w:t>CR</w:t>
      </w:r>
      <w:r w:rsidR="006433B7" w:rsidRPr="006433B7">
        <w:t xml:space="preserve"> </w:t>
      </w:r>
      <w:r w:rsidR="006433B7">
        <w:t>–</w:t>
      </w:r>
      <w:r w:rsidR="006433B7" w:rsidRPr="006433B7">
        <w:t xml:space="preserve"> </w:t>
      </w:r>
      <w:r w:rsidR="006433B7">
        <w:t xml:space="preserve">отношение текущих активов к текущим обязательствам – показывает степень ликвидности, устойчивости; </w:t>
      </w:r>
    </w:p>
    <w:p w:rsidR="006433B7" w:rsidRPr="006433B7" w:rsidRDefault="009F5B69" w:rsidP="006433B7">
      <w:pPr>
        <w:pStyle w:val="a5"/>
        <w:numPr>
          <w:ilvl w:val="0"/>
          <w:numId w:val="6"/>
        </w:numPr>
        <w:spacing w:line="360" w:lineRule="auto"/>
        <w:jc w:val="both"/>
      </w:pPr>
      <w:r>
        <w:rPr>
          <w:lang w:val="en-US"/>
        </w:rPr>
        <w:t>ROE</w:t>
      </w:r>
      <w:r w:rsidR="006433B7" w:rsidRPr="006433B7">
        <w:t xml:space="preserve"> – отношение чистой прибыли к </w:t>
      </w:r>
      <w:r w:rsidR="006433B7">
        <w:t>собственному капиталу – показывает доходность собственного капитала;</w:t>
      </w:r>
    </w:p>
    <w:p w:rsidR="006433B7" w:rsidRPr="006433B7" w:rsidRDefault="00C27A28" w:rsidP="006433B7">
      <w:pPr>
        <w:pStyle w:val="a5"/>
        <w:numPr>
          <w:ilvl w:val="0"/>
          <w:numId w:val="6"/>
        </w:numPr>
        <w:spacing w:line="360" w:lineRule="auto"/>
        <w:jc w:val="both"/>
      </w:pPr>
      <w:r>
        <w:rPr>
          <w:lang w:val="en-US"/>
        </w:rPr>
        <w:t>RE</w:t>
      </w:r>
      <w:r w:rsidR="006433B7" w:rsidRPr="006433B7">
        <w:t xml:space="preserve"> - отношение нераспределенной прибыли к сумме активов – отражает прибыльность компании за прошлые периоды  </w:t>
      </w:r>
    </w:p>
    <w:p w:rsidR="006433B7" w:rsidRPr="006433B7" w:rsidRDefault="009F5B69" w:rsidP="006433B7">
      <w:pPr>
        <w:pStyle w:val="a5"/>
        <w:numPr>
          <w:ilvl w:val="0"/>
          <w:numId w:val="6"/>
        </w:numPr>
        <w:spacing w:line="360" w:lineRule="auto"/>
        <w:jc w:val="both"/>
      </w:pPr>
      <w:r>
        <w:rPr>
          <w:lang w:val="en-US"/>
        </w:rPr>
        <w:t>COVER</w:t>
      </w:r>
      <w:r w:rsidR="006433B7" w:rsidRPr="006433B7">
        <w:t xml:space="preserve"> – отношение прибыли до </w:t>
      </w:r>
      <w:r w:rsidR="001F0D46">
        <w:t>налогообложения</w:t>
      </w:r>
      <w:r w:rsidR="006433B7">
        <w:t xml:space="preserve"> к </w:t>
      </w:r>
      <w:r w:rsidR="006433B7" w:rsidRPr="006433B7">
        <w:t>краткосрочны</w:t>
      </w:r>
      <w:r w:rsidR="006433B7">
        <w:t>м</w:t>
      </w:r>
      <w:r w:rsidR="006433B7" w:rsidRPr="006433B7">
        <w:t xml:space="preserve"> обязательства</w:t>
      </w:r>
      <w:r w:rsidR="006433B7">
        <w:t xml:space="preserve">м – показывает возможность покрывать краткосрочные обязательства за счет полученной прибыли </w:t>
      </w:r>
    </w:p>
    <w:p w:rsidR="006433B7" w:rsidRPr="006433B7" w:rsidRDefault="009F5B69" w:rsidP="006433B7">
      <w:pPr>
        <w:pStyle w:val="a5"/>
        <w:numPr>
          <w:ilvl w:val="0"/>
          <w:numId w:val="6"/>
        </w:numPr>
        <w:spacing w:line="360" w:lineRule="auto"/>
        <w:jc w:val="both"/>
      </w:pPr>
      <w:r>
        <w:rPr>
          <w:lang w:val="en-US"/>
        </w:rPr>
        <w:t>AGE</w:t>
      </w:r>
      <w:r w:rsidR="0050054A">
        <w:rPr>
          <w:lang w:val="en-US"/>
        </w:rPr>
        <w:t xml:space="preserve"> - </w:t>
      </w:r>
      <w:r w:rsidR="006433B7" w:rsidRPr="006433B7">
        <w:t xml:space="preserve">возраст фирмы </w:t>
      </w:r>
    </w:p>
    <w:p w:rsidR="006433B7" w:rsidRPr="006433B7" w:rsidRDefault="009F5B69" w:rsidP="006433B7">
      <w:pPr>
        <w:pStyle w:val="a5"/>
        <w:numPr>
          <w:ilvl w:val="0"/>
          <w:numId w:val="6"/>
        </w:numPr>
        <w:spacing w:line="360" w:lineRule="auto"/>
        <w:jc w:val="both"/>
      </w:pPr>
      <w:r>
        <w:rPr>
          <w:lang w:val="en-US"/>
        </w:rPr>
        <w:t>SIZE</w:t>
      </w:r>
      <w:r w:rsidR="0050054A" w:rsidRPr="0050054A">
        <w:t xml:space="preserve"> – </w:t>
      </w:r>
      <w:r w:rsidR="0050054A">
        <w:t>натуральный логарифм выручки – показывает размер фирмы</w:t>
      </w:r>
      <w:r w:rsidR="006433B7" w:rsidRPr="006433B7">
        <w:t xml:space="preserve"> </w:t>
      </w:r>
    </w:p>
    <w:p w:rsidR="00610511" w:rsidRDefault="00610511" w:rsidP="00081B4C">
      <w:pPr>
        <w:spacing w:line="360" w:lineRule="auto"/>
        <w:ind w:firstLine="709"/>
        <w:jc w:val="both"/>
      </w:pPr>
    </w:p>
    <w:p w:rsidR="002752F0" w:rsidRPr="00C27A28" w:rsidRDefault="00C27A28" w:rsidP="00081B4C">
      <w:pPr>
        <w:spacing w:line="360" w:lineRule="auto"/>
        <w:ind w:firstLine="709"/>
        <w:jc w:val="both"/>
      </w:pPr>
      <w:r>
        <w:t xml:space="preserve">Таким образом, функция </w:t>
      </w:r>
      <w:r>
        <w:rPr>
          <w:lang w:val="en-US"/>
        </w:rPr>
        <w:t>Y</w:t>
      </w:r>
      <w:r w:rsidRPr="00C27A28">
        <w:t xml:space="preserve"> </w:t>
      </w:r>
      <w:r>
        <w:t xml:space="preserve">имеет следующий вид: </w:t>
      </w:r>
    </w:p>
    <w:p w:rsidR="00081B4C" w:rsidRPr="00132D7A" w:rsidRDefault="00081B4C" w:rsidP="00081B4C">
      <w:pPr>
        <w:spacing w:line="360" w:lineRule="auto"/>
        <w:ind w:firstLine="709"/>
        <w:jc w:val="both"/>
      </w:pPr>
      <m:oMathPara>
        <m:oMath>
          <m:r>
            <w:rPr>
              <w:rFonts w:ascii="Cambria Math" w:hAnsi="Cambria Math"/>
            </w:rPr>
            <m:t xml:space="preserve">Y = </m:t>
          </m:r>
          <m:sSub>
            <m:sSubPr>
              <m:ctrlPr>
                <w:rPr>
                  <w:rFonts w:ascii="Cambria Math" w:hAnsi="Cambria Math"/>
                  <w:i/>
                </w:rPr>
              </m:ctrlPr>
            </m:sSubPr>
            <m:e>
              <m:r>
                <w:rPr>
                  <w:rFonts w:ascii="Cambria Math" w:hAnsi="Cambria Math"/>
                </w:rPr>
                <m:t>α</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*LEV+</m:t>
          </m:r>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 xml:space="preserve">*TURN+ </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 xml:space="preserve">*CR + </m:t>
          </m:r>
          <m:sSub>
            <m:sSubPr>
              <m:ctrlPr>
                <w:rPr>
                  <w:rFonts w:ascii="Cambria Math" w:hAnsi="Cambria Math"/>
                  <w:i/>
                </w:rPr>
              </m:ctrlPr>
            </m:sSubPr>
            <m:e>
              <m:r>
                <w:rPr>
                  <w:rFonts w:ascii="Cambria Math" w:hAnsi="Cambria Math"/>
                </w:rPr>
                <m:t>α</m:t>
              </m:r>
            </m:e>
            <m:sub>
              <m:r>
                <w:rPr>
                  <w:rFonts w:ascii="Cambria Math" w:hAnsi="Cambria Math"/>
                </w:rPr>
                <m:t>4</m:t>
              </m:r>
            </m:sub>
          </m:sSub>
          <m:r>
            <w:rPr>
              <w:rFonts w:ascii="Cambria Math" w:hAnsi="Cambria Math"/>
            </w:rPr>
            <m:t xml:space="preserve">*ROE+ </m:t>
          </m:r>
          <m:sSub>
            <m:sSubPr>
              <m:ctrlPr>
                <w:rPr>
                  <w:rFonts w:ascii="Cambria Math" w:hAnsi="Cambria Math"/>
                  <w:i/>
                </w:rPr>
              </m:ctrlPr>
            </m:sSubPr>
            <m:e>
              <m:r>
                <w:rPr>
                  <w:rFonts w:ascii="Cambria Math" w:hAnsi="Cambria Math"/>
                </w:rPr>
                <m:t>α</m:t>
              </m:r>
            </m:e>
            <m:sub>
              <m:r>
                <w:rPr>
                  <w:rFonts w:ascii="Cambria Math" w:hAnsi="Cambria Math"/>
                </w:rPr>
                <m:t>5</m:t>
              </m:r>
            </m:sub>
          </m:sSub>
          <m:r>
            <w:rPr>
              <w:rFonts w:ascii="Cambria Math" w:hAnsi="Cambria Math"/>
            </w:rPr>
            <m:t>*RE+</m:t>
          </m:r>
          <m:sSub>
            <m:sSubPr>
              <m:ctrlPr>
                <w:rPr>
                  <w:rFonts w:ascii="Cambria Math" w:hAnsi="Cambria Math"/>
                  <w:i/>
                </w:rPr>
              </m:ctrlPr>
            </m:sSubPr>
            <m:e>
              <m:r>
                <w:rPr>
                  <w:rFonts w:ascii="Cambria Math" w:hAnsi="Cambria Math"/>
                </w:rPr>
                <m:t>α</m:t>
              </m:r>
            </m:e>
            <m:sub>
              <m:r>
                <w:rPr>
                  <w:rFonts w:ascii="Cambria Math" w:hAnsi="Cambria Math"/>
                </w:rPr>
                <m:t>6</m:t>
              </m:r>
            </m:sub>
          </m:sSub>
          <m:r>
            <w:rPr>
              <w:rFonts w:ascii="Cambria Math" w:hAnsi="Cambria Math"/>
            </w:rPr>
            <m:t xml:space="preserve"> *COVER+ </m:t>
          </m:r>
          <m:sSub>
            <m:sSubPr>
              <m:ctrlPr>
                <w:rPr>
                  <w:rFonts w:ascii="Cambria Math" w:hAnsi="Cambria Math"/>
                  <w:i/>
                </w:rPr>
              </m:ctrlPr>
            </m:sSubPr>
            <m:e>
              <m:r>
                <w:rPr>
                  <w:rFonts w:ascii="Cambria Math" w:hAnsi="Cambria Math"/>
                </w:rPr>
                <m:t>α</m:t>
              </m:r>
            </m:e>
            <m:sub>
              <m:r>
                <w:rPr>
                  <w:rFonts w:ascii="Cambria Math" w:hAnsi="Cambria Math"/>
                </w:rPr>
                <m:t>7 </m:t>
              </m:r>
            </m:sub>
          </m:sSub>
          <m:r>
            <w:rPr>
              <w:rFonts w:ascii="Cambria Math" w:hAnsi="Cambria Math"/>
            </w:rPr>
            <m:t xml:space="preserve">*AGE+ </m:t>
          </m:r>
          <m:sSub>
            <m:sSubPr>
              <m:ctrlPr>
                <w:rPr>
                  <w:rFonts w:ascii="Cambria Math" w:hAnsi="Cambria Math"/>
                  <w:i/>
                </w:rPr>
              </m:ctrlPr>
            </m:sSubPr>
            <m:e>
              <m:r>
                <w:rPr>
                  <w:rFonts w:ascii="Cambria Math" w:hAnsi="Cambria Math"/>
                </w:rPr>
                <m:t>α</m:t>
              </m:r>
            </m:e>
            <m:sub>
              <m:r>
                <w:rPr>
                  <w:rFonts w:ascii="Cambria Math" w:hAnsi="Cambria Math"/>
                </w:rPr>
                <m:t>8</m:t>
              </m:r>
            </m:sub>
          </m:sSub>
          <m:r>
            <w:rPr>
              <w:rFonts w:ascii="Cambria Math" w:hAnsi="Cambria Math"/>
            </w:rPr>
            <m:t>*SIZE+ε</m:t>
          </m:r>
        </m:oMath>
      </m:oMathPara>
    </w:p>
    <w:p w:rsidR="00132D7A" w:rsidRPr="00C27A28" w:rsidRDefault="00132D7A" w:rsidP="00132D7A">
      <w:pPr>
        <w:spacing w:line="360" w:lineRule="auto"/>
        <w:ind w:firstLine="709"/>
        <w:jc w:val="both"/>
      </w:pPr>
      <w:r>
        <w:t>Можно предположить следующее влияние данны</w:t>
      </w:r>
      <w:r w:rsidR="00906F93">
        <w:t>х</w:t>
      </w:r>
      <w:r>
        <w:t xml:space="preserve"> факторов на вероятность </w:t>
      </w:r>
      <w:r w:rsidR="000866D0">
        <w:t>банкротства</w:t>
      </w:r>
      <w:r>
        <w:t xml:space="preserve">: </w:t>
      </w:r>
    </w:p>
    <w:p w:rsidR="00132D7A" w:rsidRDefault="00132D7A" w:rsidP="00081B4C">
      <w:pPr>
        <w:spacing w:line="360" w:lineRule="auto"/>
        <w:ind w:firstLine="709"/>
        <w:jc w:val="both"/>
      </w:pPr>
    </w:p>
    <w:p w:rsidR="00484588" w:rsidRPr="00FE52B8" w:rsidRDefault="00484588" w:rsidP="00484588">
      <w:pPr>
        <w:spacing w:after="120" w:line="360" w:lineRule="auto"/>
        <w:ind w:firstLine="720"/>
        <w:jc w:val="right"/>
        <w:rPr>
          <w:i/>
          <w:sz w:val="22"/>
          <w:szCs w:val="22"/>
        </w:rPr>
      </w:pPr>
      <w:r w:rsidRPr="00FE52B8">
        <w:rPr>
          <w:i/>
          <w:sz w:val="22"/>
          <w:szCs w:val="22"/>
        </w:rPr>
        <w:t xml:space="preserve">Таблица. </w:t>
      </w:r>
      <w:r>
        <w:rPr>
          <w:i/>
          <w:sz w:val="22"/>
          <w:szCs w:val="22"/>
        </w:rPr>
        <w:t>Ожидаемое влияние факторов на вероятность банкротства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3543"/>
        <w:gridCol w:w="3969"/>
      </w:tblGrid>
      <w:tr w:rsidR="00132D7A" w:rsidRPr="00906F93" w:rsidTr="00157D9D">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32D7A" w:rsidRPr="00906F93" w:rsidRDefault="00132D7A" w:rsidP="00BD4C18">
            <w:pPr>
              <w:pStyle w:val="a5"/>
              <w:ind w:left="0"/>
              <w:jc w:val="center"/>
              <w:rPr>
                <w:sz w:val="22"/>
                <w:szCs w:val="22"/>
              </w:rPr>
            </w:pPr>
            <w:r w:rsidRPr="00906F93">
              <w:rPr>
                <w:sz w:val="22"/>
                <w:szCs w:val="22"/>
              </w:rPr>
              <w:t>Название</w:t>
            </w:r>
          </w:p>
        </w:tc>
        <w:tc>
          <w:tcPr>
            <w:tcW w:w="3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32D7A" w:rsidRPr="00906F93" w:rsidRDefault="009A3AC0" w:rsidP="00BD4C18">
            <w:pPr>
              <w:pStyle w:val="a5"/>
              <w:ind w:left="0"/>
              <w:jc w:val="center"/>
              <w:rPr>
                <w:sz w:val="22"/>
                <w:szCs w:val="22"/>
              </w:rPr>
            </w:pPr>
            <w:r>
              <w:rPr>
                <w:sz w:val="22"/>
                <w:szCs w:val="22"/>
              </w:rPr>
              <w:t>Формула расчета</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32D7A" w:rsidRPr="00906F93" w:rsidRDefault="00132D7A" w:rsidP="00132D7A">
            <w:pPr>
              <w:pStyle w:val="a5"/>
              <w:ind w:left="0"/>
              <w:jc w:val="center"/>
              <w:rPr>
                <w:sz w:val="22"/>
                <w:szCs w:val="22"/>
              </w:rPr>
            </w:pPr>
            <w:r w:rsidRPr="00906F93">
              <w:rPr>
                <w:sz w:val="22"/>
                <w:szCs w:val="22"/>
              </w:rPr>
              <w:t>Ожидаемое влияние на вероятность банкротства</w:t>
            </w:r>
          </w:p>
        </w:tc>
      </w:tr>
      <w:tr w:rsidR="00E8488C" w:rsidRPr="00906F93" w:rsidTr="00157D9D">
        <w:tc>
          <w:tcPr>
            <w:tcW w:w="1555"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spacing w:line="360" w:lineRule="auto"/>
              <w:jc w:val="center"/>
              <w:rPr>
                <w:sz w:val="22"/>
                <w:szCs w:val="22"/>
              </w:rPr>
            </w:pPr>
            <w:r w:rsidRPr="00906F93">
              <w:rPr>
                <w:sz w:val="22"/>
                <w:szCs w:val="22"/>
                <w:lang w:val="en-US"/>
              </w:rPr>
              <w:t>DE</w:t>
            </w:r>
          </w:p>
        </w:tc>
        <w:tc>
          <w:tcPr>
            <w:tcW w:w="3543"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pStyle w:val="a5"/>
              <w:ind w:left="0"/>
              <w:rPr>
                <w:sz w:val="22"/>
                <w:szCs w:val="22"/>
              </w:rPr>
            </w:pPr>
            <w:r w:rsidRPr="00906F93">
              <w:rPr>
                <w:sz w:val="22"/>
                <w:szCs w:val="22"/>
              </w:rPr>
              <w:t>отношение заемных средств к собственному капиталу</w:t>
            </w:r>
          </w:p>
        </w:tc>
        <w:tc>
          <w:tcPr>
            <w:tcW w:w="3969" w:type="dxa"/>
            <w:tcBorders>
              <w:top w:val="single" w:sz="4" w:space="0" w:color="auto"/>
              <w:left w:val="single" w:sz="4" w:space="0" w:color="auto"/>
              <w:bottom w:val="single" w:sz="4" w:space="0" w:color="auto"/>
              <w:right w:val="single" w:sz="4" w:space="0" w:color="auto"/>
            </w:tcBorders>
            <w:vAlign w:val="center"/>
          </w:tcPr>
          <w:p w:rsidR="00E8488C" w:rsidRDefault="00E8488C" w:rsidP="00E8488C">
            <w:pPr>
              <w:pStyle w:val="a5"/>
              <w:ind w:left="0"/>
              <w:jc w:val="center"/>
              <w:rPr>
                <w:sz w:val="22"/>
                <w:szCs w:val="22"/>
              </w:rPr>
            </w:pPr>
            <w:r>
              <w:rPr>
                <w:sz w:val="22"/>
                <w:szCs w:val="22"/>
              </w:rPr>
              <w:t xml:space="preserve">Отрицательное </w:t>
            </w:r>
            <w:r w:rsidR="0026530B">
              <w:rPr>
                <w:sz w:val="22"/>
                <w:szCs w:val="22"/>
              </w:rPr>
              <w:t>для низкого значения</w:t>
            </w:r>
          </w:p>
          <w:p w:rsidR="00E8488C" w:rsidRPr="00906F93" w:rsidRDefault="00E8488C" w:rsidP="0026530B">
            <w:pPr>
              <w:pStyle w:val="a5"/>
              <w:ind w:left="0"/>
              <w:jc w:val="center"/>
              <w:rPr>
                <w:sz w:val="22"/>
                <w:szCs w:val="22"/>
              </w:rPr>
            </w:pPr>
            <w:r>
              <w:rPr>
                <w:sz w:val="22"/>
                <w:szCs w:val="22"/>
              </w:rPr>
              <w:t xml:space="preserve">Положительное </w:t>
            </w:r>
            <w:r w:rsidR="0026530B">
              <w:rPr>
                <w:sz w:val="22"/>
                <w:szCs w:val="22"/>
              </w:rPr>
              <w:t>для высокого значения</w:t>
            </w:r>
          </w:p>
        </w:tc>
      </w:tr>
      <w:tr w:rsidR="00E8488C" w:rsidRPr="00906F93" w:rsidTr="00157D9D">
        <w:tc>
          <w:tcPr>
            <w:tcW w:w="1555"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spacing w:line="360" w:lineRule="auto"/>
              <w:jc w:val="center"/>
              <w:rPr>
                <w:sz w:val="22"/>
                <w:szCs w:val="22"/>
              </w:rPr>
            </w:pPr>
            <w:r w:rsidRPr="00906F93">
              <w:rPr>
                <w:sz w:val="22"/>
                <w:szCs w:val="22"/>
                <w:lang w:val="en-US"/>
              </w:rPr>
              <w:t>TURN</w:t>
            </w:r>
          </w:p>
        </w:tc>
        <w:tc>
          <w:tcPr>
            <w:tcW w:w="3543"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pStyle w:val="a5"/>
              <w:ind w:left="0"/>
              <w:rPr>
                <w:sz w:val="22"/>
                <w:szCs w:val="22"/>
              </w:rPr>
            </w:pPr>
            <w:r w:rsidRPr="00906F93">
              <w:rPr>
                <w:sz w:val="22"/>
                <w:szCs w:val="22"/>
              </w:rPr>
              <w:t>отношение выручки к активам</w:t>
            </w:r>
          </w:p>
        </w:tc>
        <w:tc>
          <w:tcPr>
            <w:tcW w:w="3969"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pStyle w:val="a5"/>
              <w:ind w:left="0"/>
              <w:jc w:val="center"/>
              <w:rPr>
                <w:sz w:val="22"/>
                <w:szCs w:val="22"/>
              </w:rPr>
            </w:pPr>
            <w:r w:rsidRPr="00906F93">
              <w:rPr>
                <w:sz w:val="22"/>
                <w:szCs w:val="22"/>
              </w:rPr>
              <w:t xml:space="preserve">Отрицательное </w:t>
            </w:r>
          </w:p>
        </w:tc>
      </w:tr>
      <w:tr w:rsidR="00E8488C" w:rsidRPr="00906F93" w:rsidTr="00157D9D">
        <w:tc>
          <w:tcPr>
            <w:tcW w:w="1555"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spacing w:line="360" w:lineRule="auto"/>
              <w:jc w:val="center"/>
              <w:rPr>
                <w:sz w:val="22"/>
                <w:szCs w:val="22"/>
              </w:rPr>
            </w:pPr>
            <w:r w:rsidRPr="00906F93">
              <w:rPr>
                <w:sz w:val="22"/>
                <w:szCs w:val="22"/>
                <w:lang w:val="en-US"/>
              </w:rPr>
              <w:t>CR</w:t>
            </w:r>
          </w:p>
        </w:tc>
        <w:tc>
          <w:tcPr>
            <w:tcW w:w="3543"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pStyle w:val="a5"/>
              <w:ind w:left="0"/>
              <w:rPr>
                <w:sz w:val="22"/>
                <w:szCs w:val="22"/>
              </w:rPr>
            </w:pPr>
            <w:r w:rsidRPr="00906F93">
              <w:rPr>
                <w:sz w:val="22"/>
                <w:szCs w:val="22"/>
              </w:rPr>
              <w:t>отношение текущих активов к текущим обязательствам</w:t>
            </w:r>
          </w:p>
        </w:tc>
        <w:tc>
          <w:tcPr>
            <w:tcW w:w="3969"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pStyle w:val="a5"/>
              <w:ind w:left="0"/>
              <w:jc w:val="center"/>
              <w:rPr>
                <w:sz w:val="22"/>
                <w:szCs w:val="22"/>
                <w:lang w:val="en-US"/>
              </w:rPr>
            </w:pPr>
            <w:r w:rsidRPr="00906F93">
              <w:rPr>
                <w:sz w:val="22"/>
                <w:szCs w:val="22"/>
              </w:rPr>
              <w:t xml:space="preserve">Отрицательное </w:t>
            </w:r>
          </w:p>
        </w:tc>
      </w:tr>
      <w:tr w:rsidR="00E8488C" w:rsidRPr="00906F93" w:rsidTr="00157D9D">
        <w:tc>
          <w:tcPr>
            <w:tcW w:w="1555"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spacing w:line="360" w:lineRule="auto"/>
              <w:jc w:val="center"/>
              <w:rPr>
                <w:sz w:val="22"/>
                <w:szCs w:val="22"/>
              </w:rPr>
            </w:pPr>
            <w:r w:rsidRPr="00906F93">
              <w:rPr>
                <w:sz w:val="22"/>
                <w:szCs w:val="22"/>
                <w:lang w:val="en-US"/>
              </w:rPr>
              <w:t>ROE</w:t>
            </w:r>
          </w:p>
        </w:tc>
        <w:tc>
          <w:tcPr>
            <w:tcW w:w="3543"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pStyle w:val="a5"/>
              <w:ind w:left="0"/>
              <w:rPr>
                <w:sz w:val="22"/>
                <w:szCs w:val="22"/>
              </w:rPr>
            </w:pPr>
            <w:r w:rsidRPr="00906F93">
              <w:rPr>
                <w:sz w:val="22"/>
                <w:szCs w:val="22"/>
              </w:rPr>
              <w:t>отношение чистой прибыли к собственному капиталу</w:t>
            </w:r>
          </w:p>
        </w:tc>
        <w:tc>
          <w:tcPr>
            <w:tcW w:w="3969"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pStyle w:val="a5"/>
              <w:ind w:left="0"/>
              <w:jc w:val="center"/>
              <w:rPr>
                <w:sz w:val="22"/>
                <w:szCs w:val="22"/>
                <w:lang w:val="en-US"/>
              </w:rPr>
            </w:pPr>
            <w:r w:rsidRPr="00906F93">
              <w:rPr>
                <w:sz w:val="22"/>
                <w:szCs w:val="22"/>
              </w:rPr>
              <w:t>Отрицательное</w:t>
            </w:r>
          </w:p>
        </w:tc>
      </w:tr>
      <w:tr w:rsidR="00E8488C" w:rsidRPr="00906F93" w:rsidTr="00157D9D">
        <w:tc>
          <w:tcPr>
            <w:tcW w:w="1555"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spacing w:line="360" w:lineRule="auto"/>
              <w:jc w:val="center"/>
              <w:rPr>
                <w:sz w:val="22"/>
                <w:szCs w:val="22"/>
              </w:rPr>
            </w:pPr>
            <w:r w:rsidRPr="00906F93">
              <w:rPr>
                <w:sz w:val="22"/>
                <w:szCs w:val="22"/>
                <w:lang w:val="en-US"/>
              </w:rPr>
              <w:t>RE</w:t>
            </w:r>
          </w:p>
        </w:tc>
        <w:tc>
          <w:tcPr>
            <w:tcW w:w="3543" w:type="dxa"/>
            <w:tcBorders>
              <w:top w:val="single" w:sz="4" w:space="0" w:color="auto"/>
              <w:left w:val="single" w:sz="4" w:space="0" w:color="auto"/>
              <w:bottom w:val="single" w:sz="4" w:space="0" w:color="auto"/>
              <w:right w:val="single" w:sz="4" w:space="0" w:color="auto"/>
            </w:tcBorders>
            <w:vAlign w:val="center"/>
          </w:tcPr>
          <w:p w:rsidR="00E8488C" w:rsidRPr="00152817" w:rsidRDefault="00E8488C" w:rsidP="00E8488C">
            <w:pPr>
              <w:pStyle w:val="a5"/>
              <w:ind w:left="0"/>
              <w:rPr>
                <w:sz w:val="22"/>
                <w:szCs w:val="22"/>
              </w:rPr>
            </w:pPr>
            <w:r w:rsidRPr="00906F93">
              <w:rPr>
                <w:sz w:val="22"/>
                <w:szCs w:val="22"/>
              </w:rPr>
              <w:t>отношение нераспределенной прибыли к сумме активов</w:t>
            </w:r>
          </w:p>
        </w:tc>
        <w:tc>
          <w:tcPr>
            <w:tcW w:w="3969"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pStyle w:val="a5"/>
              <w:ind w:left="0"/>
              <w:jc w:val="center"/>
              <w:rPr>
                <w:sz w:val="22"/>
                <w:szCs w:val="22"/>
                <w:lang w:val="en-US"/>
              </w:rPr>
            </w:pPr>
            <w:r w:rsidRPr="00906F93">
              <w:rPr>
                <w:sz w:val="22"/>
                <w:szCs w:val="22"/>
              </w:rPr>
              <w:t>Отрицательное</w:t>
            </w:r>
          </w:p>
        </w:tc>
      </w:tr>
      <w:tr w:rsidR="00E8488C" w:rsidRPr="00906F93" w:rsidTr="00157D9D">
        <w:tc>
          <w:tcPr>
            <w:tcW w:w="1555"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spacing w:line="360" w:lineRule="auto"/>
              <w:jc w:val="center"/>
              <w:rPr>
                <w:sz w:val="22"/>
                <w:szCs w:val="22"/>
              </w:rPr>
            </w:pPr>
            <w:r w:rsidRPr="00906F93">
              <w:rPr>
                <w:sz w:val="22"/>
                <w:szCs w:val="22"/>
                <w:lang w:val="en-US"/>
              </w:rPr>
              <w:t>COVER</w:t>
            </w:r>
          </w:p>
        </w:tc>
        <w:tc>
          <w:tcPr>
            <w:tcW w:w="3543" w:type="dxa"/>
            <w:tcBorders>
              <w:top w:val="single" w:sz="4" w:space="0" w:color="auto"/>
              <w:left w:val="single" w:sz="4" w:space="0" w:color="auto"/>
              <w:bottom w:val="single" w:sz="4" w:space="0" w:color="auto"/>
              <w:right w:val="single" w:sz="4" w:space="0" w:color="auto"/>
            </w:tcBorders>
            <w:vAlign w:val="center"/>
          </w:tcPr>
          <w:p w:rsidR="00E8488C" w:rsidRPr="00152817" w:rsidRDefault="00E8488C" w:rsidP="001F0D46">
            <w:pPr>
              <w:pStyle w:val="a5"/>
              <w:ind w:left="0"/>
              <w:rPr>
                <w:sz w:val="22"/>
                <w:szCs w:val="22"/>
              </w:rPr>
            </w:pPr>
            <w:r w:rsidRPr="00906F93">
              <w:rPr>
                <w:sz w:val="22"/>
                <w:szCs w:val="22"/>
              </w:rPr>
              <w:t xml:space="preserve">отношение прибыли до </w:t>
            </w:r>
            <w:r w:rsidR="001F0D46">
              <w:rPr>
                <w:sz w:val="22"/>
                <w:szCs w:val="22"/>
              </w:rPr>
              <w:t xml:space="preserve">налогообложения </w:t>
            </w:r>
            <w:r w:rsidRPr="00906F93">
              <w:rPr>
                <w:sz w:val="22"/>
                <w:szCs w:val="22"/>
              </w:rPr>
              <w:t>к краткосрочным обязательствам</w:t>
            </w:r>
          </w:p>
        </w:tc>
        <w:tc>
          <w:tcPr>
            <w:tcW w:w="3969"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pStyle w:val="a5"/>
              <w:ind w:left="0"/>
              <w:jc w:val="center"/>
              <w:rPr>
                <w:sz w:val="22"/>
                <w:szCs w:val="22"/>
                <w:lang w:val="en-US"/>
              </w:rPr>
            </w:pPr>
            <w:r w:rsidRPr="00906F93">
              <w:rPr>
                <w:sz w:val="22"/>
                <w:szCs w:val="22"/>
              </w:rPr>
              <w:t>Отрицательное</w:t>
            </w:r>
          </w:p>
        </w:tc>
      </w:tr>
      <w:tr w:rsidR="00E8488C" w:rsidRPr="00906F93" w:rsidTr="00157D9D">
        <w:tc>
          <w:tcPr>
            <w:tcW w:w="1555"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spacing w:line="360" w:lineRule="auto"/>
              <w:jc w:val="center"/>
              <w:rPr>
                <w:sz w:val="22"/>
                <w:szCs w:val="22"/>
              </w:rPr>
            </w:pPr>
            <w:r w:rsidRPr="00906F93">
              <w:rPr>
                <w:sz w:val="22"/>
                <w:szCs w:val="22"/>
                <w:lang w:val="en-US"/>
              </w:rPr>
              <w:t>AGE</w:t>
            </w:r>
          </w:p>
        </w:tc>
        <w:tc>
          <w:tcPr>
            <w:tcW w:w="3543"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pStyle w:val="a5"/>
              <w:ind w:left="0"/>
              <w:rPr>
                <w:sz w:val="22"/>
                <w:szCs w:val="22"/>
                <w:lang w:val="en-US"/>
              </w:rPr>
            </w:pPr>
            <w:r w:rsidRPr="00906F93">
              <w:rPr>
                <w:sz w:val="22"/>
                <w:szCs w:val="22"/>
              </w:rPr>
              <w:t>возраст фирмы</w:t>
            </w:r>
          </w:p>
        </w:tc>
        <w:tc>
          <w:tcPr>
            <w:tcW w:w="3969"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pStyle w:val="a5"/>
              <w:ind w:left="0"/>
              <w:jc w:val="center"/>
              <w:rPr>
                <w:sz w:val="22"/>
                <w:szCs w:val="22"/>
                <w:lang w:val="en-US"/>
              </w:rPr>
            </w:pPr>
            <w:r w:rsidRPr="00906F93">
              <w:rPr>
                <w:sz w:val="22"/>
                <w:szCs w:val="22"/>
              </w:rPr>
              <w:t>Отрицательное</w:t>
            </w:r>
          </w:p>
        </w:tc>
      </w:tr>
      <w:tr w:rsidR="00E8488C" w:rsidRPr="00906F93" w:rsidTr="00157D9D">
        <w:tc>
          <w:tcPr>
            <w:tcW w:w="1555"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spacing w:line="360" w:lineRule="auto"/>
              <w:jc w:val="center"/>
              <w:rPr>
                <w:sz w:val="22"/>
                <w:szCs w:val="22"/>
              </w:rPr>
            </w:pPr>
            <w:r w:rsidRPr="00906F93">
              <w:rPr>
                <w:sz w:val="22"/>
                <w:szCs w:val="22"/>
                <w:lang w:val="en-US"/>
              </w:rPr>
              <w:t>SIZE</w:t>
            </w:r>
          </w:p>
        </w:tc>
        <w:tc>
          <w:tcPr>
            <w:tcW w:w="3543"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pStyle w:val="a5"/>
              <w:ind w:left="0"/>
              <w:rPr>
                <w:sz w:val="22"/>
                <w:szCs w:val="22"/>
                <w:lang w:val="en-US"/>
              </w:rPr>
            </w:pPr>
            <w:r w:rsidRPr="00906F93">
              <w:rPr>
                <w:sz w:val="22"/>
                <w:szCs w:val="22"/>
              </w:rPr>
              <w:t>натуральный логарифм выручки</w:t>
            </w:r>
          </w:p>
        </w:tc>
        <w:tc>
          <w:tcPr>
            <w:tcW w:w="3969" w:type="dxa"/>
            <w:tcBorders>
              <w:top w:val="single" w:sz="4" w:space="0" w:color="auto"/>
              <w:left w:val="single" w:sz="4" w:space="0" w:color="auto"/>
              <w:bottom w:val="single" w:sz="4" w:space="0" w:color="auto"/>
              <w:right w:val="single" w:sz="4" w:space="0" w:color="auto"/>
            </w:tcBorders>
            <w:vAlign w:val="center"/>
          </w:tcPr>
          <w:p w:rsidR="00E8488C" w:rsidRPr="00906F93" w:rsidRDefault="00E8488C" w:rsidP="00E8488C">
            <w:pPr>
              <w:pStyle w:val="a5"/>
              <w:ind w:left="0"/>
              <w:jc w:val="center"/>
              <w:rPr>
                <w:sz w:val="22"/>
                <w:szCs w:val="22"/>
                <w:lang w:val="en-US"/>
              </w:rPr>
            </w:pPr>
            <w:r w:rsidRPr="00906F93">
              <w:rPr>
                <w:sz w:val="22"/>
                <w:szCs w:val="22"/>
              </w:rPr>
              <w:t>Отрицательное</w:t>
            </w:r>
          </w:p>
        </w:tc>
      </w:tr>
    </w:tbl>
    <w:p w:rsidR="00DC6BDD" w:rsidRPr="00DC6BDD" w:rsidRDefault="00DC6BDD" w:rsidP="00081B4C">
      <w:pPr>
        <w:spacing w:line="360" w:lineRule="auto"/>
        <w:ind w:firstLine="709"/>
        <w:jc w:val="both"/>
        <w:rPr>
          <w:b/>
        </w:rPr>
      </w:pPr>
    </w:p>
    <w:p w:rsidR="003F7B50" w:rsidRDefault="000D7F6A" w:rsidP="003F7B50">
      <w:pPr>
        <w:spacing w:line="360" w:lineRule="auto"/>
        <w:ind w:firstLine="709"/>
        <w:jc w:val="both"/>
      </w:pPr>
      <w:r>
        <w:lastRenderedPageBreak/>
        <w:t xml:space="preserve">В выборку вошли российские компании, относящиеся к сельскохозяйственной отрасли согласно классификатору ОКВЭД. </w:t>
      </w:r>
      <w:r w:rsidR="00446487">
        <w:t xml:space="preserve">Данные были получены из базы данных СПАРК-Интерфакс по состоянию на 31 декабря 2016 года. Компании в выборке включают в себя как действующие компании, так и компании в состоянии банкротства. </w:t>
      </w:r>
    </w:p>
    <w:p w:rsidR="00784B1C" w:rsidRDefault="00352C4B" w:rsidP="003F7B50">
      <w:pPr>
        <w:spacing w:line="360" w:lineRule="auto"/>
        <w:ind w:firstLine="709"/>
        <w:jc w:val="both"/>
      </w:pPr>
      <w:r>
        <w:t>В</w:t>
      </w:r>
      <w:r w:rsidRPr="00776E94">
        <w:t xml:space="preserve"> первоначальной выборке </w:t>
      </w:r>
      <w:r>
        <w:t>с</w:t>
      </w:r>
      <w:r w:rsidR="003F7B50">
        <w:t>овокупное ч</w:t>
      </w:r>
      <w:r w:rsidR="00784B1C" w:rsidRPr="00776E94">
        <w:t>исло компаний</w:t>
      </w:r>
      <w:r>
        <w:t>, предоставивших данные</w:t>
      </w:r>
      <w:r w:rsidR="00784B1C" w:rsidRPr="00776E94">
        <w:t xml:space="preserve"> составляло </w:t>
      </w:r>
      <w:r w:rsidR="00AF0472">
        <w:t>21</w:t>
      </w:r>
      <w:r>
        <w:t xml:space="preserve">,966 </w:t>
      </w:r>
      <w:r w:rsidR="00446487">
        <w:t>предприятия</w:t>
      </w:r>
      <w:r>
        <w:t xml:space="preserve">. </w:t>
      </w:r>
      <w:r w:rsidR="00784B1C">
        <w:t xml:space="preserve">Затем были исключены компании, предоставившие некорректные </w:t>
      </w:r>
      <w:r w:rsidR="00F33080">
        <w:t xml:space="preserve">или неполные </w:t>
      </w:r>
      <w:r w:rsidR="00784B1C">
        <w:t xml:space="preserve">данные, что сократило выборку до </w:t>
      </w:r>
      <w:r w:rsidR="00EB5AB4">
        <w:t>1</w:t>
      </w:r>
      <w:r w:rsidR="00AF0472">
        <w:t>6</w:t>
      </w:r>
      <w:r>
        <w:t>,</w:t>
      </w:r>
      <w:r w:rsidR="00AF0472">
        <w:t>995</w:t>
      </w:r>
      <w:r w:rsidRPr="00352C4B">
        <w:t xml:space="preserve"> </w:t>
      </w:r>
      <w:r w:rsidR="00784B1C">
        <w:t xml:space="preserve">компаний. Наконец, из полученной выборки были исключены компании с </w:t>
      </w:r>
      <w:r w:rsidR="00784B1C" w:rsidRPr="00776E94">
        <w:t>экстремальны</w:t>
      </w:r>
      <w:r w:rsidR="00784B1C">
        <w:t>ми</w:t>
      </w:r>
      <w:r w:rsidR="00784B1C" w:rsidRPr="00776E94">
        <w:t xml:space="preserve"> значени</w:t>
      </w:r>
      <w:r w:rsidR="00784B1C">
        <w:t>ями</w:t>
      </w:r>
      <w:r w:rsidR="00784B1C" w:rsidRPr="00776E94">
        <w:t xml:space="preserve"> </w:t>
      </w:r>
      <w:r w:rsidR="00784B1C">
        <w:t>в количестве</w:t>
      </w:r>
      <w:r w:rsidR="001F0D46">
        <w:t xml:space="preserve"> </w:t>
      </w:r>
      <w:r w:rsidR="00EB5AB4">
        <w:t>354</w:t>
      </w:r>
      <w:r w:rsidR="00784B1C">
        <w:t xml:space="preserve">, или 2% выборки. </w:t>
      </w:r>
      <w:r w:rsidR="00784B1C" w:rsidRPr="00776E94">
        <w:t xml:space="preserve">Таким образом, </w:t>
      </w:r>
      <w:r w:rsidR="00784B1C">
        <w:t xml:space="preserve">в итоговую выборку </w:t>
      </w:r>
      <w:r w:rsidR="00784B1C" w:rsidRPr="00776E94">
        <w:t xml:space="preserve">для проведения исследования </w:t>
      </w:r>
      <w:r w:rsidR="00784B1C">
        <w:t>вошли</w:t>
      </w:r>
      <w:r w:rsidR="00784B1C" w:rsidRPr="00776E94">
        <w:t xml:space="preserve"> </w:t>
      </w:r>
      <w:r w:rsidR="00AF0472">
        <w:t>16</w:t>
      </w:r>
      <w:r w:rsidR="001F0D46">
        <w:t>,</w:t>
      </w:r>
      <w:r w:rsidR="00AF0472">
        <w:t>650</w:t>
      </w:r>
      <w:r w:rsidR="001F0D46">
        <w:t xml:space="preserve"> </w:t>
      </w:r>
      <w:r w:rsidR="00784B1C">
        <w:t>компаний</w:t>
      </w:r>
      <w:r w:rsidR="00AF0472">
        <w:t xml:space="preserve">, из которых </w:t>
      </w:r>
      <w:r w:rsidR="004E0E63">
        <w:t>198</w:t>
      </w:r>
      <w:r w:rsidR="009B331B">
        <w:t xml:space="preserve"> предприятий находятся в</w:t>
      </w:r>
      <w:r w:rsidR="00AF0472">
        <w:t xml:space="preserve"> состоянии банкрот</w:t>
      </w:r>
      <w:r w:rsidR="009B331B">
        <w:t xml:space="preserve">ства. </w:t>
      </w:r>
    </w:p>
    <w:p w:rsidR="00F33080" w:rsidRDefault="00F33080" w:rsidP="003F7B50">
      <w:pPr>
        <w:spacing w:line="360" w:lineRule="auto"/>
        <w:ind w:firstLine="709"/>
        <w:jc w:val="both"/>
      </w:pPr>
      <w:r>
        <w:t xml:space="preserve">Данные компании характеризуются следующими средними значениями: </w:t>
      </w:r>
    </w:p>
    <w:p w:rsidR="00484588" w:rsidRPr="001F0D46" w:rsidRDefault="00484588" w:rsidP="003F7B50">
      <w:pPr>
        <w:spacing w:line="360" w:lineRule="auto"/>
        <w:ind w:firstLine="709"/>
        <w:jc w:val="both"/>
      </w:pPr>
    </w:p>
    <w:p w:rsidR="00484588" w:rsidRPr="00FE52B8" w:rsidRDefault="00484588" w:rsidP="00484588">
      <w:pPr>
        <w:spacing w:after="120" w:line="360" w:lineRule="auto"/>
        <w:ind w:firstLine="720"/>
        <w:jc w:val="right"/>
        <w:rPr>
          <w:i/>
          <w:sz w:val="22"/>
          <w:szCs w:val="22"/>
        </w:rPr>
      </w:pPr>
      <w:r w:rsidRPr="00FE52B8">
        <w:rPr>
          <w:i/>
          <w:sz w:val="22"/>
          <w:szCs w:val="22"/>
        </w:rPr>
        <w:t xml:space="preserve">Таблица. </w:t>
      </w:r>
      <w:r>
        <w:rPr>
          <w:i/>
          <w:sz w:val="22"/>
          <w:szCs w:val="22"/>
        </w:rPr>
        <w:t>Медианные значения показателей в выборке</w:t>
      </w:r>
    </w:p>
    <w:tbl>
      <w:tblPr>
        <w:tblStyle w:val="aa"/>
        <w:tblW w:w="5000" w:type="pct"/>
        <w:tblLook w:val="04A0" w:firstRow="1" w:lastRow="0" w:firstColumn="1" w:lastColumn="0" w:noHBand="0" w:noVBand="1"/>
      </w:tblPr>
      <w:tblGrid>
        <w:gridCol w:w="3963"/>
        <w:gridCol w:w="1744"/>
        <w:gridCol w:w="1933"/>
        <w:gridCol w:w="1705"/>
      </w:tblGrid>
      <w:tr w:rsidR="00784B1C" w:rsidRPr="004E0E63" w:rsidTr="004E0E63">
        <w:tc>
          <w:tcPr>
            <w:tcW w:w="2120" w:type="pct"/>
            <w:tcBorders>
              <w:bottom w:val="single" w:sz="12" w:space="0" w:color="auto"/>
              <w:right w:val="single" w:sz="12" w:space="0" w:color="auto"/>
            </w:tcBorders>
          </w:tcPr>
          <w:p w:rsidR="00784B1C" w:rsidRPr="004E0E63" w:rsidRDefault="00784B1C" w:rsidP="00BD4C18">
            <w:pPr>
              <w:spacing w:after="120" w:line="360" w:lineRule="auto"/>
              <w:jc w:val="both"/>
              <w:rPr>
                <w:sz w:val="22"/>
                <w:szCs w:val="22"/>
              </w:rPr>
            </w:pPr>
            <w:r w:rsidRPr="004E0E63">
              <w:rPr>
                <w:sz w:val="22"/>
                <w:szCs w:val="22"/>
              </w:rPr>
              <w:t>Показатель</w:t>
            </w:r>
          </w:p>
        </w:tc>
        <w:tc>
          <w:tcPr>
            <w:tcW w:w="933" w:type="pct"/>
            <w:tcBorders>
              <w:bottom w:val="single" w:sz="12" w:space="0" w:color="auto"/>
              <w:right w:val="single" w:sz="12" w:space="0" w:color="auto"/>
            </w:tcBorders>
          </w:tcPr>
          <w:p w:rsidR="00784B1C" w:rsidRPr="004E0E63" w:rsidRDefault="00784B1C" w:rsidP="00BD4C18">
            <w:pPr>
              <w:spacing w:after="120" w:line="360" w:lineRule="auto"/>
              <w:jc w:val="center"/>
              <w:rPr>
                <w:sz w:val="22"/>
                <w:szCs w:val="22"/>
              </w:rPr>
            </w:pPr>
            <w:r w:rsidRPr="004E0E63">
              <w:rPr>
                <w:sz w:val="22"/>
                <w:szCs w:val="22"/>
              </w:rPr>
              <w:t xml:space="preserve">Обозначение </w:t>
            </w:r>
          </w:p>
        </w:tc>
        <w:tc>
          <w:tcPr>
            <w:tcW w:w="1034" w:type="pct"/>
            <w:tcBorders>
              <w:left w:val="single" w:sz="12" w:space="0" w:color="auto"/>
              <w:bottom w:val="single" w:sz="12" w:space="0" w:color="auto"/>
            </w:tcBorders>
          </w:tcPr>
          <w:p w:rsidR="00784B1C" w:rsidRPr="004E0E63" w:rsidRDefault="00784B1C" w:rsidP="00E41048">
            <w:pPr>
              <w:spacing w:after="120" w:line="360" w:lineRule="auto"/>
              <w:jc w:val="center"/>
              <w:rPr>
                <w:sz w:val="22"/>
                <w:szCs w:val="22"/>
              </w:rPr>
            </w:pPr>
            <w:r w:rsidRPr="004E0E63">
              <w:rPr>
                <w:sz w:val="22"/>
                <w:szCs w:val="22"/>
              </w:rPr>
              <w:t>«</w:t>
            </w:r>
            <w:r w:rsidR="00F33080" w:rsidRPr="004E0E63">
              <w:rPr>
                <w:sz w:val="22"/>
                <w:szCs w:val="22"/>
              </w:rPr>
              <w:t>банкротство</w:t>
            </w:r>
            <w:r w:rsidRPr="004E0E63">
              <w:rPr>
                <w:sz w:val="22"/>
                <w:szCs w:val="22"/>
              </w:rPr>
              <w:t>»</w:t>
            </w:r>
          </w:p>
        </w:tc>
        <w:tc>
          <w:tcPr>
            <w:tcW w:w="912" w:type="pct"/>
            <w:tcBorders>
              <w:bottom w:val="single" w:sz="12" w:space="0" w:color="auto"/>
            </w:tcBorders>
          </w:tcPr>
          <w:p w:rsidR="00784B1C" w:rsidRPr="004E0E63" w:rsidRDefault="00784B1C" w:rsidP="00E41048">
            <w:pPr>
              <w:spacing w:after="120" w:line="360" w:lineRule="auto"/>
              <w:jc w:val="center"/>
              <w:rPr>
                <w:sz w:val="22"/>
                <w:szCs w:val="22"/>
              </w:rPr>
            </w:pPr>
            <w:r w:rsidRPr="004E0E63">
              <w:rPr>
                <w:sz w:val="22"/>
                <w:szCs w:val="22"/>
              </w:rPr>
              <w:t>«</w:t>
            </w:r>
            <w:r w:rsidR="00E41048" w:rsidRPr="004E0E63">
              <w:rPr>
                <w:sz w:val="22"/>
                <w:szCs w:val="22"/>
              </w:rPr>
              <w:t>устойчивость</w:t>
            </w:r>
            <w:r w:rsidRPr="004E0E63">
              <w:rPr>
                <w:sz w:val="22"/>
                <w:szCs w:val="22"/>
              </w:rPr>
              <w:t>»</w:t>
            </w:r>
          </w:p>
        </w:tc>
      </w:tr>
      <w:tr w:rsidR="004E0E63" w:rsidRPr="004E0E63" w:rsidTr="004E0E63">
        <w:tc>
          <w:tcPr>
            <w:tcW w:w="2120" w:type="pct"/>
            <w:tcBorders>
              <w:top w:val="single" w:sz="12" w:space="0" w:color="auto"/>
              <w:right w:val="single" w:sz="12" w:space="0" w:color="auto"/>
            </w:tcBorders>
            <w:vAlign w:val="center"/>
          </w:tcPr>
          <w:p w:rsidR="004E0E63" w:rsidRPr="004E0E63" w:rsidRDefault="004E0E63" w:rsidP="004E0E63">
            <w:pPr>
              <w:pStyle w:val="a5"/>
              <w:ind w:left="0"/>
              <w:rPr>
                <w:sz w:val="22"/>
                <w:szCs w:val="22"/>
              </w:rPr>
            </w:pPr>
            <w:r w:rsidRPr="004E0E63">
              <w:rPr>
                <w:sz w:val="22"/>
                <w:szCs w:val="22"/>
              </w:rPr>
              <w:t xml:space="preserve">Финансовый </w:t>
            </w:r>
            <w:proofErr w:type="spellStart"/>
            <w:r w:rsidRPr="004E0E63">
              <w:rPr>
                <w:sz w:val="22"/>
                <w:szCs w:val="22"/>
              </w:rPr>
              <w:t>леверидж</w:t>
            </w:r>
            <w:proofErr w:type="spellEnd"/>
          </w:p>
        </w:tc>
        <w:tc>
          <w:tcPr>
            <w:tcW w:w="933" w:type="pct"/>
            <w:tcBorders>
              <w:top w:val="single" w:sz="12" w:space="0" w:color="auto"/>
              <w:right w:val="single" w:sz="12" w:space="0" w:color="auto"/>
            </w:tcBorders>
            <w:vAlign w:val="center"/>
          </w:tcPr>
          <w:p w:rsidR="004E0E63" w:rsidRPr="004E0E63" w:rsidRDefault="004E0E63" w:rsidP="004E0E63">
            <w:pPr>
              <w:spacing w:line="360" w:lineRule="auto"/>
              <w:jc w:val="center"/>
              <w:rPr>
                <w:sz w:val="22"/>
                <w:szCs w:val="22"/>
              </w:rPr>
            </w:pPr>
            <w:r w:rsidRPr="004E0E63">
              <w:rPr>
                <w:sz w:val="22"/>
                <w:szCs w:val="22"/>
                <w:lang w:val="en-US"/>
              </w:rPr>
              <w:t>DE</w:t>
            </w:r>
          </w:p>
        </w:tc>
        <w:tc>
          <w:tcPr>
            <w:tcW w:w="1034" w:type="pct"/>
            <w:tcBorders>
              <w:top w:val="single" w:sz="12" w:space="0" w:color="auto"/>
              <w:left w:val="single" w:sz="12" w:space="0" w:color="auto"/>
            </w:tcBorders>
            <w:vAlign w:val="center"/>
          </w:tcPr>
          <w:p w:rsidR="004E0E63" w:rsidRPr="004E0E63" w:rsidRDefault="004E0E63" w:rsidP="004E0E63">
            <w:pPr>
              <w:jc w:val="center"/>
              <w:rPr>
                <w:sz w:val="22"/>
                <w:szCs w:val="22"/>
              </w:rPr>
            </w:pPr>
            <w:r w:rsidRPr="004E0E63">
              <w:rPr>
                <w:sz w:val="22"/>
                <w:szCs w:val="22"/>
              </w:rPr>
              <w:t>0,182085776</w:t>
            </w:r>
          </w:p>
        </w:tc>
        <w:tc>
          <w:tcPr>
            <w:tcW w:w="912" w:type="pct"/>
            <w:tcBorders>
              <w:top w:val="single" w:sz="12" w:space="0" w:color="auto"/>
            </w:tcBorders>
            <w:vAlign w:val="center"/>
          </w:tcPr>
          <w:p w:rsidR="004E0E63" w:rsidRPr="004E0E63" w:rsidRDefault="004E0E63" w:rsidP="004E0E63">
            <w:pPr>
              <w:jc w:val="center"/>
              <w:rPr>
                <w:sz w:val="22"/>
                <w:szCs w:val="22"/>
              </w:rPr>
            </w:pPr>
            <w:r w:rsidRPr="004E0E63">
              <w:rPr>
                <w:sz w:val="22"/>
                <w:szCs w:val="22"/>
              </w:rPr>
              <w:t>0,052420075</w:t>
            </w:r>
          </w:p>
        </w:tc>
      </w:tr>
      <w:tr w:rsidR="004E0E63" w:rsidRPr="004E0E63" w:rsidTr="004E0E63">
        <w:tc>
          <w:tcPr>
            <w:tcW w:w="2120" w:type="pct"/>
            <w:tcBorders>
              <w:right w:val="single" w:sz="12" w:space="0" w:color="auto"/>
            </w:tcBorders>
            <w:vAlign w:val="center"/>
          </w:tcPr>
          <w:p w:rsidR="004E0E63" w:rsidRPr="004E0E63" w:rsidRDefault="004E0E63" w:rsidP="004E0E63">
            <w:pPr>
              <w:pStyle w:val="a5"/>
              <w:ind w:left="0"/>
              <w:rPr>
                <w:sz w:val="22"/>
                <w:szCs w:val="22"/>
              </w:rPr>
            </w:pPr>
            <w:r w:rsidRPr="004E0E63">
              <w:rPr>
                <w:sz w:val="22"/>
                <w:szCs w:val="22"/>
              </w:rPr>
              <w:t>Оборачиваемость активов</w:t>
            </w:r>
          </w:p>
        </w:tc>
        <w:tc>
          <w:tcPr>
            <w:tcW w:w="933" w:type="pct"/>
            <w:tcBorders>
              <w:right w:val="single" w:sz="12" w:space="0" w:color="auto"/>
            </w:tcBorders>
            <w:vAlign w:val="center"/>
          </w:tcPr>
          <w:p w:rsidR="004E0E63" w:rsidRPr="004E0E63" w:rsidRDefault="004E0E63" w:rsidP="004E0E63">
            <w:pPr>
              <w:spacing w:line="360" w:lineRule="auto"/>
              <w:jc w:val="center"/>
              <w:rPr>
                <w:sz w:val="22"/>
                <w:szCs w:val="22"/>
              </w:rPr>
            </w:pPr>
            <w:r w:rsidRPr="004E0E63">
              <w:rPr>
                <w:sz w:val="22"/>
                <w:szCs w:val="22"/>
                <w:lang w:val="en-US"/>
              </w:rPr>
              <w:t>TURN</w:t>
            </w:r>
          </w:p>
        </w:tc>
        <w:tc>
          <w:tcPr>
            <w:tcW w:w="1034" w:type="pct"/>
            <w:tcBorders>
              <w:left w:val="single" w:sz="12" w:space="0" w:color="auto"/>
            </w:tcBorders>
            <w:vAlign w:val="center"/>
          </w:tcPr>
          <w:p w:rsidR="004E0E63" w:rsidRPr="004E0E63" w:rsidRDefault="004E0E63" w:rsidP="004E0E63">
            <w:pPr>
              <w:jc w:val="center"/>
              <w:rPr>
                <w:sz w:val="22"/>
                <w:szCs w:val="22"/>
              </w:rPr>
            </w:pPr>
            <w:r w:rsidRPr="004E0E63">
              <w:rPr>
                <w:sz w:val="22"/>
                <w:szCs w:val="22"/>
              </w:rPr>
              <w:t>0,322435256</w:t>
            </w:r>
          </w:p>
        </w:tc>
        <w:tc>
          <w:tcPr>
            <w:tcW w:w="912" w:type="pct"/>
            <w:vAlign w:val="center"/>
          </w:tcPr>
          <w:p w:rsidR="004E0E63" w:rsidRPr="004E0E63" w:rsidRDefault="004E0E63" w:rsidP="004E0E63">
            <w:pPr>
              <w:jc w:val="center"/>
              <w:rPr>
                <w:sz w:val="22"/>
                <w:szCs w:val="22"/>
              </w:rPr>
            </w:pPr>
            <w:r w:rsidRPr="004E0E63">
              <w:rPr>
                <w:sz w:val="22"/>
                <w:szCs w:val="22"/>
              </w:rPr>
              <w:t>0,552338942</w:t>
            </w:r>
          </w:p>
        </w:tc>
      </w:tr>
      <w:tr w:rsidR="004E0E63" w:rsidRPr="004E0E63" w:rsidTr="004E0E63">
        <w:tc>
          <w:tcPr>
            <w:tcW w:w="2120" w:type="pct"/>
            <w:tcBorders>
              <w:right w:val="single" w:sz="12" w:space="0" w:color="auto"/>
            </w:tcBorders>
            <w:vAlign w:val="center"/>
          </w:tcPr>
          <w:p w:rsidR="004E0E63" w:rsidRPr="004E0E63" w:rsidRDefault="004E0E63" w:rsidP="004E0E63">
            <w:pPr>
              <w:pStyle w:val="a5"/>
              <w:ind w:left="0"/>
              <w:rPr>
                <w:sz w:val="22"/>
                <w:szCs w:val="22"/>
              </w:rPr>
            </w:pPr>
            <w:r w:rsidRPr="004E0E63">
              <w:rPr>
                <w:sz w:val="22"/>
                <w:szCs w:val="22"/>
              </w:rPr>
              <w:t>Коэффициент текущей ликвидности</w:t>
            </w:r>
          </w:p>
        </w:tc>
        <w:tc>
          <w:tcPr>
            <w:tcW w:w="933" w:type="pct"/>
            <w:tcBorders>
              <w:right w:val="single" w:sz="12" w:space="0" w:color="auto"/>
            </w:tcBorders>
            <w:vAlign w:val="center"/>
          </w:tcPr>
          <w:p w:rsidR="004E0E63" w:rsidRPr="004E0E63" w:rsidRDefault="004E0E63" w:rsidP="004E0E63">
            <w:pPr>
              <w:spacing w:line="360" w:lineRule="auto"/>
              <w:jc w:val="center"/>
              <w:rPr>
                <w:sz w:val="22"/>
                <w:szCs w:val="22"/>
              </w:rPr>
            </w:pPr>
            <w:r w:rsidRPr="004E0E63">
              <w:rPr>
                <w:sz w:val="22"/>
                <w:szCs w:val="22"/>
                <w:lang w:val="en-US"/>
              </w:rPr>
              <w:t>CR</w:t>
            </w:r>
          </w:p>
        </w:tc>
        <w:tc>
          <w:tcPr>
            <w:tcW w:w="1034" w:type="pct"/>
            <w:tcBorders>
              <w:left w:val="single" w:sz="12" w:space="0" w:color="auto"/>
            </w:tcBorders>
            <w:vAlign w:val="center"/>
          </w:tcPr>
          <w:p w:rsidR="004E0E63" w:rsidRPr="004E0E63" w:rsidRDefault="004E0E63" w:rsidP="004E0E63">
            <w:pPr>
              <w:jc w:val="center"/>
              <w:rPr>
                <w:sz w:val="22"/>
                <w:szCs w:val="22"/>
              </w:rPr>
            </w:pPr>
            <w:r w:rsidRPr="004E0E63">
              <w:rPr>
                <w:sz w:val="22"/>
                <w:szCs w:val="22"/>
              </w:rPr>
              <w:t>0,96503756</w:t>
            </w:r>
          </w:p>
        </w:tc>
        <w:tc>
          <w:tcPr>
            <w:tcW w:w="912" w:type="pct"/>
            <w:vAlign w:val="center"/>
          </w:tcPr>
          <w:p w:rsidR="004E0E63" w:rsidRPr="004E0E63" w:rsidRDefault="004E0E63" w:rsidP="004E0E63">
            <w:pPr>
              <w:jc w:val="center"/>
              <w:rPr>
                <w:sz w:val="22"/>
                <w:szCs w:val="22"/>
              </w:rPr>
            </w:pPr>
            <w:r w:rsidRPr="004E0E63">
              <w:rPr>
                <w:sz w:val="22"/>
                <w:szCs w:val="22"/>
              </w:rPr>
              <w:t>2,48</w:t>
            </w:r>
          </w:p>
        </w:tc>
      </w:tr>
      <w:tr w:rsidR="004E0E63" w:rsidRPr="004E0E63" w:rsidTr="004E0E63">
        <w:tc>
          <w:tcPr>
            <w:tcW w:w="2120" w:type="pct"/>
            <w:tcBorders>
              <w:right w:val="single" w:sz="12" w:space="0" w:color="auto"/>
            </w:tcBorders>
            <w:vAlign w:val="center"/>
          </w:tcPr>
          <w:p w:rsidR="004E0E63" w:rsidRPr="004E0E63" w:rsidRDefault="004E0E63" w:rsidP="004E0E63">
            <w:pPr>
              <w:pStyle w:val="a5"/>
              <w:ind w:left="0"/>
              <w:rPr>
                <w:sz w:val="22"/>
                <w:szCs w:val="22"/>
              </w:rPr>
            </w:pPr>
            <w:r w:rsidRPr="004E0E63">
              <w:rPr>
                <w:sz w:val="22"/>
                <w:szCs w:val="22"/>
              </w:rPr>
              <w:t>Рентабельность собственного капитала</w:t>
            </w:r>
          </w:p>
        </w:tc>
        <w:tc>
          <w:tcPr>
            <w:tcW w:w="933" w:type="pct"/>
            <w:tcBorders>
              <w:right w:val="single" w:sz="12" w:space="0" w:color="auto"/>
            </w:tcBorders>
            <w:vAlign w:val="center"/>
          </w:tcPr>
          <w:p w:rsidR="004E0E63" w:rsidRPr="004E0E63" w:rsidRDefault="004E0E63" w:rsidP="004E0E63">
            <w:pPr>
              <w:spacing w:line="360" w:lineRule="auto"/>
              <w:jc w:val="center"/>
              <w:rPr>
                <w:sz w:val="22"/>
                <w:szCs w:val="22"/>
              </w:rPr>
            </w:pPr>
            <w:r w:rsidRPr="004E0E63">
              <w:rPr>
                <w:sz w:val="22"/>
                <w:szCs w:val="22"/>
                <w:lang w:val="en-US"/>
              </w:rPr>
              <w:t>ROE</w:t>
            </w:r>
          </w:p>
        </w:tc>
        <w:tc>
          <w:tcPr>
            <w:tcW w:w="1034" w:type="pct"/>
            <w:tcBorders>
              <w:left w:val="single" w:sz="12" w:space="0" w:color="auto"/>
            </w:tcBorders>
            <w:vAlign w:val="center"/>
          </w:tcPr>
          <w:p w:rsidR="004E0E63" w:rsidRPr="004E0E63" w:rsidRDefault="004E0E63" w:rsidP="004E0E63">
            <w:pPr>
              <w:jc w:val="center"/>
              <w:rPr>
                <w:sz w:val="22"/>
                <w:szCs w:val="22"/>
              </w:rPr>
            </w:pPr>
            <w:r w:rsidRPr="004E0E63">
              <w:rPr>
                <w:sz w:val="22"/>
                <w:szCs w:val="22"/>
              </w:rPr>
              <w:t>0,01654373</w:t>
            </w:r>
          </w:p>
        </w:tc>
        <w:tc>
          <w:tcPr>
            <w:tcW w:w="912" w:type="pct"/>
            <w:vAlign w:val="center"/>
          </w:tcPr>
          <w:p w:rsidR="004E0E63" w:rsidRPr="004E0E63" w:rsidRDefault="004E0E63" w:rsidP="004E0E63">
            <w:pPr>
              <w:jc w:val="center"/>
              <w:rPr>
                <w:sz w:val="22"/>
                <w:szCs w:val="22"/>
              </w:rPr>
            </w:pPr>
            <w:r w:rsidRPr="004E0E63">
              <w:rPr>
                <w:sz w:val="22"/>
                <w:szCs w:val="22"/>
              </w:rPr>
              <w:t>0,126207476</w:t>
            </w:r>
          </w:p>
        </w:tc>
      </w:tr>
      <w:tr w:rsidR="004E0E63" w:rsidRPr="004E0E63" w:rsidTr="004E0E63">
        <w:tc>
          <w:tcPr>
            <w:tcW w:w="2120" w:type="pct"/>
            <w:tcBorders>
              <w:right w:val="single" w:sz="12" w:space="0" w:color="auto"/>
            </w:tcBorders>
            <w:vAlign w:val="center"/>
          </w:tcPr>
          <w:p w:rsidR="004E0E63" w:rsidRPr="004E0E63" w:rsidRDefault="004E0E63" w:rsidP="004E0E63">
            <w:pPr>
              <w:pStyle w:val="a5"/>
              <w:ind w:left="0"/>
              <w:rPr>
                <w:sz w:val="22"/>
                <w:szCs w:val="22"/>
              </w:rPr>
            </w:pPr>
            <w:r w:rsidRPr="004E0E63">
              <w:rPr>
                <w:sz w:val="22"/>
                <w:szCs w:val="22"/>
              </w:rPr>
              <w:t>Доля нераспределенной прибыли в активах</w:t>
            </w:r>
          </w:p>
        </w:tc>
        <w:tc>
          <w:tcPr>
            <w:tcW w:w="933" w:type="pct"/>
            <w:tcBorders>
              <w:right w:val="single" w:sz="12" w:space="0" w:color="auto"/>
            </w:tcBorders>
            <w:vAlign w:val="center"/>
          </w:tcPr>
          <w:p w:rsidR="004E0E63" w:rsidRPr="004E0E63" w:rsidRDefault="004E0E63" w:rsidP="004E0E63">
            <w:pPr>
              <w:spacing w:line="360" w:lineRule="auto"/>
              <w:jc w:val="center"/>
              <w:rPr>
                <w:sz w:val="22"/>
                <w:szCs w:val="22"/>
              </w:rPr>
            </w:pPr>
            <w:r w:rsidRPr="004E0E63">
              <w:rPr>
                <w:sz w:val="22"/>
                <w:szCs w:val="22"/>
                <w:lang w:val="en-US"/>
              </w:rPr>
              <w:t>RE</w:t>
            </w:r>
          </w:p>
        </w:tc>
        <w:tc>
          <w:tcPr>
            <w:tcW w:w="1034" w:type="pct"/>
            <w:tcBorders>
              <w:left w:val="single" w:sz="12" w:space="0" w:color="auto"/>
            </w:tcBorders>
            <w:vAlign w:val="center"/>
          </w:tcPr>
          <w:p w:rsidR="004E0E63" w:rsidRPr="004E0E63" w:rsidRDefault="004E0E63" w:rsidP="004E0E63">
            <w:pPr>
              <w:jc w:val="center"/>
              <w:rPr>
                <w:sz w:val="22"/>
                <w:szCs w:val="22"/>
              </w:rPr>
            </w:pPr>
            <w:r w:rsidRPr="004E0E63">
              <w:rPr>
                <w:sz w:val="22"/>
                <w:szCs w:val="22"/>
              </w:rPr>
              <w:t>-0,014399397</w:t>
            </w:r>
          </w:p>
        </w:tc>
        <w:tc>
          <w:tcPr>
            <w:tcW w:w="912" w:type="pct"/>
            <w:vAlign w:val="center"/>
          </w:tcPr>
          <w:p w:rsidR="004E0E63" w:rsidRPr="004E0E63" w:rsidRDefault="004E0E63" w:rsidP="004E0E63">
            <w:pPr>
              <w:jc w:val="center"/>
              <w:rPr>
                <w:sz w:val="22"/>
                <w:szCs w:val="22"/>
              </w:rPr>
            </w:pPr>
            <w:r w:rsidRPr="004E0E63">
              <w:rPr>
                <w:sz w:val="22"/>
                <w:szCs w:val="22"/>
              </w:rPr>
              <w:t>0,330048599</w:t>
            </w:r>
          </w:p>
        </w:tc>
      </w:tr>
      <w:tr w:rsidR="004E0E63" w:rsidRPr="004E0E63" w:rsidTr="004E0E63">
        <w:tc>
          <w:tcPr>
            <w:tcW w:w="2120" w:type="pct"/>
            <w:tcBorders>
              <w:right w:val="single" w:sz="12" w:space="0" w:color="auto"/>
            </w:tcBorders>
            <w:vAlign w:val="center"/>
          </w:tcPr>
          <w:p w:rsidR="004E0E63" w:rsidRPr="004E0E63" w:rsidRDefault="004E0E63" w:rsidP="004E0E63">
            <w:pPr>
              <w:pStyle w:val="a5"/>
              <w:ind w:left="0"/>
              <w:rPr>
                <w:sz w:val="22"/>
                <w:szCs w:val="22"/>
              </w:rPr>
            </w:pPr>
            <w:r w:rsidRPr="004E0E63">
              <w:rPr>
                <w:sz w:val="22"/>
                <w:szCs w:val="22"/>
              </w:rPr>
              <w:t xml:space="preserve">Покрытие  краткосрочных обязательств прибылью до вычета налогов и процентов </w:t>
            </w:r>
          </w:p>
        </w:tc>
        <w:tc>
          <w:tcPr>
            <w:tcW w:w="933" w:type="pct"/>
            <w:tcBorders>
              <w:right w:val="single" w:sz="12" w:space="0" w:color="auto"/>
            </w:tcBorders>
            <w:vAlign w:val="center"/>
          </w:tcPr>
          <w:p w:rsidR="004E0E63" w:rsidRPr="004E0E63" w:rsidRDefault="004E0E63" w:rsidP="004E0E63">
            <w:pPr>
              <w:spacing w:line="360" w:lineRule="auto"/>
              <w:jc w:val="center"/>
              <w:rPr>
                <w:sz w:val="22"/>
                <w:szCs w:val="22"/>
              </w:rPr>
            </w:pPr>
            <w:r w:rsidRPr="004E0E63">
              <w:rPr>
                <w:sz w:val="22"/>
                <w:szCs w:val="22"/>
                <w:lang w:val="en-US"/>
              </w:rPr>
              <w:t>COVER</w:t>
            </w:r>
          </w:p>
        </w:tc>
        <w:tc>
          <w:tcPr>
            <w:tcW w:w="1034" w:type="pct"/>
            <w:tcBorders>
              <w:left w:val="single" w:sz="12" w:space="0" w:color="auto"/>
            </w:tcBorders>
            <w:vAlign w:val="center"/>
          </w:tcPr>
          <w:p w:rsidR="004E0E63" w:rsidRPr="004E0E63" w:rsidRDefault="004E0E63" w:rsidP="004E0E63">
            <w:pPr>
              <w:jc w:val="center"/>
              <w:rPr>
                <w:sz w:val="22"/>
                <w:szCs w:val="22"/>
              </w:rPr>
            </w:pPr>
            <w:r w:rsidRPr="004E0E63">
              <w:rPr>
                <w:sz w:val="22"/>
                <w:szCs w:val="22"/>
              </w:rPr>
              <w:t>-0,026279246</w:t>
            </w:r>
          </w:p>
        </w:tc>
        <w:tc>
          <w:tcPr>
            <w:tcW w:w="912" w:type="pct"/>
            <w:vAlign w:val="center"/>
          </w:tcPr>
          <w:p w:rsidR="004E0E63" w:rsidRPr="004E0E63" w:rsidRDefault="004E0E63" w:rsidP="004E0E63">
            <w:pPr>
              <w:jc w:val="center"/>
              <w:rPr>
                <w:sz w:val="22"/>
                <w:szCs w:val="22"/>
              </w:rPr>
            </w:pPr>
            <w:r w:rsidRPr="004E0E63">
              <w:rPr>
                <w:sz w:val="22"/>
                <w:szCs w:val="22"/>
              </w:rPr>
              <w:t>0,25</w:t>
            </w:r>
          </w:p>
        </w:tc>
      </w:tr>
      <w:tr w:rsidR="004E0E63" w:rsidRPr="004E0E63" w:rsidTr="004E0E63">
        <w:tc>
          <w:tcPr>
            <w:tcW w:w="2120" w:type="pct"/>
            <w:tcBorders>
              <w:right w:val="single" w:sz="12" w:space="0" w:color="auto"/>
            </w:tcBorders>
            <w:vAlign w:val="center"/>
          </w:tcPr>
          <w:p w:rsidR="004E0E63" w:rsidRPr="004E0E63" w:rsidRDefault="004E0E63" w:rsidP="004E0E63">
            <w:pPr>
              <w:pStyle w:val="a5"/>
              <w:ind w:left="0"/>
              <w:rPr>
                <w:sz w:val="22"/>
                <w:szCs w:val="22"/>
                <w:lang w:val="en-US"/>
              </w:rPr>
            </w:pPr>
            <w:r w:rsidRPr="004E0E63">
              <w:rPr>
                <w:sz w:val="22"/>
                <w:szCs w:val="22"/>
              </w:rPr>
              <w:t>возраст фирмы</w:t>
            </w:r>
          </w:p>
        </w:tc>
        <w:tc>
          <w:tcPr>
            <w:tcW w:w="933" w:type="pct"/>
            <w:tcBorders>
              <w:right w:val="single" w:sz="12" w:space="0" w:color="auto"/>
            </w:tcBorders>
            <w:vAlign w:val="center"/>
          </w:tcPr>
          <w:p w:rsidR="004E0E63" w:rsidRPr="004E0E63" w:rsidRDefault="004E0E63" w:rsidP="004E0E63">
            <w:pPr>
              <w:spacing w:line="360" w:lineRule="auto"/>
              <w:jc w:val="center"/>
              <w:rPr>
                <w:sz w:val="22"/>
                <w:szCs w:val="22"/>
              </w:rPr>
            </w:pPr>
            <w:r w:rsidRPr="004E0E63">
              <w:rPr>
                <w:sz w:val="22"/>
                <w:szCs w:val="22"/>
                <w:lang w:val="en-US"/>
              </w:rPr>
              <w:t>AGE</w:t>
            </w:r>
          </w:p>
        </w:tc>
        <w:tc>
          <w:tcPr>
            <w:tcW w:w="1034" w:type="pct"/>
            <w:tcBorders>
              <w:left w:val="single" w:sz="12" w:space="0" w:color="auto"/>
            </w:tcBorders>
            <w:vAlign w:val="center"/>
          </w:tcPr>
          <w:p w:rsidR="004E0E63" w:rsidRPr="004E0E63" w:rsidRDefault="004E0E63" w:rsidP="004E0E63">
            <w:pPr>
              <w:jc w:val="center"/>
              <w:rPr>
                <w:sz w:val="22"/>
                <w:szCs w:val="22"/>
              </w:rPr>
            </w:pPr>
            <w:r w:rsidRPr="004E0E63">
              <w:rPr>
                <w:sz w:val="22"/>
                <w:szCs w:val="22"/>
              </w:rPr>
              <w:t>12,75</w:t>
            </w:r>
          </w:p>
        </w:tc>
        <w:tc>
          <w:tcPr>
            <w:tcW w:w="912" w:type="pct"/>
            <w:vAlign w:val="center"/>
          </w:tcPr>
          <w:p w:rsidR="004E0E63" w:rsidRPr="004E0E63" w:rsidRDefault="004E0E63" w:rsidP="004E0E63">
            <w:pPr>
              <w:jc w:val="center"/>
              <w:rPr>
                <w:sz w:val="22"/>
                <w:szCs w:val="22"/>
              </w:rPr>
            </w:pPr>
            <w:r w:rsidRPr="004E0E63">
              <w:rPr>
                <w:sz w:val="22"/>
                <w:szCs w:val="22"/>
              </w:rPr>
              <w:t>13,5</w:t>
            </w:r>
          </w:p>
        </w:tc>
      </w:tr>
      <w:tr w:rsidR="004E0E63" w:rsidRPr="004E0E63" w:rsidTr="004E0E63">
        <w:tc>
          <w:tcPr>
            <w:tcW w:w="2120" w:type="pct"/>
            <w:tcBorders>
              <w:right w:val="single" w:sz="12" w:space="0" w:color="auto"/>
            </w:tcBorders>
            <w:vAlign w:val="center"/>
          </w:tcPr>
          <w:p w:rsidR="004E0E63" w:rsidRPr="004E0E63" w:rsidRDefault="004E0E63" w:rsidP="004E0E63">
            <w:pPr>
              <w:pStyle w:val="a5"/>
              <w:ind w:left="0"/>
              <w:rPr>
                <w:sz w:val="22"/>
                <w:szCs w:val="22"/>
                <w:lang w:val="en-US"/>
              </w:rPr>
            </w:pPr>
            <w:r w:rsidRPr="004E0E63">
              <w:rPr>
                <w:sz w:val="22"/>
                <w:szCs w:val="22"/>
              </w:rPr>
              <w:t>Размер предприятия</w:t>
            </w:r>
          </w:p>
        </w:tc>
        <w:tc>
          <w:tcPr>
            <w:tcW w:w="933" w:type="pct"/>
            <w:tcBorders>
              <w:right w:val="single" w:sz="12" w:space="0" w:color="auto"/>
            </w:tcBorders>
            <w:vAlign w:val="center"/>
          </w:tcPr>
          <w:p w:rsidR="004E0E63" w:rsidRPr="004E0E63" w:rsidRDefault="004E0E63" w:rsidP="004E0E63">
            <w:pPr>
              <w:spacing w:line="360" w:lineRule="auto"/>
              <w:jc w:val="center"/>
              <w:rPr>
                <w:sz w:val="22"/>
                <w:szCs w:val="22"/>
              </w:rPr>
            </w:pPr>
            <w:r w:rsidRPr="004E0E63">
              <w:rPr>
                <w:sz w:val="22"/>
                <w:szCs w:val="22"/>
                <w:lang w:val="en-US"/>
              </w:rPr>
              <w:t>SIZE</w:t>
            </w:r>
          </w:p>
        </w:tc>
        <w:tc>
          <w:tcPr>
            <w:tcW w:w="1034" w:type="pct"/>
            <w:tcBorders>
              <w:left w:val="single" w:sz="12" w:space="0" w:color="auto"/>
            </w:tcBorders>
            <w:vAlign w:val="center"/>
          </w:tcPr>
          <w:p w:rsidR="004E0E63" w:rsidRPr="004E0E63" w:rsidRDefault="004E0E63" w:rsidP="004E0E63">
            <w:pPr>
              <w:jc w:val="center"/>
              <w:rPr>
                <w:sz w:val="22"/>
                <w:szCs w:val="22"/>
              </w:rPr>
            </w:pPr>
            <w:r>
              <w:rPr>
                <w:sz w:val="22"/>
                <w:szCs w:val="22"/>
              </w:rPr>
              <w:t>9</w:t>
            </w:r>
            <w:r w:rsidRPr="004E0E63">
              <w:rPr>
                <w:sz w:val="22"/>
                <w:szCs w:val="22"/>
              </w:rPr>
              <w:t>,18859185</w:t>
            </w:r>
          </w:p>
        </w:tc>
        <w:tc>
          <w:tcPr>
            <w:tcW w:w="912" w:type="pct"/>
            <w:vAlign w:val="center"/>
          </w:tcPr>
          <w:p w:rsidR="004E0E63" w:rsidRPr="004E0E63" w:rsidRDefault="004E0E63" w:rsidP="004E0E63">
            <w:pPr>
              <w:jc w:val="center"/>
              <w:rPr>
                <w:sz w:val="22"/>
                <w:szCs w:val="22"/>
              </w:rPr>
            </w:pPr>
            <w:r w:rsidRPr="004E0E63">
              <w:rPr>
                <w:sz w:val="22"/>
                <w:szCs w:val="22"/>
              </w:rPr>
              <w:t>9,793616881</w:t>
            </w:r>
          </w:p>
        </w:tc>
      </w:tr>
    </w:tbl>
    <w:p w:rsidR="00784B1C" w:rsidRDefault="00784B1C" w:rsidP="000D7F6A">
      <w:pPr>
        <w:spacing w:line="360" w:lineRule="auto"/>
        <w:ind w:firstLine="709"/>
        <w:jc w:val="both"/>
        <w:rPr>
          <w:b/>
          <w:u w:val="single"/>
        </w:rPr>
      </w:pPr>
    </w:p>
    <w:p w:rsidR="004E0E63" w:rsidRPr="004E0E63" w:rsidRDefault="004E0E63" w:rsidP="000D7F6A">
      <w:pPr>
        <w:spacing w:line="360" w:lineRule="auto"/>
        <w:ind w:firstLine="709"/>
        <w:jc w:val="both"/>
      </w:pPr>
      <w:r w:rsidRPr="004E0E63">
        <w:t xml:space="preserve">Как </w:t>
      </w:r>
      <w:r>
        <w:t xml:space="preserve">показывает статистика, компании в стадии банкротства имеют коэффициент текущей ликвидности менее 1, низкую рентабельность собственного капитала, отрицательную нераспределенную прибыль, более низкую оборачиваемость активов, а также отрицательное покрытие прибылью краткосрочных обязательств. Данные по финансовому </w:t>
      </w:r>
      <w:proofErr w:type="spellStart"/>
      <w:r>
        <w:t>левериджу</w:t>
      </w:r>
      <w:proofErr w:type="spellEnd"/>
      <w:r>
        <w:t xml:space="preserve"> </w:t>
      </w:r>
      <w:r w:rsidR="001F69CF">
        <w:t xml:space="preserve">на первый взгляд </w:t>
      </w:r>
      <w:r>
        <w:t>кажутся низкими, однако следует учитывать, что при отрицательной нераспределенной прибыли значение показателя становилось отри</w:t>
      </w:r>
      <w:r w:rsidR="001F69CF">
        <w:t xml:space="preserve">цательным, что при подсчете медианы может создавать </w:t>
      </w:r>
      <w:r w:rsidR="00C500CB">
        <w:t xml:space="preserve">неверное </w:t>
      </w:r>
      <w:r w:rsidR="001F69CF">
        <w:t xml:space="preserve">впечатление низкой долговой нагрузки. </w:t>
      </w:r>
    </w:p>
    <w:p w:rsidR="00E1021B" w:rsidRDefault="0026530B" w:rsidP="00784B1C">
      <w:pPr>
        <w:spacing w:after="120" w:line="360" w:lineRule="auto"/>
        <w:ind w:firstLine="720"/>
        <w:jc w:val="both"/>
      </w:pPr>
      <w:r>
        <w:lastRenderedPageBreak/>
        <w:t xml:space="preserve">В </w:t>
      </w:r>
      <w:r w:rsidR="00E325ED">
        <w:t xml:space="preserve">первом этапе в </w:t>
      </w:r>
      <w:r>
        <w:t>данно</w:t>
      </w:r>
      <w:r w:rsidR="00E325ED">
        <w:t>м</w:t>
      </w:r>
      <w:r>
        <w:t xml:space="preserve"> исследовани</w:t>
      </w:r>
      <w:r w:rsidR="00E325ED">
        <w:t>и</w:t>
      </w:r>
      <w:r>
        <w:t xml:space="preserve"> </w:t>
      </w:r>
      <w:r w:rsidR="00E325ED">
        <w:t xml:space="preserve">рассматривается влияние финансового </w:t>
      </w:r>
      <w:proofErr w:type="spellStart"/>
      <w:r w:rsidR="00E325ED">
        <w:t>левериджа</w:t>
      </w:r>
      <w:proofErr w:type="spellEnd"/>
      <w:r w:rsidR="00E325ED">
        <w:t xml:space="preserve"> на вероятность банкротства</w:t>
      </w:r>
      <w:r w:rsidR="00E1021B">
        <w:t xml:space="preserve"> для выборки в целом. Как можно видеть, значимыми </w:t>
      </w:r>
      <w:r w:rsidR="00BE07ED">
        <w:t>являются</w:t>
      </w:r>
      <w:r w:rsidR="00E1021B">
        <w:t xml:space="preserve"> все факторы, кроме покрытия прибылью краткосрочных обязательств. Наиболее значимым показателем </w:t>
      </w:r>
      <w:r w:rsidR="00BE07ED">
        <w:t>оказался</w:t>
      </w:r>
      <w:r w:rsidR="00E1021B">
        <w:t xml:space="preserve"> к</w:t>
      </w:r>
      <w:r w:rsidR="00867876">
        <w:t xml:space="preserve">оэффициент текущей ликвидности – на уровне 1%. </w:t>
      </w:r>
      <w:r w:rsidR="00E1021B">
        <w:t xml:space="preserve">Финансовый </w:t>
      </w:r>
      <w:proofErr w:type="spellStart"/>
      <w:r w:rsidR="00E1021B">
        <w:t>леверидж</w:t>
      </w:r>
      <w:proofErr w:type="spellEnd"/>
      <w:r w:rsidR="00E1021B">
        <w:t xml:space="preserve"> является значимым</w:t>
      </w:r>
      <w:r w:rsidR="00BE07ED">
        <w:t>, хотя и</w:t>
      </w:r>
      <w:r w:rsidR="00E1021B">
        <w:t xml:space="preserve"> на уровне </w:t>
      </w:r>
      <w:r w:rsidR="00BE07ED">
        <w:t>10</w:t>
      </w:r>
      <w:r w:rsidR="00E1021B">
        <w:t>%</w:t>
      </w:r>
      <w:r w:rsidR="00BE07ED">
        <w:t>,</w:t>
      </w:r>
      <w:r w:rsidR="00E1021B">
        <w:t xml:space="preserve"> и имеет </w:t>
      </w:r>
      <w:r w:rsidR="00867876">
        <w:t>положительное</w:t>
      </w:r>
      <w:r w:rsidR="00E1021B">
        <w:t xml:space="preserve"> влияние на вероятность банкротства</w:t>
      </w:r>
      <w:r w:rsidR="003D7FF0">
        <w:t xml:space="preserve">. </w:t>
      </w:r>
      <w:r w:rsidR="00BE07ED" w:rsidRPr="00BE07ED">
        <w:rPr>
          <w:b/>
          <w:i/>
        </w:rPr>
        <w:t>Это подтверждает первую гипотезу</w:t>
      </w:r>
      <w:r w:rsidR="00BE07ED">
        <w:t xml:space="preserve">: с ростом долговой нагрузки вероятность банкротства действительно увеличивается. </w:t>
      </w:r>
    </w:p>
    <w:p w:rsidR="00BE07ED" w:rsidRDefault="00BE07ED" w:rsidP="00784B1C">
      <w:pPr>
        <w:spacing w:after="120" w:line="360" w:lineRule="auto"/>
        <w:ind w:firstLine="720"/>
        <w:jc w:val="both"/>
      </w:pPr>
    </w:p>
    <w:p w:rsidR="00E325ED" w:rsidRPr="00FE52B8" w:rsidRDefault="00E325ED" w:rsidP="00E325ED">
      <w:pPr>
        <w:spacing w:after="120" w:line="360" w:lineRule="auto"/>
        <w:ind w:firstLine="720"/>
        <w:jc w:val="right"/>
        <w:rPr>
          <w:i/>
          <w:sz w:val="22"/>
          <w:szCs w:val="22"/>
        </w:rPr>
      </w:pPr>
      <w:r w:rsidRPr="00FE52B8">
        <w:rPr>
          <w:i/>
          <w:sz w:val="22"/>
          <w:szCs w:val="22"/>
        </w:rPr>
        <w:t>Таблица. Результаты оценивания модели</w:t>
      </w:r>
    </w:p>
    <w:tbl>
      <w:tblPr>
        <w:tblStyle w:val="aa"/>
        <w:tblW w:w="5000" w:type="pct"/>
        <w:tblLook w:val="01E0" w:firstRow="1" w:lastRow="1" w:firstColumn="1" w:lastColumn="1" w:noHBand="0" w:noVBand="0"/>
      </w:tblPr>
      <w:tblGrid>
        <w:gridCol w:w="3964"/>
        <w:gridCol w:w="2693"/>
        <w:gridCol w:w="2688"/>
      </w:tblGrid>
      <w:tr w:rsidR="0023127D" w:rsidRPr="00126BFF" w:rsidTr="00E1021B">
        <w:tc>
          <w:tcPr>
            <w:tcW w:w="212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127D" w:rsidRPr="00126BFF" w:rsidRDefault="00E1021B" w:rsidP="00BD4C18">
            <w:pPr>
              <w:rPr>
                <w:sz w:val="22"/>
                <w:szCs w:val="22"/>
              </w:rPr>
            </w:pPr>
            <w:r>
              <w:rPr>
                <w:sz w:val="22"/>
                <w:szCs w:val="22"/>
              </w:rPr>
              <w:t>Факторы</w:t>
            </w:r>
          </w:p>
        </w:tc>
        <w:tc>
          <w:tcPr>
            <w:tcW w:w="14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127D" w:rsidRPr="00126BFF" w:rsidRDefault="0023127D" w:rsidP="00BD4C18">
            <w:pPr>
              <w:jc w:val="center"/>
              <w:rPr>
                <w:sz w:val="22"/>
                <w:szCs w:val="22"/>
              </w:rPr>
            </w:pPr>
            <w:proofErr w:type="spellStart"/>
            <w:r w:rsidRPr="00126BFF">
              <w:rPr>
                <w:sz w:val="22"/>
                <w:szCs w:val="22"/>
              </w:rPr>
              <w:t>Коэфф</w:t>
            </w:r>
            <w:proofErr w:type="spellEnd"/>
            <w:r w:rsidRPr="00126BFF">
              <w:rPr>
                <w:sz w:val="22"/>
                <w:szCs w:val="22"/>
              </w:rPr>
              <w:t>-т</w:t>
            </w:r>
          </w:p>
          <w:p w:rsidR="0023127D" w:rsidRPr="00126BFF" w:rsidRDefault="0023127D" w:rsidP="00BD4C18">
            <w:pPr>
              <w:jc w:val="center"/>
              <w:rPr>
                <w:sz w:val="22"/>
                <w:szCs w:val="22"/>
              </w:rPr>
            </w:pPr>
            <w:r w:rsidRPr="00126BFF">
              <w:rPr>
                <w:sz w:val="22"/>
                <w:szCs w:val="22"/>
              </w:rPr>
              <w:t>(Ст. ошибка)</w:t>
            </w:r>
          </w:p>
        </w:tc>
        <w:tc>
          <w:tcPr>
            <w:tcW w:w="143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127D" w:rsidRPr="00126BFF" w:rsidRDefault="0023127D" w:rsidP="00BD4C18">
            <w:pPr>
              <w:jc w:val="center"/>
              <w:rPr>
                <w:sz w:val="22"/>
                <w:szCs w:val="22"/>
              </w:rPr>
            </w:pPr>
            <w:proofErr w:type="spellStart"/>
            <w:r w:rsidRPr="00126BFF">
              <w:rPr>
                <w:sz w:val="22"/>
                <w:szCs w:val="22"/>
              </w:rPr>
              <w:t>Знач-ть</w:t>
            </w:r>
            <w:proofErr w:type="spellEnd"/>
          </w:p>
        </w:tc>
      </w:tr>
      <w:tr w:rsidR="0023127D" w:rsidRPr="00126BFF" w:rsidTr="00E1021B">
        <w:tc>
          <w:tcPr>
            <w:tcW w:w="2121" w:type="pct"/>
            <w:tcBorders>
              <w:top w:val="single" w:sz="4" w:space="0" w:color="auto"/>
              <w:left w:val="single" w:sz="4" w:space="0" w:color="auto"/>
              <w:bottom w:val="single" w:sz="4" w:space="0" w:color="auto"/>
              <w:right w:val="single" w:sz="4" w:space="0" w:color="auto"/>
            </w:tcBorders>
            <w:vAlign w:val="center"/>
            <w:hideMark/>
          </w:tcPr>
          <w:p w:rsidR="0023127D" w:rsidRPr="00126BFF" w:rsidRDefault="0023127D" w:rsidP="00BD4C18">
            <w:pPr>
              <w:pStyle w:val="a5"/>
              <w:ind w:left="0"/>
              <w:rPr>
                <w:sz w:val="22"/>
                <w:szCs w:val="22"/>
              </w:rPr>
            </w:pPr>
            <w:proofErr w:type="spellStart"/>
            <w:r w:rsidRPr="00126BFF">
              <w:rPr>
                <w:sz w:val="22"/>
                <w:szCs w:val="22"/>
                <w:lang w:val="en-US"/>
              </w:rPr>
              <w:t>const</w:t>
            </w:r>
            <w:proofErr w:type="spellEnd"/>
          </w:p>
        </w:tc>
        <w:tc>
          <w:tcPr>
            <w:tcW w:w="1441" w:type="pct"/>
            <w:tcBorders>
              <w:top w:val="single" w:sz="4" w:space="0" w:color="auto"/>
              <w:left w:val="single" w:sz="4" w:space="0" w:color="auto"/>
              <w:bottom w:val="single" w:sz="4" w:space="0" w:color="auto"/>
              <w:right w:val="single" w:sz="4" w:space="0" w:color="auto"/>
            </w:tcBorders>
            <w:vAlign w:val="center"/>
          </w:tcPr>
          <w:p w:rsidR="0023127D" w:rsidRDefault="0023127D" w:rsidP="00BD4C18">
            <w:pPr>
              <w:pStyle w:val="a5"/>
              <w:ind w:left="0"/>
              <w:jc w:val="center"/>
              <w:rPr>
                <w:sz w:val="22"/>
                <w:szCs w:val="22"/>
              </w:rPr>
            </w:pPr>
            <w:r>
              <w:rPr>
                <w:sz w:val="22"/>
                <w:szCs w:val="22"/>
              </w:rPr>
              <w:t>-4,8208</w:t>
            </w:r>
          </w:p>
          <w:p w:rsidR="0023127D" w:rsidRPr="00E325ED" w:rsidRDefault="0023127D" w:rsidP="00BD4C18">
            <w:pPr>
              <w:pStyle w:val="a5"/>
              <w:ind w:left="0"/>
              <w:jc w:val="center"/>
              <w:rPr>
                <w:sz w:val="22"/>
                <w:szCs w:val="22"/>
                <w:lang w:val="en-US"/>
              </w:rPr>
            </w:pPr>
            <w:r>
              <w:rPr>
                <w:sz w:val="22"/>
                <w:szCs w:val="22"/>
              </w:rPr>
              <w:t>(0,3552)</w:t>
            </w:r>
          </w:p>
        </w:tc>
        <w:tc>
          <w:tcPr>
            <w:tcW w:w="1438" w:type="pct"/>
            <w:tcBorders>
              <w:top w:val="single" w:sz="4" w:space="0" w:color="auto"/>
              <w:left w:val="single" w:sz="4" w:space="0" w:color="auto"/>
              <w:bottom w:val="single" w:sz="4" w:space="0" w:color="auto"/>
              <w:right w:val="single" w:sz="4" w:space="0" w:color="auto"/>
            </w:tcBorders>
            <w:vAlign w:val="center"/>
          </w:tcPr>
          <w:p w:rsidR="0023127D" w:rsidRPr="00403E17" w:rsidRDefault="0023127D" w:rsidP="00BD4C18">
            <w:pPr>
              <w:pStyle w:val="a5"/>
              <w:ind w:left="0"/>
              <w:jc w:val="center"/>
              <w:rPr>
                <w:sz w:val="22"/>
                <w:szCs w:val="22"/>
              </w:rPr>
            </w:pPr>
            <w:r>
              <w:rPr>
                <w:sz w:val="22"/>
                <w:szCs w:val="22"/>
              </w:rPr>
              <w:t>***</w:t>
            </w:r>
          </w:p>
        </w:tc>
      </w:tr>
      <w:tr w:rsidR="0023127D" w:rsidRPr="00126BFF" w:rsidTr="00E1021B">
        <w:tc>
          <w:tcPr>
            <w:tcW w:w="2121" w:type="pct"/>
            <w:tcBorders>
              <w:top w:val="single" w:sz="4" w:space="0" w:color="auto"/>
              <w:left w:val="single" w:sz="4" w:space="0" w:color="auto"/>
              <w:bottom w:val="single" w:sz="4" w:space="0" w:color="auto"/>
              <w:right w:val="single" w:sz="4" w:space="0" w:color="auto"/>
            </w:tcBorders>
            <w:vAlign w:val="center"/>
          </w:tcPr>
          <w:p w:rsidR="0023127D" w:rsidRPr="00CF4CDB" w:rsidRDefault="0023127D" w:rsidP="00BD4C18">
            <w:pPr>
              <w:spacing w:line="360" w:lineRule="auto"/>
              <w:rPr>
                <w:sz w:val="22"/>
                <w:szCs w:val="22"/>
              </w:rPr>
            </w:pPr>
            <w:r w:rsidRPr="00126BFF">
              <w:rPr>
                <w:sz w:val="22"/>
                <w:szCs w:val="22"/>
                <w:lang w:val="en-US"/>
              </w:rPr>
              <w:t>DE</w:t>
            </w:r>
            <w:r>
              <w:rPr>
                <w:sz w:val="22"/>
                <w:szCs w:val="22"/>
              </w:rPr>
              <w:t xml:space="preserve"> </w:t>
            </w:r>
          </w:p>
        </w:tc>
        <w:tc>
          <w:tcPr>
            <w:tcW w:w="1441" w:type="pct"/>
            <w:tcBorders>
              <w:top w:val="single" w:sz="4" w:space="0" w:color="auto"/>
              <w:left w:val="single" w:sz="4" w:space="0" w:color="auto"/>
              <w:bottom w:val="single" w:sz="4" w:space="0" w:color="auto"/>
              <w:right w:val="single" w:sz="4" w:space="0" w:color="auto"/>
            </w:tcBorders>
            <w:vAlign w:val="center"/>
          </w:tcPr>
          <w:p w:rsidR="0023127D" w:rsidRDefault="0023127D" w:rsidP="00BD4C18">
            <w:pPr>
              <w:pStyle w:val="a5"/>
              <w:ind w:left="0"/>
              <w:jc w:val="center"/>
              <w:rPr>
                <w:sz w:val="22"/>
                <w:szCs w:val="22"/>
              </w:rPr>
            </w:pPr>
            <w:r>
              <w:rPr>
                <w:sz w:val="22"/>
                <w:szCs w:val="22"/>
              </w:rPr>
              <w:t>0,0032</w:t>
            </w:r>
          </w:p>
          <w:p w:rsidR="0023127D" w:rsidRPr="00126BFF" w:rsidRDefault="00433253" w:rsidP="004B752F">
            <w:pPr>
              <w:pStyle w:val="a5"/>
              <w:ind w:left="0"/>
              <w:jc w:val="center"/>
              <w:rPr>
                <w:sz w:val="22"/>
                <w:szCs w:val="22"/>
              </w:rPr>
            </w:pPr>
            <w:r>
              <w:rPr>
                <w:sz w:val="22"/>
                <w:szCs w:val="22"/>
              </w:rPr>
              <w:t>(0,</w:t>
            </w:r>
            <w:r w:rsidR="002F486F">
              <w:rPr>
                <w:sz w:val="22"/>
                <w:szCs w:val="22"/>
              </w:rPr>
              <w:t>0017</w:t>
            </w:r>
            <w:r w:rsidR="0023127D">
              <w:rPr>
                <w:sz w:val="22"/>
                <w:szCs w:val="22"/>
              </w:rPr>
              <w:t>)</w:t>
            </w:r>
          </w:p>
        </w:tc>
        <w:tc>
          <w:tcPr>
            <w:tcW w:w="1438" w:type="pct"/>
            <w:tcBorders>
              <w:top w:val="single" w:sz="4" w:space="0" w:color="auto"/>
              <w:left w:val="single" w:sz="4" w:space="0" w:color="auto"/>
              <w:bottom w:val="single" w:sz="4" w:space="0" w:color="auto"/>
              <w:right w:val="single" w:sz="4" w:space="0" w:color="auto"/>
            </w:tcBorders>
            <w:vAlign w:val="center"/>
          </w:tcPr>
          <w:p w:rsidR="0023127D" w:rsidRPr="00126BFF" w:rsidRDefault="00403E17" w:rsidP="00BD4C18">
            <w:pPr>
              <w:pStyle w:val="a5"/>
              <w:ind w:left="0"/>
              <w:jc w:val="center"/>
              <w:rPr>
                <w:sz w:val="22"/>
                <w:szCs w:val="22"/>
              </w:rPr>
            </w:pPr>
            <w:r>
              <w:rPr>
                <w:sz w:val="22"/>
                <w:szCs w:val="22"/>
              </w:rPr>
              <w:t>*</w:t>
            </w:r>
          </w:p>
        </w:tc>
      </w:tr>
      <w:tr w:rsidR="0023127D" w:rsidRPr="00126BFF" w:rsidTr="00E1021B">
        <w:trPr>
          <w:trHeight w:val="591"/>
        </w:trPr>
        <w:tc>
          <w:tcPr>
            <w:tcW w:w="2121" w:type="pct"/>
            <w:tcBorders>
              <w:top w:val="single" w:sz="4" w:space="0" w:color="auto"/>
              <w:left w:val="single" w:sz="4" w:space="0" w:color="auto"/>
              <w:bottom w:val="single" w:sz="4" w:space="0" w:color="auto"/>
              <w:right w:val="single" w:sz="4" w:space="0" w:color="auto"/>
            </w:tcBorders>
            <w:vAlign w:val="center"/>
          </w:tcPr>
          <w:p w:rsidR="0023127D" w:rsidRPr="00126BFF" w:rsidRDefault="0023127D" w:rsidP="00BD4C18">
            <w:pPr>
              <w:spacing w:line="360" w:lineRule="auto"/>
              <w:rPr>
                <w:sz w:val="22"/>
                <w:szCs w:val="22"/>
              </w:rPr>
            </w:pPr>
            <w:r w:rsidRPr="00126BFF">
              <w:rPr>
                <w:sz w:val="22"/>
                <w:szCs w:val="22"/>
                <w:lang w:val="en-US"/>
              </w:rPr>
              <w:t>TURN</w:t>
            </w:r>
          </w:p>
        </w:tc>
        <w:tc>
          <w:tcPr>
            <w:tcW w:w="1441" w:type="pct"/>
            <w:tcBorders>
              <w:top w:val="single" w:sz="4" w:space="0" w:color="auto"/>
              <w:left w:val="single" w:sz="4" w:space="0" w:color="auto"/>
              <w:bottom w:val="single" w:sz="4" w:space="0" w:color="auto"/>
              <w:right w:val="single" w:sz="4" w:space="0" w:color="auto"/>
            </w:tcBorders>
            <w:vAlign w:val="center"/>
          </w:tcPr>
          <w:p w:rsidR="0023127D" w:rsidRDefault="0023127D" w:rsidP="00BD4C18">
            <w:pPr>
              <w:pStyle w:val="a5"/>
              <w:ind w:left="0"/>
              <w:jc w:val="center"/>
              <w:rPr>
                <w:sz w:val="22"/>
                <w:szCs w:val="22"/>
              </w:rPr>
            </w:pPr>
            <w:r>
              <w:rPr>
                <w:sz w:val="22"/>
                <w:szCs w:val="22"/>
              </w:rPr>
              <w:t>-0,0005</w:t>
            </w:r>
          </w:p>
          <w:p w:rsidR="0023127D" w:rsidRPr="00E325ED" w:rsidRDefault="0023127D" w:rsidP="00BD4C18">
            <w:pPr>
              <w:pStyle w:val="a5"/>
              <w:ind w:left="0"/>
              <w:jc w:val="center"/>
              <w:rPr>
                <w:sz w:val="22"/>
                <w:szCs w:val="22"/>
              </w:rPr>
            </w:pPr>
            <w:r>
              <w:rPr>
                <w:sz w:val="22"/>
                <w:szCs w:val="22"/>
              </w:rPr>
              <w:t>(0,0003)</w:t>
            </w:r>
          </w:p>
        </w:tc>
        <w:tc>
          <w:tcPr>
            <w:tcW w:w="1438" w:type="pct"/>
            <w:tcBorders>
              <w:top w:val="single" w:sz="4" w:space="0" w:color="auto"/>
              <w:left w:val="single" w:sz="4" w:space="0" w:color="auto"/>
              <w:bottom w:val="single" w:sz="4" w:space="0" w:color="auto"/>
              <w:right w:val="single" w:sz="4" w:space="0" w:color="auto"/>
            </w:tcBorders>
            <w:vAlign w:val="center"/>
          </w:tcPr>
          <w:p w:rsidR="0023127D" w:rsidRPr="00126BFF" w:rsidRDefault="0023127D" w:rsidP="00BD4C18">
            <w:pPr>
              <w:pStyle w:val="a5"/>
              <w:ind w:left="0"/>
              <w:jc w:val="center"/>
              <w:rPr>
                <w:sz w:val="22"/>
                <w:szCs w:val="22"/>
              </w:rPr>
            </w:pPr>
            <w:r>
              <w:rPr>
                <w:sz w:val="22"/>
                <w:szCs w:val="22"/>
              </w:rPr>
              <w:t>*</w:t>
            </w:r>
          </w:p>
        </w:tc>
      </w:tr>
      <w:tr w:rsidR="0023127D" w:rsidRPr="00126BFF" w:rsidTr="00E1021B">
        <w:tc>
          <w:tcPr>
            <w:tcW w:w="2121" w:type="pct"/>
            <w:tcBorders>
              <w:top w:val="single" w:sz="4" w:space="0" w:color="auto"/>
              <w:left w:val="single" w:sz="4" w:space="0" w:color="auto"/>
              <w:bottom w:val="single" w:sz="4" w:space="0" w:color="auto"/>
              <w:right w:val="single" w:sz="4" w:space="0" w:color="auto"/>
            </w:tcBorders>
            <w:vAlign w:val="center"/>
          </w:tcPr>
          <w:p w:rsidR="0023127D" w:rsidRPr="00CF4CDB" w:rsidRDefault="0023127D" w:rsidP="00BD4C18">
            <w:pPr>
              <w:spacing w:line="360" w:lineRule="auto"/>
              <w:rPr>
                <w:sz w:val="22"/>
                <w:szCs w:val="22"/>
              </w:rPr>
            </w:pPr>
            <w:r w:rsidRPr="00126BFF">
              <w:rPr>
                <w:sz w:val="22"/>
                <w:szCs w:val="22"/>
                <w:lang w:val="en-US"/>
              </w:rPr>
              <w:t>CR</w:t>
            </w:r>
            <w:r>
              <w:rPr>
                <w:sz w:val="22"/>
                <w:szCs w:val="22"/>
              </w:rPr>
              <w:t xml:space="preserve"> (%) </w:t>
            </w:r>
          </w:p>
        </w:tc>
        <w:tc>
          <w:tcPr>
            <w:tcW w:w="1441" w:type="pct"/>
            <w:tcBorders>
              <w:top w:val="single" w:sz="4" w:space="0" w:color="auto"/>
              <w:left w:val="single" w:sz="4" w:space="0" w:color="auto"/>
              <w:bottom w:val="single" w:sz="4" w:space="0" w:color="auto"/>
              <w:right w:val="single" w:sz="4" w:space="0" w:color="auto"/>
            </w:tcBorders>
            <w:vAlign w:val="center"/>
          </w:tcPr>
          <w:p w:rsidR="0023127D" w:rsidRDefault="0023127D" w:rsidP="00BD4C18">
            <w:pPr>
              <w:pStyle w:val="a5"/>
              <w:ind w:left="0"/>
              <w:jc w:val="center"/>
              <w:rPr>
                <w:sz w:val="22"/>
                <w:szCs w:val="22"/>
              </w:rPr>
            </w:pPr>
            <w:r>
              <w:rPr>
                <w:sz w:val="22"/>
                <w:szCs w:val="22"/>
              </w:rPr>
              <w:t>-0,0731</w:t>
            </w:r>
          </w:p>
          <w:p w:rsidR="0023127D" w:rsidRPr="00126BFF" w:rsidRDefault="0023127D" w:rsidP="00BD4C18">
            <w:pPr>
              <w:pStyle w:val="a5"/>
              <w:ind w:left="0"/>
              <w:jc w:val="center"/>
              <w:rPr>
                <w:sz w:val="22"/>
                <w:szCs w:val="22"/>
              </w:rPr>
            </w:pPr>
            <w:r>
              <w:rPr>
                <w:sz w:val="22"/>
                <w:szCs w:val="22"/>
              </w:rPr>
              <w:t>(0,0218)</w:t>
            </w:r>
          </w:p>
        </w:tc>
        <w:tc>
          <w:tcPr>
            <w:tcW w:w="1438" w:type="pct"/>
            <w:tcBorders>
              <w:top w:val="single" w:sz="4" w:space="0" w:color="auto"/>
              <w:left w:val="single" w:sz="4" w:space="0" w:color="auto"/>
              <w:bottom w:val="single" w:sz="4" w:space="0" w:color="auto"/>
              <w:right w:val="single" w:sz="4" w:space="0" w:color="auto"/>
            </w:tcBorders>
            <w:vAlign w:val="center"/>
          </w:tcPr>
          <w:p w:rsidR="0023127D" w:rsidRPr="00E325ED" w:rsidRDefault="0023127D" w:rsidP="00BD4C18">
            <w:pPr>
              <w:pStyle w:val="a5"/>
              <w:ind w:left="0"/>
              <w:jc w:val="center"/>
              <w:rPr>
                <w:sz w:val="22"/>
                <w:szCs w:val="22"/>
              </w:rPr>
            </w:pPr>
            <w:r>
              <w:rPr>
                <w:sz w:val="22"/>
                <w:szCs w:val="22"/>
              </w:rPr>
              <w:t>***</w:t>
            </w:r>
          </w:p>
        </w:tc>
      </w:tr>
      <w:tr w:rsidR="0023127D" w:rsidRPr="00126BFF" w:rsidTr="00E1021B">
        <w:trPr>
          <w:trHeight w:val="579"/>
        </w:trPr>
        <w:tc>
          <w:tcPr>
            <w:tcW w:w="2121" w:type="pct"/>
            <w:tcBorders>
              <w:top w:val="single" w:sz="4" w:space="0" w:color="auto"/>
              <w:left w:val="single" w:sz="4" w:space="0" w:color="auto"/>
              <w:bottom w:val="single" w:sz="4" w:space="0" w:color="auto"/>
              <w:right w:val="single" w:sz="4" w:space="0" w:color="auto"/>
            </w:tcBorders>
            <w:vAlign w:val="center"/>
          </w:tcPr>
          <w:p w:rsidR="0023127D" w:rsidRPr="00CF4CDB" w:rsidRDefault="0023127D" w:rsidP="00BD4C18">
            <w:pPr>
              <w:spacing w:line="360" w:lineRule="auto"/>
              <w:rPr>
                <w:sz w:val="22"/>
                <w:szCs w:val="22"/>
              </w:rPr>
            </w:pPr>
            <w:r w:rsidRPr="00126BFF">
              <w:rPr>
                <w:sz w:val="22"/>
                <w:szCs w:val="22"/>
                <w:lang w:val="en-US"/>
              </w:rPr>
              <w:t>ROE</w:t>
            </w:r>
            <w:r>
              <w:rPr>
                <w:sz w:val="22"/>
                <w:szCs w:val="22"/>
              </w:rPr>
              <w:t xml:space="preserve"> (%) </w:t>
            </w:r>
          </w:p>
        </w:tc>
        <w:tc>
          <w:tcPr>
            <w:tcW w:w="1441" w:type="pct"/>
            <w:tcBorders>
              <w:top w:val="single" w:sz="4" w:space="0" w:color="auto"/>
              <w:left w:val="single" w:sz="4" w:space="0" w:color="auto"/>
              <w:bottom w:val="single" w:sz="4" w:space="0" w:color="auto"/>
              <w:right w:val="single" w:sz="4" w:space="0" w:color="auto"/>
            </w:tcBorders>
            <w:vAlign w:val="center"/>
          </w:tcPr>
          <w:p w:rsidR="0023127D" w:rsidRDefault="0023127D" w:rsidP="00BD4C18">
            <w:pPr>
              <w:pStyle w:val="a5"/>
              <w:ind w:left="0"/>
              <w:jc w:val="center"/>
              <w:rPr>
                <w:sz w:val="22"/>
                <w:szCs w:val="22"/>
              </w:rPr>
            </w:pPr>
            <w:r>
              <w:rPr>
                <w:sz w:val="22"/>
                <w:szCs w:val="22"/>
              </w:rPr>
              <w:t>-0,0047</w:t>
            </w:r>
          </w:p>
          <w:p w:rsidR="0023127D" w:rsidRPr="00E325ED" w:rsidRDefault="0023127D" w:rsidP="004B752F">
            <w:pPr>
              <w:pStyle w:val="a5"/>
              <w:ind w:left="0"/>
              <w:jc w:val="center"/>
              <w:rPr>
                <w:sz w:val="22"/>
                <w:szCs w:val="22"/>
              </w:rPr>
            </w:pPr>
            <w:r>
              <w:rPr>
                <w:sz w:val="22"/>
                <w:szCs w:val="22"/>
              </w:rPr>
              <w:t>(0,0026)</w:t>
            </w:r>
          </w:p>
        </w:tc>
        <w:tc>
          <w:tcPr>
            <w:tcW w:w="1438" w:type="pct"/>
            <w:tcBorders>
              <w:top w:val="single" w:sz="4" w:space="0" w:color="auto"/>
              <w:left w:val="single" w:sz="4" w:space="0" w:color="auto"/>
              <w:bottom w:val="single" w:sz="4" w:space="0" w:color="auto"/>
              <w:right w:val="single" w:sz="4" w:space="0" w:color="auto"/>
            </w:tcBorders>
            <w:vAlign w:val="center"/>
          </w:tcPr>
          <w:p w:rsidR="0023127D" w:rsidRPr="00E325ED" w:rsidRDefault="0023127D" w:rsidP="00BD4C18">
            <w:pPr>
              <w:pStyle w:val="a5"/>
              <w:ind w:left="0"/>
              <w:jc w:val="center"/>
              <w:rPr>
                <w:sz w:val="22"/>
                <w:szCs w:val="22"/>
              </w:rPr>
            </w:pPr>
            <w:r>
              <w:rPr>
                <w:sz w:val="22"/>
                <w:szCs w:val="22"/>
              </w:rPr>
              <w:t>*</w:t>
            </w:r>
          </w:p>
        </w:tc>
      </w:tr>
      <w:tr w:rsidR="0023127D" w:rsidRPr="00126BFF" w:rsidTr="00E1021B">
        <w:tc>
          <w:tcPr>
            <w:tcW w:w="2121" w:type="pct"/>
            <w:tcBorders>
              <w:top w:val="single" w:sz="4" w:space="0" w:color="auto"/>
              <w:left w:val="single" w:sz="4" w:space="0" w:color="auto"/>
              <w:bottom w:val="single" w:sz="4" w:space="0" w:color="auto"/>
              <w:right w:val="single" w:sz="4" w:space="0" w:color="auto"/>
            </w:tcBorders>
            <w:vAlign w:val="center"/>
          </w:tcPr>
          <w:p w:rsidR="0023127D" w:rsidRPr="004212C9" w:rsidRDefault="0023127D" w:rsidP="00BD4C18">
            <w:pPr>
              <w:spacing w:line="360" w:lineRule="auto"/>
              <w:rPr>
                <w:sz w:val="22"/>
                <w:szCs w:val="22"/>
              </w:rPr>
            </w:pPr>
            <w:r w:rsidRPr="00126BFF">
              <w:rPr>
                <w:sz w:val="22"/>
                <w:szCs w:val="22"/>
                <w:lang w:val="en-US"/>
              </w:rPr>
              <w:t>RE</w:t>
            </w:r>
            <w:r>
              <w:rPr>
                <w:sz w:val="22"/>
                <w:szCs w:val="22"/>
              </w:rPr>
              <w:t xml:space="preserve"> (%) </w:t>
            </w:r>
          </w:p>
        </w:tc>
        <w:tc>
          <w:tcPr>
            <w:tcW w:w="1441" w:type="pct"/>
            <w:tcBorders>
              <w:top w:val="single" w:sz="4" w:space="0" w:color="auto"/>
              <w:left w:val="single" w:sz="4" w:space="0" w:color="auto"/>
              <w:bottom w:val="single" w:sz="4" w:space="0" w:color="auto"/>
              <w:right w:val="single" w:sz="4" w:space="0" w:color="auto"/>
            </w:tcBorders>
            <w:vAlign w:val="center"/>
          </w:tcPr>
          <w:p w:rsidR="0023127D" w:rsidRDefault="0023127D" w:rsidP="00BD4C18">
            <w:pPr>
              <w:pStyle w:val="a5"/>
              <w:ind w:left="0"/>
              <w:jc w:val="center"/>
              <w:rPr>
                <w:sz w:val="22"/>
                <w:szCs w:val="22"/>
              </w:rPr>
            </w:pPr>
            <w:r>
              <w:rPr>
                <w:sz w:val="22"/>
                <w:szCs w:val="22"/>
              </w:rPr>
              <w:t>-0,0109</w:t>
            </w:r>
          </w:p>
          <w:p w:rsidR="0023127D" w:rsidRPr="00E325ED" w:rsidRDefault="0023127D" w:rsidP="00BD4C18">
            <w:pPr>
              <w:pStyle w:val="a5"/>
              <w:ind w:left="0"/>
              <w:jc w:val="center"/>
              <w:rPr>
                <w:sz w:val="22"/>
                <w:szCs w:val="22"/>
              </w:rPr>
            </w:pPr>
            <w:r>
              <w:rPr>
                <w:sz w:val="22"/>
                <w:szCs w:val="22"/>
              </w:rPr>
              <w:t>(0,0052)</w:t>
            </w:r>
          </w:p>
        </w:tc>
        <w:tc>
          <w:tcPr>
            <w:tcW w:w="1438" w:type="pct"/>
            <w:tcBorders>
              <w:top w:val="single" w:sz="4" w:space="0" w:color="auto"/>
              <w:left w:val="single" w:sz="4" w:space="0" w:color="auto"/>
              <w:bottom w:val="single" w:sz="4" w:space="0" w:color="auto"/>
              <w:right w:val="single" w:sz="4" w:space="0" w:color="auto"/>
            </w:tcBorders>
            <w:vAlign w:val="center"/>
          </w:tcPr>
          <w:p w:rsidR="0023127D" w:rsidRPr="00126BFF" w:rsidRDefault="0023127D" w:rsidP="00BD4C18">
            <w:pPr>
              <w:pStyle w:val="a5"/>
              <w:ind w:left="0"/>
              <w:jc w:val="center"/>
              <w:rPr>
                <w:sz w:val="22"/>
                <w:szCs w:val="22"/>
              </w:rPr>
            </w:pPr>
            <w:r>
              <w:rPr>
                <w:sz w:val="22"/>
                <w:szCs w:val="22"/>
              </w:rPr>
              <w:t>**</w:t>
            </w:r>
          </w:p>
        </w:tc>
      </w:tr>
      <w:tr w:rsidR="0023127D" w:rsidRPr="00126BFF" w:rsidTr="00E1021B">
        <w:tc>
          <w:tcPr>
            <w:tcW w:w="2121" w:type="pct"/>
            <w:tcBorders>
              <w:top w:val="single" w:sz="4" w:space="0" w:color="auto"/>
              <w:left w:val="single" w:sz="4" w:space="0" w:color="auto"/>
              <w:bottom w:val="single" w:sz="4" w:space="0" w:color="auto"/>
              <w:right w:val="single" w:sz="4" w:space="0" w:color="auto"/>
            </w:tcBorders>
            <w:vAlign w:val="center"/>
          </w:tcPr>
          <w:p w:rsidR="0023127D" w:rsidRPr="00126BFF" w:rsidRDefault="0023127D" w:rsidP="00BD4C18">
            <w:pPr>
              <w:spacing w:line="360" w:lineRule="auto"/>
              <w:rPr>
                <w:sz w:val="22"/>
                <w:szCs w:val="22"/>
                <w:lang w:val="en-US"/>
              </w:rPr>
            </w:pPr>
            <w:r>
              <w:rPr>
                <w:sz w:val="22"/>
                <w:szCs w:val="22"/>
                <w:lang w:val="en-US"/>
              </w:rPr>
              <w:t xml:space="preserve">COVER </w:t>
            </w:r>
          </w:p>
        </w:tc>
        <w:tc>
          <w:tcPr>
            <w:tcW w:w="2879" w:type="pct"/>
            <w:gridSpan w:val="2"/>
            <w:tcBorders>
              <w:top w:val="single" w:sz="4" w:space="0" w:color="auto"/>
              <w:left w:val="single" w:sz="4" w:space="0" w:color="auto"/>
              <w:bottom w:val="single" w:sz="4" w:space="0" w:color="auto"/>
              <w:right w:val="single" w:sz="4" w:space="0" w:color="auto"/>
            </w:tcBorders>
            <w:vAlign w:val="center"/>
          </w:tcPr>
          <w:p w:rsidR="0023127D" w:rsidRPr="0023127D" w:rsidRDefault="0023127D" w:rsidP="00BD4C18">
            <w:pPr>
              <w:pStyle w:val="a5"/>
              <w:ind w:left="0"/>
              <w:jc w:val="center"/>
              <w:rPr>
                <w:sz w:val="22"/>
                <w:szCs w:val="22"/>
              </w:rPr>
            </w:pPr>
            <w:proofErr w:type="spellStart"/>
            <w:r>
              <w:rPr>
                <w:sz w:val="22"/>
                <w:szCs w:val="22"/>
              </w:rPr>
              <w:t>незнач</w:t>
            </w:r>
            <w:proofErr w:type="spellEnd"/>
            <w:r>
              <w:rPr>
                <w:sz w:val="22"/>
                <w:szCs w:val="22"/>
              </w:rPr>
              <w:t>.</w:t>
            </w:r>
          </w:p>
        </w:tc>
      </w:tr>
      <w:tr w:rsidR="0023127D" w:rsidRPr="00126BFF" w:rsidTr="00E1021B">
        <w:trPr>
          <w:trHeight w:val="561"/>
        </w:trPr>
        <w:tc>
          <w:tcPr>
            <w:tcW w:w="2121" w:type="pct"/>
            <w:tcBorders>
              <w:top w:val="single" w:sz="4" w:space="0" w:color="auto"/>
              <w:left w:val="single" w:sz="4" w:space="0" w:color="auto"/>
              <w:bottom w:val="single" w:sz="4" w:space="0" w:color="auto"/>
              <w:right w:val="single" w:sz="4" w:space="0" w:color="auto"/>
            </w:tcBorders>
            <w:vAlign w:val="center"/>
          </w:tcPr>
          <w:p w:rsidR="0023127D" w:rsidRPr="00863F32" w:rsidRDefault="0023127D" w:rsidP="00BD4C18">
            <w:pPr>
              <w:spacing w:line="360" w:lineRule="auto"/>
              <w:rPr>
                <w:sz w:val="22"/>
                <w:szCs w:val="22"/>
              </w:rPr>
            </w:pPr>
            <w:r w:rsidRPr="00126BFF">
              <w:rPr>
                <w:sz w:val="22"/>
                <w:szCs w:val="22"/>
                <w:lang w:val="en-US"/>
              </w:rPr>
              <w:t>AGE</w:t>
            </w:r>
            <w:r w:rsidR="00863F32">
              <w:rPr>
                <w:sz w:val="22"/>
                <w:szCs w:val="22"/>
              </w:rPr>
              <w:t xml:space="preserve"> (лет)</w:t>
            </w:r>
          </w:p>
        </w:tc>
        <w:tc>
          <w:tcPr>
            <w:tcW w:w="1441" w:type="pct"/>
            <w:tcBorders>
              <w:top w:val="single" w:sz="4" w:space="0" w:color="auto"/>
              <w:left w:val="single" w:sz="4" w:space="0" w:color="auto"/>
              <w:bottom w:val="single" w:sz="4" w:space="0" w:color="auto"/>
              <w:right w:val="single" w:sz="4" w:space="0" w:color="auto"/>
            </w:tcBorders>
            <w:vAlign w:val="center"/>
          </w:tcPr>
          <w:p w:rsidR="0023127D" w:rsidRDefault="0023127D" w:rsidP="00BD4C18">
            <w:pPr>
              <w:pStyle w:val="a5"/>
              <w:ind w:left="0"/>
              <w:jc w:val="center"/>
              <w:rPr>
                <w:sz w:val="22"/>
                <w:szCs w:val="22"/>
              </w:rPr>
            </w:pPr>
            <w:r>
              <w:rPr>
                <w:sz w:val="22"/>
                <w:szCs w:val="22"/>
              </w:rPr>
              <w:t>-0,0041</w:t>
            </w:r>
          </w:p>
          <w:p w:rsidR="0023127D" w:rsidRPr="00E325ED" w:rsidRDefault="0023127D" w:rsidP="00BD4C18">
            <w:pPr>
              <w:pStyle w:val="a5"/>
              <w:ind w:left="0"/>
              <w:jc w:val="center"/>
              <w:rPr>
                <w:sz w:val="22"/>
                <w:szCs w:val="22"/>
              </w:rPr>
            </w:pPr>
            <w:r>
              <w:rPr>
                <w:sz w:val="22"/>
                <w:szCs w:val="22"/>
              </w:rPr>
              <w:t>(0,0019)</w:t>
            </w:r>
          </w:p>
        </w:tc>
        <w:tc>
          <w:tcPr>
            <w:tcW w:w="1438" w:type="pct"/>
            <w:tcBorders>
              <w:top w:val="single" w:sz="4" w:space="0" w:color="auto"/>
              <w:left w:val="single" w:sz="4" w:space="0" w:color="auto"/>
              <w:bottom w:val="single" w:sz="4" w:space="0" w:color="auto"/>
              <w:right w:val="single" w:sz="4" w:space="0" w:color="auto"/>
            </w:tcBorders>
            <w:vAlign w:val="center"/>
          </w:tcPr>
          <w:p w:rsidR="0023127D" w:rsidRPr="00126BFF" w:rsidRDefault="0023127D" w:rsidP="00BD4C18">
            <w:pPr>
              <w:pStyle w:val="a5"/>
              <w:ind w:left="0"/>
              <w:jc w:val="center"/>
              <w:rPr>
                <w:sz w:val="22"/>
                <w:szCs w:val="22"/>
              </w:rPr>
            </w:pPr>
            <w:r>
              <w:rPr>
                <w:sz w:val="22"/>
                <w:szCs w:val="22"/>
              </w:rPr>
              <w:t>**</w:t>
            </w:r>
          </w:p>
        </w:tc>
      </w:tr>
      <w:tr w:rsidR="0023127D" w:rsidRPr="00126BFF" w:rsidTr="00E1021B">
        <w:tc>
          <w:tcPr>
            <w:tcW w:w="2121" w:type="pct"/>
            <w:tcBorders>
              <w:top w:val="single" w:sz="4" w:space="0" w:color="auto"/>
              <w:left w:val="single" w:sz="4" w:space="0" w:color="auto"/>
              <w:bottom w:val="single" w:sz="4" w:space="0" w:color="auto"/>
              <w:right w:val="single" w:sz="4" w:space="0" w:color="auto"/>
            </w:tcBorders>
            <w:vAlign w:val="center"/>
          </w:tcPr>
          <w:p w:rsidR="0023127D" w:rsidRPr="00126BFF" w:rsidRDefault="0023127D" w:rsidP="00BD4C18">
            <w:pPr>
              <w:spacing w:line="360" w:lineRule="auto"/>
              <w:rPr>
                <w:sz w:val="22"/>
                <w:szCs w:val="22"/>
              </w:rPr>
            </w:pPr>
            <w:r w:rsidRPr="00126BFF">
              <w:rPr>
                <w:sz w:val="22"/>
                <w:szCs w:val="22"/>
                <w:lang w:val="en-US"/>
              </w:rPr>
              <w:t>SIZE</w:t>
            </w:r>
          </w:p>
        </w:tc>
        <w:tc>
          <w:tcPr>
            <w:tcW w:w="1441" w:type="pct"/>
            <w:tcBorders>
              <w:top w:val="single" w:sz="4" w:space="0" w:color="auto"/>
              <w:left w:val="single" w:sz="4" w:space="0" w:color="auto"/>
              <w:bottom w:val="single" w:sz="4" w:space="0" w:color="auto"/>
              <w:right w:val="single" w:sz="4" w:space="0" w:color="auto"/>
            </w:tcBorders>
            <w:vAlign w:val="center"/>
          </w:tcPr>
          <w:p w:rsidR="0023127D" w:rsidRDefault="0023127D" w:rsidP="00BD4C18">
            <w:pPr>
              <w:pStyle w:val="a5"/>
              <w:ind w:left="0"/>
              <w:jc w:val="center"/>
              <w:rPr>
                <w:sz w:val="22"/>
                <w:szCs w:val="22"/>
              </w:rPr>
            </w:pPr>
            <w:r>
              <w:rPr>
                <w:sz w:val="22"/>
                <w:szCs w:val="22"/>
              </w:rPr>
              <w:t>0,0488</w:t>
            </w:r>
          </w:p>
          <w:p w:rsidR="0023127D" w:rsidRPr="00E325ED" w:rsidRDefault="0023127D" w:rsidP="00BD4C18">
            <w:pPr>
              <w:pStyle w:val="a5"/>
              <w:ind w:left="0"/>
              <w:jc w:val="center"/>
              <w:rPr>
                <w:sz w:val="22"/>
                <w:szCs w:val="22"/>
              </w:rPr>
            </w:pPr>
            <w:r>
              <w:rPr>
                <w:sz w:val="22"/>
                <w:szCs w:val="22"/>
              </w:rPr>
              <w:t>(0,0229)</w:t>
            </w:r>
          </w:p>
        </w:tc>
        <w:tc>
          <w:tcPr>
            <w:tcW w:w="1438" w:type="pct"/>
            <w:tcBorders>
              <w:top w:val="single" w:sz="4" w:space="0" w:color="auto"/>
              <w:left w:val="single" w:sz="4" w:space="0" w:color="auto"/>
              <w:bottom w:val="single" w:sz="4" w:space="0" w:color="auto"/>
              <w:right w:val="single" w:sz="4" w:space="0" w:color="auto"/>
            </w:tcBorders>
            <w:vAlign w:val="center"/>
          </w:tcPr>
          <w:p w:rsidR="0023127D" w:rsidRPr="00126BFF" w:rsidRDefault="0023127D" w:rsidP="00BD4C18">
            <w:pPr>
              <w:pStyle w:val="a5"/>
              <w:ind w:left="0"/>
              <w:jc w:val="center"/>
              <w:rPr>
                <w:sz w:val="22"/>
                <w:szCs w:val="22"/>
              </w:rPr>
            </w:pPr>
            <w:r>
              <w:rPr>
                <w:sz w:val="22"/>
                <w:szCs w:val="22"/>
              </w:rPr>
              <w:t>**</w:t>
            </w:r>
          </w:p>
        </w:tc>
      </w:tr>
      <w:tr w:rsidR="0023127D" w:rsidRPr="00126BFF" w:rsidTr="00E1021B">
        <w:trPr>
          <w:trHeight w:val="387"/>
        </w:trPr>
        <w:tc>
          <w:tcPr>
            <w:tcW w:w="2121" w:type="pct"/>
            <w:tcBorders>
              <w:top w:val="single" w:sz="4" w:space="0" w:color="auto"/>
              <w:left w:val="single" w:sz="4" w:space="0" w:color="auto"/>
              <w:bottom w:val="single" w:sz="4" w:space="0" w:color="auto"/>
              <w:right w:val="single" w:sz="4" w:space="0" w:color="auto"/>
            </w:tcBorders>
            <w:vAlign w:val="center"/>
          </w:tcPr>
          <w:p w:rsidR="0023127D" w:rsidRPr="00E325ED" w:rsidRDefault="0023127D" w:rsidP="0023127D">
            <w:pPr>
              <w:pStyle w:val="a5"/>
              <w:ind w:left="0"/>
              <w:rPr>
                <w:sz w:val="22"/>
                <w:szCs w:val="22"/>
              </w:rPr>
            </w:pPr>
            <w:r w:rsidRPr="00126BFF">
              <w:rPr>
                <w:sz w:val="22"/>
                <w:szCs w:val="22"/>
              </w:rPr>
              <w:t xml:space="preserve">R-квадрат </w:t>
            </w:r>
            <w:proofErr w:type="spellStart"/>
            <w:r w:rsidRPr="00126BFF">
              <w:rPr>
                <w:sz w:val="22"/>
                <w:szCs w:val="22"/>
              </w:rPr>
              <w:t>Макфаддена</w:t>
            </w:r>
            <w:proofErr w:type="spellEnd"/>
          </w:p>
        </w:tc>
        <w:tc>
          <w:tcPr>
            <w:tcW w:w="2879" w:type="pct"/>
            <w:gridSpan w:val="2"/>
            <w:tcBorders>
              <w:top w:val="single" w:sz="4" w:space="0" w:color="auto"/>
              <w:left w:val="single" w:sz="4" w:space="0" w:color="auto"/>
              <w:bottom w:val="single" w:sz="4" w:space="0" w:color="auto"/>
              <w:right w:val="single" w:sz="4" w:space="0" w:color="auto"/>
            </w:tcBorders>
            <w:vAlign w:val="center"/>
          </w:tcPr>
          <w:p w:rsidR="0023127D" w:rsidRPr="00126BFF" w:rsidRDefault="0023127D" w:rsidP="0023127D">
            <w:pPr>
              <w:jc w:val="center"/>
              <w:rPr>
                <w:sz w:val="22"/>
                <w:szCs w:val="22"/>
              </w:rPr>
            </w:pPr>
            <w:r>
              <w:rPr>
                <w:sz w:val="22"/>
                <w:szCs w:val="22"/>
              </w:rPr>
              <w:t>0,67</w:t>
            </w:r>
          </w:p>
        </w:tc>
      </w:tr>
      <w:tr w:rsidR="0023127D" w:rsidRPr="00126BFF" w:rsidTr="00E1021B">
        <w:trPr>
          <w:trHeight w:val="420"/>
        </w:trPr>
        <w:tc>
          <w:tcPr>
            <w:tcW w:w="2121" w:type="pct"/>
            <w:tcBorders>
              <w:top w:val="single" w:sz="4" w:space="0" w:color="auto"/>
              <w:left w:val="single" w:sz="4" w:space="0" w:color="auto"/>
              <w:bottom w:val="single" w:sz="4" w:space="0" w:color="auto"/>
              <w:right w:val="single" w:sz="4" w:space="0" w:color="auto"/>
            </w:tcBorders>
            <w:vAlign w:val="center"/>
          </w:tcPr>
          <w:p w:rsidR="0023127D" w:rsidRPr="00E325ED" w:rsidRDefault="0023127D" w:rsidP="0023127D">
            <w:pPr>
              <w:pStyle w:val="a5"/>
              <w:ind w:left="0"/>
              <w:rPr>
                <w:sz w:val="22"/>
                <w:szCs w:val="22"/>
              </w:rPr>
            </w:pPr>
            <w:proofErr w:type="spellStart"/>
            <w:r w:rsidRPr="00126BFF">
              <w:rPr>
                <w:sz w:val="22"/>
                <w:szCs w:val="22"/>
              </w:rPr>
              <w:t>Испр</w:t>
            </w:r>
            <w:proofErr w:type="spellEnd"/>
            <w:r w:rsidRPr="00126BFF">
              <w:rPr>
                <w:sz w:val="22"/>
                <w:szCs w:val="22"/>
              </w:rPr>
              <w:t xml:space="preserve">. </w:t>
            </w:r>
            <w:r w:rsidRPr="00E325ED">
              <w:rPr>
                <w:sz w:val="22"/>
                <w:szCs w:val="22"/>
              </w:rPr>
              <w:t xml:space="preserve"> </w:t>
            </w:r>
            <w:r w:rsidRPr="00126BFF">
              <w:rPr>
                <w:sz w:val="22"/>
                <w:szCs w:val="22"/>
              </w:rPr>
              <w:t>R-квадрат</w:t>
            </w:r>
          </w:p>
        </w:tc>
        <w:tc>
          <w:tcPr>
            <w:tcW w:w="2879" w:type="pct"/>
            <w:gridSpan w:val="2"/>
            <w:tcBorders>
              <w:top w:val="single" w:sz="4" w:space="0" w:color="auto"/>
              <w:left w:val="single" w:sz="4" w:space="0" w:color="auto"/>
              <w:bottom w:val="single" w:sz="4" w:space="0" w:color="auto"/>
              <w:right w:val="single" w:sz="4" w:space="0" w:color="auto"/>
            </w:tcBorders>
            <w:vAlign w:val="center"/>
          </w:tcPr>
          <w:p w:rsidR="0023127D" w:rsidRPr="00126BFF" w:rsidRDefault="0023127D" w:rsidP="0023127D">
            <w:pPr>
              <w:jc w:val="center"/>
              <w:rPr>
                <w:sz w:val="22"/>
                <w:szCs w:val="22"/>
              </w:rPr>
            </w:pPr>
            <w:r>
              <w:rPr>
                <w:sz w:val="22"/>
                <w:szCs w:val="22"/>
              </w:rPr>
              <w:t>0,68</w:t>
            </w:r>
          </w:p>
        </w:tc>
      </w:tr>
      <w:tr w:rsidR="0023127D" w:rsidRPr="00126BFF" w:rsidTr="00E1021B">
        <w:trPr>
          <w:trHeight w:val="565"/>
        </w:trPr>
        <w:tc>
          <w:tcPr>
            <w:tcW w:w="2121" w:type="pct"/>
            <w:tcBorders>
              <w:top w:val="single" w:sz="4" w:space="0" w:color="auto"/>
              <w:left w:val="single" w:sz="4" w:space="0" w:color="auto"/>
              <w:bottom w:val="single" w:sz="4" w:space="0" w:color="auto"/>
              <w:right w:val="single" w:sz="4" w:space="0" w:color="auto"/>
            </w:tcBorders>
            <w:vAlign w:val="center"/>
          </w:tcPr>
          <w:p w:rsidR="0023127D" w:rsidRPr="00126BFF" w:rsidRDefault="0023127D" w:rsidP="0023127D">
            <w:pPr>
              <w:pStyle w:val="a5"/>
              <w:ind w:left="0"/>
              <w:rPr>
                <w:sz w:val="22"/>
                <w:szCs w:val="22"/>
              </w:rPr>
            </w:pPr>
            <w:r w:rsidRPr="00126BFF">
              <w:rPr>
                <w:sz w:val="22"/>
                <w:szCs w:val="22"/>
              </w:rPr>
              <w:t xml:space="preserve">Кол-во </w:t>
            </w:r>
            <w:r>
              <w:rPr>
                <w:sz w:val="22"/>
                <w:szCs w:val="22"/>
              </w:rPr>
              <w:t>корректно предсказанных</w:t>
            </w:r>
            <w:r w:rsidRPr="00126BFF">
              <w:rPr>
                <w:sz w:val="22"/>
                <w:szCs w:val="22"/>
              </w:rPr>
              <w:t xml:space="preserve"> случаев</w:t>
            </w:r>
          </w:p>
        </w:tc>
        <w:tc>
          <w:tcPr>
            <w:tcW w:w="2879" w:type="pct"/>
            <w:gridSpan w:val="2"/>
            <w:tcBorders>
              <w:top w:val="single" w:sz="4" w:space="0" w:color="auto"/>
              <w:left w:val="single" w:sz="4" w:space="0" w:color="auto"/>
              <w:bottom w:val="single" w:sz="4" w:space="0" w:color="auto"/>
              <w:right w:val="single" w:sz="4" w:space="0" w:color="auto"/>
            </w:tcBorders>
            <w:vAlign w:val="center"/>
          </w:tcPr>
          <w:p w:rsidR="0023127D" w:rsidRPr="00126BFF" w:rsidRDefault="00C955AD" w:rsidP="0023127D">
            <w:pPr>
              <w:jc w:val="center"/>
              <w:rPr>
                <w:sz w:val="22"/>
                <w:szCs w:val="22"/>
              </w:rPr>
            </w:pPr>
            <w:r>
              <w:rPr>
                <w:sz w:val="22"/>
                <w:szCs w:val="22"/>
              </w:rPr>
              <w:t>97,7</w:t>
            </w:r>
            <w:r w:rsidR="0023127D">
              <w:rPr>
                <w:sz w:val="22"/>
                <w:szCs w:val="22"/>
              </w:rPr>
              <w:t>%</w:t>
            </w:r>
          </w:p>
        </w:tc>
      </w:tr>
    </w:tbl>
    <w:p w:rsidR="00E325ED" w:rsidRDefault="00E325ED" w:rsidP="00784B1C">
      <w:pPr>
        <w:spacing w:after="120" w:line="360" w:lineRule="auto"/>
        <w:ind w:firstLine="720"/>
        <w:jc w:val="both"/>
      </w:pPr>
    </w:p>
    <w:p w:rsidR="00784B1C" w:rsidRDefault="00E325ED" w:rsidP="00B763A5">
      <w:pPr>
        <w:spacing w:after="120" w:line="360" w:lineRule="auto"/>
        <w:ind w:firstLine="720"/>
        <w:jc w:val="both"/>
        <w:rPr>
          <w:b/>
          <w:u w:val="single"/>
        </w:rPr>
      </w:pPr>
      <w:r>
        <w:t xml:space="preserve">На втором этапе </w:t>
      </w:r>
      <w:r w:rsidR="0026530B">
        <w:t xml:space="preserve">выборка была разбита на две </w:t>
      </w:r>
      <w:proofErr w:type="spellStart"/>
      <w:r w:rsidR="0026530B">
        <w:t>подвыборки</w:t>
      </w:r>
      <w:proofErr w:type="spellEnd"/>
      <w:r w:rsidR="0026530B">
        <w:t xml:space="preserve"> – с долговой нагрузкой выше и ниже медианного значения по </w:t>
      </w:r>
      <w:r w:rsidR="007354CF">
        <w:t>выборке</w:t>
      </w:r>
      <w:r w:rsidR="0026530B">
        <w:t xml:space="preserve">. </w:t>
      </w:r>
      <w:r w:rsidR="00CF1A29">
        <w:t xml:space="preserve">Это позволяет проверить вторую гипотезу – о том, что влияние финансового </w:t>
      </w:r>
      <w:proofErr w:type="spellStart"/>
      <w:r w:rsidR="00CF1A29">
        <w:t>левериджа</w:t>
      </w:r>
      <w:proofErr w:type="spellEnd"/>
      <w:r w:rsidR="00CF1A29">
        <w:t xml:space="preserve"> на вероятность банкротства зависит от текущего уровня долговой нагрузки. </w:t>
      </w:r>
    </w:p>
    <w:p w:rsidR="00784B1C" w:rsidRPr="00FE52B8" w:rsidRDefault="00784B1C" w:rsidP="00784B1C">
      <w:pPr>
        <w:spacing w:after="120" w:line="360" w:lineRule="auto"/>
        <w:ind w:firstLine="720"/>
        <w:jc w:val="right"/>
        <w:rPr>
          <w:i/>
          <w:sz w:val="22"/>
          <w:szCs w:val="22"/>
        </w:rPr>
      </w:pPr>
      <w:r w:rsidRPr="00FE52B8">
        <w:rPr>
          <w:i/>
          <w:sz w:val="22"/>
          <w:szCs w:val="22"/>
        </w:rPr>
        <w:t>Таблица. Результаты оценивания модели</w:t>
      </w:r>
    </w:p>
    <w:tbl>
      <w:tblPr>
        <w:tblStyle w:val="aa"/>
        <w:tblW w:w="5000" w:type="pct"/>
        <w:tblLook w:val="01E0" w:firstRow="1" w:lastRow="1" w:firstColumn="1" w:lastColumn="1" w:noHBand="0" w:noVBand="0"/>
      </w:tblPr>
      <w:tblGrid>
        <w:gridCol w:w="2498"/>
        <w:gridCol w:w="1518"/>
        <w:gridCol w:w="1699"/>
        <w:gridCol w:w="1890"/>
        <w:gridCol w:w="1740"/>
      </w:tblGrid>
      <w:tr w:rsidR="008B4628" w:rsidRPr="00126BFF" w:rsidTr="00287D8C">
        <w:trPr>
          <w:trHeight w:val="418"/>
        </w:trPr>
        <w:tc>
          <w:tcPr>
            <w:tcW w:w="1337" w:type="pct"/>
            <w:tcBorders>
              <w:top w:val="single" w:sz="4" w:space="0" w:color="auto"/>
              <w:left w:val="single" w:sz="4" w:space="0" w:color="auto"/>
              <w:bottom w:val="single" w:sz="4" w:space="0" w:color="auto"/>
              <w:right w:val="single" w:sz="4" w:space="0" w:color="auto"/>
            </w:tcBorders>
            <w:shd w:val="clear" w:color="auto" w:fill="D9D9D9"/>
            <w:vAlign w:val="center"/>
          </w:tcPr>
          <w:p w:rsidR="008B4628" w:rsidRPr="00126BFF" w:rsidRDefault="008B4628" w:rsidP="00126BFF">
            <w:pPr>
              <w:rPr>
                <w:sz w:val="22"/>
                <w:szCs w:val="22"/>
              </w:rPr>
            </w:pPr>
          </w:p>
        </w:tc>
        <w:tc>
          <w:tcPr>
            <w:tcW w:w="172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B4628" w:rsidRPr="00126BFF" w:rsidRDefault="008B4628" w:rsidP="008B4628">
            <w:pPr>
              <w:jc w:val="center"/>
              <w:rPr>
                <w:sz w:val="22"/>
                <w:szCs w:val="22"/>
              </w:rPr>
            </w:pPr>
            <w:r w:rsidRPr="008B4628">
              <w:rPr>
                <w:sz w:val="22"/>
                <w:szCs w:val="22"/>
              </w:rPr>
              <w:t xml:space="preserve">Модель для финансового </w:t>
            </w:r>
            <w:proofErr w:type="spellStart"/>
            <w:r w:rsidRPr="008B4628">
              <w:rPr>
                <w:sz w:val="22"/>
                <w:szCs w:val="22"/>
              </w:rPr>
              <w:t>левериджа</w:t>
            </w:r>
            <w:proofErr w:type="spellEnd"/>
            <w:r w:rsidRPr="008B4628">
              <w:rPr>
                <w:sz w:val="22"/>
                <w:szCs w:val="22"/>
              </w:rPr>
              <w:t xml:space="preserve"> </w:t>
            </w:r>
            <w:r>
              <w:rPr>
                <w:sz w:val="22"/>
                <w:szCs w:val="22"/>
              </w:rPr>
              <w:t>ниже</w:t>
            </w:r>
            <w:r w:rsidRPr="008B4628">
              <w:rPr>
                <w:sz w:val="22"/>
                <w:szCs w:val="22"/>
              </w:rPr>
              <w:t xml:space="preserve"> медианы</w:t>
            </w:r>
          </w:p>
        </w:tc>
        <w:tc>
          <w:tcPr>
            <w:tcW w:w="194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B4628" w:rsidRPr="00126BFF" w:rsidRDefault="008B4628" w:rsidP="00126BFF">
            <w:pPr>
              <w:jc w:val="center"/>
              <w:rPr>
                <w:sz w:val="22"/>
                <w:szCs w:val="22"/>
              </w:rPr>
            </w:pPr>
            <w:r w:rsidRPr="008B4628">
              <w:rPr>
                <w:sz w:val="22"/>
                <w:szCs w:val="22"/>
              </w:rPr>
              <w:t xml:space="preserve">Модель для финансового </w:t>
            </w:r>
            <w:proofErr w:type="spellStart"/>
            <w:r w:rsidRPr="008B4628">
              <w:rPr>
                <w:sz w:val="22"/>
                <w:szCs w:val="22"/>
              </w:rPr>
              <w:t>левериджа</w:t>
            </w:r>
            <w:proofErr w:type="spellEnd"/>
            <w:r w:rsidRPr="008B4628">
              <w:rPr>
                <w:sz w:val="22"/>
                <w:szCs w:val="22"/>
              </w:rPr>
              <w:t xml:space="preserve"> выше медианы</w:t>
            </w:r>
          </w:p>
        </w:tc>
      </w:tr>
      <w:tr w:rsidR="008B4628" w:rsidRPr="00126BFF" w:rsidTr="00287D8C">
        <w:tc>
          <w:tcPr>
            <w:tcW w:w="133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B4628" w:rsidRPr="00126BFF" w:rsidRDefault="008B4628" w:rsidP="00126BFF">
            <w:pPr>
              <w:rPr>
                <w:sz w:val="22"/>
                <w:szCs w:val="22"/>
              </w:rPr>
            </w:pPr>
            <w:r w:rsidRPr="00126BFF">
              <w:rPr>
                <w:sz w:val="22"/>
                <w:szCs w:val="22"/>
              </w:rPr>
              <w:t>Факторы</w:t>
            </w:r>
          </w:p>
        </w:tc>
        <w:tc>
          <w:tcPr>
            <w:tcW w:w="81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B4628" w:rsidRPr="00126BFF" w:rsidRDefault="008B4628" w:rsidP="008B4628">
            <w:pPr>
              <w:jc w:val="center"/>
              <w:rPr>
                <w:sz w:val="22"/>
                <w:szCs w:val="22"/>
              </w:rPr>
            </w:pPr>
            <w:r w:rsidRPr="00126BFF">
              <w:rPr>
                <w:sz w:val="22"/>
                <w:szCs w:val="22"/>
              </w:rPr>
              <w:t>Коэфф</w:t>
            </w:r>
            <w:r>
              <w:rPr>
                <w:sz w:val="22"/>
                <w:szCs w:val="22"/>
              </w:rPr>
              <w:t>ициен</w:t>
            </w:r>
            <w:r w:rsidRPr="00126BFF">
              <w:rPr>
                <w:sz w:val="22"/>
                <w:szCs w:val="22"/>
              </w:rPr>
              <w:t>т</w:t>
            </w:r>
          </w:p>
          <w:p w:rsidR="008B4628" w:rsidRPr="00126BFF" w:rsidRDefault="008B4628" w:rsidP="008B4628">
            <w:pPr>
              <w:jc w:val="center"/>
              <w:rPr>
                <w:sz w:val="22"/>
                <w:szCs w:val="22"/>
              </w:rPr>
            </w:pPr>
            <w:r w:rsidRPr="00126BFF">
              <w:rPr>
                <w:sz w:val="22"/>
                <w:szCs w:val="22"/>
              </w:rPr>
              <w:lastRenderedPageBreak/>
              <w:t xml:space="preserve"> (Ст. ошибка)</w:t>
            </w:r>
          </w:p>
        </w:tc>
        <w:tc>
          <w:tcPr>
            <w:tcW w:w="90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B4628" w:rsidRPr="00126BFF" w:rsidRDefault="008B4628" w:rsidP="00126BFF">
            <w:pPr>
              <w:jc w:val="center"/>
              <w:rPr>
                <w:sz w:val="22"/>
                <w:szCs w:val="22"/>
              </w:rPr>
            </w:pPr>
            <w:r>
              <w:rPr>
                <w:sz w:val="22"/>
                <w:szCs w:val="22"/>
              </w:rPr>
              <w:lastRenderedPageBreak/>
              <w:t>Значимос</w:t>
            </w:r>
            <w:r w:rsidRPr="00126BFF">
              <w:rPr>
                <w:sz w:val="22"/>
                <w:szCs w:val="22"/>
              </w:rPr>
              <w:t>ть</w:t>
            </w:r>
          </w:p>
        </w:tc>
        <w:tc>
          <w:tcPr>
            <w:tcW w:w="101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B4628" w:rsidRPr="00126BFF" w:rsidRDefault="008B4628" w:rsidP="00126BFF">
            <w:pPr>
              <w:jc w:val="center"/>
              <w:rPr>
                <w:sz w:val="22"/>
                <w:szCs w:val="22"/>
              </w:rPr>
            </w:pPr>
            <w:r w:rsidRPr="00126BFF">
              <w:rPr>
                <w:sz w:val="22"/>
                <w:szCs w:val="22"/>
              </w:rPr>
              <w:t>Коэфф</w:t>
            </w:r>
            <w:r>
              <w:rPr>
                <w:sz w:val="22"/>
                <w:szCs w:val="22"/>
              </w:rPr>
              <w:t>ициен</w:t>
            </w:r>
            <w:r w:rsidRPr="00126BFF">
              <w:rPr>
                <w:sz w:val="22"/>
                <w:szCs w:val="22"/>
              </w:rPr>
              <w:t>т</w:t>
            </w:r>
          </w:p>
          <w:p w:rsidR="008B4628" w:rsidRPr="00126BFF" w:rsidRDefault="008B4628" w:rsidP="00126BFF">
            <w:pPr>
              <w:jc w:val="center"/>
              <w:rPr>
                <w:sz w:val="22"/>
                <w:szCs w:val="22"/>
              </w:rPr>
            </w:pPr>
            <w:r w:rsidRPr="00126BFF">
              <w:rPr>
                <w:sz w:val="22"/>
                <w:szCs w:val="22"/>
              </w:rPr>
              <w:lastRenderedPageBreak/>
              <w:t>(Ст. ошибка)</w:t>
            </w:r>
          </w:p>
        </w:tc>
        <w:tc>
          <w:tcPr>
            <w:tcW w:w="93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B4628" w:rsidRPr="00126BFF" w:rsidRDefault="008B4628" w:rsidP="00126BFF">
            <w:pPr>
              <w:jc w:val="center"/>
              <w:rPr>
                <w:sz w:val="22"/>
                <w:szCs w:val="22"/>
              </w:rPr>
            </w:pPr>
            <w:r>
              <w:rPr>
                <w:sz w:val="22"/>
                <w:szCs w:val="22"/>
              </w:rPr>
              <w:lastRenderedPageBreak/>
              <w:t>Значимос</w:t>
            </w:r>
            <w:r w:rsidRPr="00126BFF">
              <w:rPr>
                <w:sz w:val="22"/>
                <w:szCs w:val="22"/>
              </w:rPr>
              <w:t>ть</w:t>
            </w:r>
          </w:p>
        </w:tc>
      </w:tr>
      <w:tr w:rsidR="00AD7914" w:rsidRPr="00126BFF" w:rsidTr="00287D8C">
        <w:tc>
          <w:tcPr>
            <w:tcW w:w="1337" w:type="pct"/>
            <w:tcBorders>
              <w:top w:val="single" w:sz="4" w:space="0" w:color="auto"/>
              <w:left w:val="single" w:sz="4" w:space="0" w:color="auto"/>
              <w:bottom w:val="single" w:sz="4" w:space="0" w:color="auto"/>
              <w:right w:val="single" w:sz="4" w:space="0" w:color="auto"/>
            </w:tcBorders>
            <w:vAlign w:val="center"/>
            <w:hideMark/>
          </w:tcPr>
          <w:p w:rsidR="00AD7914" w:rsidRPr="00126BFF" w:rsidRDefault="00AD7914" w:rsidP="00AD7914">
            <w:pPr>
              <w:pStyle w:val="a5"/>
              <w:ind w:left="0"/>
              <w:rPr>
                <w:sz w:val="22"/>
                <w:szCs w:val="22"/>
              </w:rPr>
            </w:pPr>
            <w:proofErr w:type="spellStart"/>
            <w:r w:rsidRPr="00126BFF">
              <w:rPr>
                <w:sz w:val="22"/>
                <w:szCs w:val="22"/>
                <w:lang w:val="en-US"/>
              </w:rPr>
              <w:t>const</w:t>
            </w:r>
            <w:proofErr w:type="spellEnd"/>
          </w:p>
        </w:tc>
        <w:tc>
          <w:tcPr>
            <w:tcW w:w="812" w:type="pct"/>
            <w:tcBorders>
              <w:top w:val="single" w:sz="4" w:space="0" w:color="auto"/>
              <w:left w:val="single" w:sz="4" w:space="0" w:color="auto"/>
              <w:bottom w:val="single" w:sz="4" w:space="0" w:color="auto"/>
              <w:right w:val="single" w:sz="4" w:space="0" w:color="auto"/>
            </w:tcBorders>
            <w:vAlign w:val="center"/>
          </w:tcPr>
          <w:p w:rsidR="00AD7914" w:rsidRDefault="00AD7914" w:rsidP="00AD7914">
            <w:pPr>
              <w:pStyle w:val="a5"/>
              <w:ind w:left="0"/>
              <w:jc w:val="center"/>
              <w:rPr>
                <w:sz w:val="22"/>
                <w:szCs w:val="22"/>
              </w:rPr>
            </w:pPr>
            <w:r>
              <w:rPr>
                <w:sz w:val="22"/>
                <w:szCs w:val="22"/>
                <w:lang w:val="en-US"/>
              </w:rPr>
              <w:t>-5</w:t>
            </w:r>
            <w:r>
              <w:rPr>
                <w:sz w:val="22"/>
                <w:szCs w:val="22"/>
              </w:rPr>
              <w:t xml:space="preserve">,3556 </w:t>
            </w:r>
          </w:p>
          <w:p w:rsidR="00AD7914" w:rsidRPr="002A66ED" w:rsidRDefault="00AD7914" w:rsidP="00AD7914">
            <w:pPr>
              <w:pStyle w:val="a5"/>
              <w:ind w:left="0"/>
              <w:jc w:val="center"/>
              <w:rPr>
                <w:sz w:val="22"/>
                <w:szCs w:val="22"/>
              </w:rPr>
            </w:pPr>
            <w:r>
              <w:rPr>
                <w:sz w:val="22"/>
                <w:szCs w:val="22"/>
              </w:rPr>
              <w:t>(0,4829)</w:t>
            </w:r>
          </w:p>
        </w:tc>
        <w:tc>
          <w:tcPr>
            <w:tcW w:w="909" w:type="pct"/>
            <w:tcBorders>
              <w:top w:val="single" w:sz="4" w:space="0" w:color="auto"/>
              <w:left w:val="single" w:sz="4" w:space="0" w:color="auto"/>
              <w:bottom w:val="single" w:sz="4" w:space="0" w:color="auto"/>
              <w:right w:val="single" w:sz="4" w:space="0" w:color="auto"/>
            </w:tcBorders>
            <w:vAlign w:val="center"/>
          </w:tcPr>
          <w:p w:rsidR="00AD7914" w:rsidRPr="00126BFF" w:rsidRDefault="00AD7914" w:rsidP="00AD7914">
            <w:pPr>
              <w:pStyle w:val="a5"/>
              <w:ind w:left="0"/>
              <w:jc w:val="center"/>
              <w:rPr>
                <w:sz w:val="22"/>
                <w:szCs w:val="22"/>
              </w:rPr>
            </w:pPr>
            <w:r>
              <w:rPr>
                <w:sz w:val="22"/>
                <w:szCs w:val="22"/>
              </w:rPr>
              <w:t>***</w:t>
            </w:r>
          </w:p>
        </w:tc>
        <w:tc>
          <w:tcPr>
            <w:tcW w:w="1011" w:type="pct"/>
            <w:tcBorders>
              <w:top w:val="single" w:sz="4" w:space="0" w:color="auto"/>
              <w:left w:val="single" w:sz="4" w:space="0" w:color="auto"/>
              <w:bottom w:val="single" w:sz="4" w:space="0" w:color="auto"/>
              <w:right w:val="single" w:sz="4" w:space="0" w:color="auto"/>
            </w:tcBorders>
            <w:vAlign w:val="center"/>
          </w:tcPr>
          <w:p w:rsidR="00AD7914" w:rsidRDefault="00306BD1" w:rsidP="00AD7914">
            <w:pPr>
              <w:pStyle w:val="a5"/>
              <w:ind w:left="0"/>
              <w:jc w:val="center"/>
              <w:rPr>
                <w:sz w:val="22"/>
                <w:szCs w:val="22"/>
              </w:rPr>
            </w:pPr>
            <w:r>
              <w:rPr>
                <w:sz w:val="22"/>
                <w:szCs w:val="22"/>
                <w:lang w:val="en-US"/>
              </w:rPr>
              <w:t>-6</w:t>
            </w:r>
            <w:r w:rsidR="00AD7914">
              <w:rPr>
                <w:sz w:val="22"/>
                <w:szCs w:val="22"/>
              </w:rPr>
              <w:t>,</w:t>
            </w:r>
            <w:r>
              <w:rPr>
                <w:sz w:val="22"/>
                <w:szCs w:val="22"/>
              </w:rPr>
              <w:t>0175</w:t>
            </w:r>
            <w:r w:rsidR="00AD7914">
              <w:rPr>
                <w:sz w:val="22"/>
                <w:szCs w:val="22"/>
              </w:rPr>
              <w:t xml:space="preserve"> </w:t>
            </w:r>
          </w:p>
          <w:p w:rsidR="00AD7914" w:rsidRPr="002A66ED" w:rsidRDefault="00306BD1" w:rsidP="00AD7914">
            <w:pPr>
              <w:pStyle w:val="a5"/>
              <w:ind w:left="0"/>
              <w:jc w:val="center"/>
              <w:rPr>
                <w:sz w:val="22"/>
                <w:szCs w:val="22"/>
              </w:rPr>
            </w:pPr>
            <w:r>
              <w:rPr>
                <w:sz w:val="22"/>
                <w:szCs w:val="22"/>
              </w:rPr>
              <w:t>(0,5426</w:t>
            </w:r>
            <w:r w:rsidR="00AD7914">
              <w:rPr>
                <w:sz w:val="22"/>
                <w:szCs w:val="22"/>
              </w:rPr>
              <w:t>)</w:t>
            </w:r>
          </w:p>
        </w:tc>
        <w:tc>
          <w:tcPr>
            <w:tcW w:w="931" w:type="pct"/>
            <w:tcBorders>
              <w:top w:val="single" w:sz="4" w:space="0" w:color="auto"/>
              <w:left w:val="single" w:sz="4" w:space="0" w:color="auto"/>
              <w:bottom w:val="single" w:sz="4" w:space="0" w:color="auto"/>
              <w:right w:val="single" w:sz="4" w:space="0" w:color="auto"/>
            </w:tcBorders>
            <w:vAlign w:val="center"/>
          </w:tcPr>
          <w:p w:rsidR="00AD7914" w:rsidRPr="00126BFF" w:rsidRDefault="00AD7914" w:rsidP="00AD7914">
            <w:pPr>
              <w:autoSpaceDE w:val="0"/>
              <w:autoSpaceDN w:val="0"/>
              <w:adjustRightInd w:val="0"/>
              <w:jc w:val="center"/>
              <w:rPr>
                <w:sz w:val="22"/>
                <w:szCs w:val="22"/>
              </w:rPr>
            </w:pPr>
            <w:r>
              <w:rPr>
                <w:sz w:val="22"/>
                <w:szCs w:val="22"/>
              </w:rPr>
              <w:t>***</w:t>
            </w:r>
          </w:p>
        </w:tc>
      </w:tr>
      <w:tr w:rsidR="003F11BF" w:rsidRPr="00126BFF" w:rsidTr="00287D8C">
        <w:tc>
          <w:tcPr>
            <w:tcW w:w="1337" w:type="pct"/>
            <w:tcBorders>
              <w:top w:val="single" w:sz="4" w:space="0" w:color="auto"/>
              <w:left w:val="single" w:sz="4" w:space="0" w:color="auto"/>
              <w:bottom w:val="single" w:sz="4" w:space="0" w:color="auto"/>
              <w:right w:val="single" w:sz="4" w:space="0" w:color="auto"/>
            </w:tcBorders>
            <w:vAlign w:val="center"/>
          </w:tcPr>
          <w:p w:rsidR="003F11BF" w:rsidRPr="00126BFF" w:rsidRDefault="003F11BF" w:rsidP="003F11BF">
            <w:pPr>
              <w:spacing w:line="360" w:lineRule="auto"/>
              <w:rPr>
                <w:sz w:val="22"/>
                <w:szCs w:val="22"/>
              </w:rPr>
            </w:pPr>
            <w:r w:rsidRPr="00126BFF">
              <w:rPr>
                <w:sz w:val="22"/>
                <w:szCs w:val="22"/>
                <w:lang w:val="en-US"/>
              </w:rPr>
              <w:t>DE</w:t>
            </w:r>
          </w:p>
        </w:tc>
        <w:tc>
          <w:tcPr>
            <w:tcW w:w="812" w:type="pct"/>
            <w:tcBorders>
              <w:top w:val="single" w:sz="4" w:space="0" w:color="auto"/>
              <w:left w:val="single" w:sz="4" w:space="0" w:color="auto"/>
              <w:bottom w:val="single" w:sz="4" w:space="0" w:color="auto"/>
              <w:right w:val="single" w:sz="4" w:space="0" w:color="auto"/>
            </w:tcBorders>
            <w:vAlign w:val="center"/>
          </w:tcPr>
          <w:p w:rsidR="003F11BF" w:rsidRDefault="00867876" w:rsidP="003F11BF">
            <w:pPr>
              <w:pStyle w:val="a5"/>
              <w:ind w:left="0"/>
              <w:jc w:val="center"/>
              <w:rPr>
                <w:sz w:val="22"/>
                <w:szCs w:val="22"/>
              </w:rPr>
            </w:pPr>
            <w:r>
              <w:rPr>
                <w:sz w:val="22"/>
                <w:szCs w:val="22"/>
              </w:rPr>
              <w:t>-0,0011</w:t>
            </w:r>
          </w:p>
          <w:p w:rsidR="003F11BF" w:rsidRPr="00126BFF" w:rsidRDefault="003F11BF" w:rsidP="00306BD1">
            <w:pPr>
              <w:pStyle w:val="a5"/>
              <w:ind w:left="0"/>
              <w:jc w:val="center"/>
              <w:rPr>
                <w:sz w:val="22"/>
                <w:szCs w:val="22"/>
              </w:rPr>
            </w:pPr>
            <w:r>
              <w:rPr>
                <w:sz w:val="22"/>
                <w:szCs w:val="22"/>
              </w:rPr>
              <w:t>(0,00</w:t>
            </w:r>
            <w:r w:rsidR="00867876">
              <w:rPr>
                <w:sz w:val="22"/>
                <w:szCs w:val="22"/>
              </w:rPr>
              <w:t>06</w:t>
            </w:r>
            <w:r>
              <w:rPr>
                <w:sz w:val="22"/>
                <w:szCs w:val="22"/>
              </w:rPr>
              <w:t>)</w:t>
            </w:r>
          </w:p>
        </w:tc>
        <w:tc>
          <w:tcPr>
            <w:tcW w:w="909" w:type="pct"/>
            <w:tcBorders>
              <w:top w:val="single" w:sz="4" w:space="0" w:color="auto"/>
              <w:left w:val="single" w:sz="4" w:space="0" w:color="auto"/>
              <w:bottom w:val="single" w:sz="4" w:space="0" w:color="auto"/>
              <w:right w:val="single" w:sz="4" w:space="0" w:color="auto"/>
            </w:tcBorders>
            <w:vAlign w:val="center"/>
          </w:tcPr>
          <w:p w:rsidR="003F11BF" w:rsidRPr="00126BFF" w:rsidRDefault="003F11BF" w:rsidP="003F11BF">
            <w:pPr>
              <w:pStyle w:val="a5"/>
              <w:ind w:left="0"/>
              <w:jc w:val="center"/>
              <w:rPr>
                <w:sz w:val="22"/>
                <w:szCs w:val="22"/>
              </w:rPr>
            </w:pPr>
            <w:r>
              <w:rPr>
                <w:sz w:val="22"/>
                <w:szCs w:val="22"/>
              </w:rPr>
              <w:t>*</w:t>
            </w:r>
          </w:p>
        </w:tc>
        <w:tc>
          <w:tcPr>
            <w:tcW w:w="1011" w:type="pct"/>
            <w:tcBorders>
              <w:top w:val="single" w:sz="4" w:space="0" w:color="auto"/>
              <w:left w:val="single" w:sz="4" w:space="0" w:color="auto"/>
              <w:bottom w:val="single" w:sz="4" w:space="0" w:color="auto"/>
              <w:right w:val="single" w:sz="4" w:space="0" w:color="auto"/>
            </w:tcBorders>
            <w:vAlign w:val="center"/>
          </w:tcPr>
          <w:p w:rsidR="003F11BF" w:rsidRDefault="00306BD1" w:rsidP="003F11BF">
            <w:pPr>
              <w:pStyle w:val="a5"/>
              <w:ind w:left="0"/>
              <w:jc w:val="center"/>
              <w:rPr>
                <w:sz w:val="22"/>
                <w:szCs w:val="22"/>
              </w:rPr>
            </w:pPr>
            <w:r>
              <w:rPr>
                <w:sz w:val="22"/>
                <w:szCs w:val="22"/>
              </w:rPr>
              <w:t>0,00</w:t>
            </w:r>
            <w:r w:rsidR="00FA20B9">
              <w:rPr>
                <w:sz w:val="22"/>
                <w:szCs w:val="22"/>
              </w:rPr>
              <w:t>45</w:t>
            </w:r>
          </w:p>
          <w:p w:rsidR="003F11BF" w:rsidRPr="00126BFF" w:rsidRDefault="003F11BF" w:rsidP="00FA20B9">
            <w:pPr>
              <w:pStyle w:val="a5"/>
              <w:ind w:left="0"/>
              <w:jc w:val="center"/>
              <w:rPr>
                <w:sz w:val="22"/>
                <w:szCs w:val="22"/>
              </w:rPr>
            </w:pPr>
            <w:r>
              <w:rPr>
                <w:sz w:val="22"/>
                <w:szCs w:val="22"/>
              </w:rPr>
              <w:t>(0,</w:t>
            </w:r>
            <w:r w:rsidR="00306BD1">
              <w:rPr>
                <w:sz w:val="22"/>
                <w:szCs w:val="22"/>
              </w:rPr>
              <w:t>001</w:t>
            </w:r>
            <w:r w:rsidR="00FA20B9">
              <w:rPr>
                <w:sz w:val="22"/>
                <w:szCs w:val="22"/>
              </w:rPr>
              <w:t>9</w:t>
            </w:r>
            <w:r>
              <w:rPr>
                <w:sz w:val="22"/>
                <w:szCs w:val="22"/>
              </w:rPr>
              <w:t>)</w:t>
            </w:r>
          </w:p>
        </w:tc>
        <w:tc>
          <w:tcPr>
            <w:tcW w:w="931" w:type="pct"/>
            <w:tcBorders>
              <w:top w:val="single" w:sz="4" w:space="0" w:color="auto"/>
              <w:left w:val="single" w:sz="4" w:space="0" w:color="auto"/>
              <w:bottom w:val="single" w:sz="4" w:space="0" w:color="auto"/>
              <w:right w:val="single" w:sz="4" w:space="0" w:color="auto"/>
            </w:tcBorders>
            <w:vAlign w:val="center"/>
          </w:tcPr>
          <w:p w:rsidR="003F11BF" w:rsidRPr="00126BFF" w:rsidRDefault="003F11BF" w:rsidP="003F11BF">
            <w:pPr>
              <w:autoSpaceDE w:val="0"/>
              <w:autoSpaceDN w:val="0"/>
              <w:adjustRightInd w:val="0"/>
              <w:jc w:val="center"/>
              <w:rPr>
                <w:sz w:val="22"/>
                <w:szCs w:val="22"/>
              </w:rPr>
            </w:pPr>
            <w:r>
              <w:rPr>
                <w:sz w:val="22"/>
                <w:szCs w:val="22"/>
              </w:rPr>
              <w:t>**</w:t>
            </w:r>
          </w:p>
        </w:tc>
      </w:tr>
      <w:tr w:rsidR="003F11BF" w:rsidRPr="00126BFF" w:rsidTr="00287D8C">
        <w:trPr>
          <w:trHeight w:val="459"/>
        </w:trPr>
        <w:tc>
          <w:tcPr>
            <w:tcW w:w="1337" w:type="pct"/>
            <w:tcBorders>
              <w:top w:val="single" w:sz="4" w:space="0" w:color="auto"/>
              <w:left w:val="single" w:sz="4" w:space="0" w:color="auto"/>
              <w:bottom w:val="single" w:sz="4" w:space="0" w:color="auto"/>
              <w:right w:val="single" w:sz="4" w:space="0" w:color="auto"/>
            </w:tcBorders>
            <w:vAlign w:val="center"/>
          </w:tcPr>
          <w:p w:rsidR="003F11BF" w:rsidRPr="00126BFF" w:rsidRDefault="003F11BF" w:rsidP="003F11BF">
            <w:pPr>
              <w:spacing w:line="360" w:lineRule="auto"/>
              <w:rPr>
                <w:sz w:val="22"/>
                <w:szCs w:val="22"/>
              </w:rPr>
            </w:pPr>
            <w:r w:rsidRPr="00126BFF">
              <w:rPr>
                <w:sz w:val="22"/>
                <w:szCs w:val="22"/>
                <w:lang w:val="en-US"/>
              </w:rPr>
              <w:t>TURN</w:t>
            </w:r>
          </w:p>
        </w:tc>
        <w:tc>
          <w:tcPr>
            <w:tcW w:w="812" w:type="pct"/>
            <w:tcBorders>
              <w:top w:val="single" w:sz="4" w:space="0" w:color="auto"/>
              <w:left w:val="single" w:sz="4" w:space="0" w:color="auto"/>
              <w:bottom w:val="single" w:sz="4" w:space="0" w:color="auto"/>
              <w:right w:val="single" w:sz="4" w:space="0" w:color="auto"/>
            </w:tcBorders>
            <w:vAlign w:val="center"/>
          </w:tcPr>
          <w:p w:rsidR="003F11BF" w:rsidRDefault="003F11BF" w:rsidP="003F11BF">
            <w:pPr>
              <w:pStyle w:val="a5"/>
              <w:ind w:left="0"/>
              <w:jc w:val="center"/>
              <w:rPr>
                <w:sz w:val="22"/>
                <w:szCs w:val="22"/>
              </w:rPr>
            </w:pPr>
            <w:r>
              <w:rPr>
                <w:sz w:val="22"/>
                <w:szCs w:val="22"/>
              </w:rPr>
              <w:t>-0,000</w:t>
            </w:r>
            <w:r w:rsidR="00306BD1">
              <w:rPr>
                <w:sz w:val="22"/>
                <w:szCs w:val="22"/>
              </w:rPr>
              <w:t>9</w:t>
            </w:r>
          </w:p>
          <w:p w:rsidR="003F11BF" w:rsidRPr="00E325ED" w:rsidRDefault="003F11BF" w:rsidP="00306BD1">
            <w:pPr>
              <w:pStyle w:val="a5"/>
              <w:ind w:left="0"/>
              <w:jc w:val="center"/>
              <w:rPr>
                <w:sz w:val="22"/>
                <w:szCs w:val="22"/>
              </w:rPr>
            </w:pPr>
            <w:r>
              <w:rPr>
                <w:sz w:val="22"/>
                <w:szCs w:val="22"/>
              </w:rPr>
              <w:t>(0,000</w:t>
            </w:r>
            <w:r w:rsidR="00306BD1">
              <w:rPr>
                <w:sz w:val="22"/>
                <w:szCs w:val="22"/>
              </w:rPr>
              <w:t>5</w:t>
            </w:r>
            <w:r>
              <w:rPr>
                <w:sz w:val="22"/>
                <w:szCs w:val="22"/>
              </w:rPr>
              <w:t>)</w:t>
            </w:r>
          </w:p>
        </w:tc>
        <w:tc>
          <w:tcPr>
            <w:tcW w:w="909" w:type="pct"/>
            <w:tcBorders>
              <w:top w:val="single" w:sz="4" w:space="0" w:color="auto"/>
              <w:left w:val="single" w:sz="4" w:space="0" w:color="auto"/>
              <w:bottom w:val="single" w:sz="4" w:space="0" w:color="auto"/>
              <w:right w:val="single" w:sz="4" w:space="0" w:color="auto"/>
            </w:tcBorders>
            <w:vAlign w:val="center"/>
          </w:tcPr>
          <w:p w:rsidR="003F11BF" w:rsidRPr="00126BFF" w:rsidRDefault="003F11BF" w:rsidP="003F11BF">
            <w:pPr>
              <w:pStyle w:val="a5"/>
              <w:ind w:left="0"/>
              <w:jc w:val="center"/>
              <w:rPr>
                <w:sz w:val="22"/>
                <w:szCs w:val="22"/>
              </w:rPr>
            </w:pPr>
            <w:r>
              <w:rPr>
                <w:sz w:val="22"/>
                <w:szCs w:val="22"/>
              </w:rPr>
              <w:t>*</w:t>
            </w:r>
          </w:p>
        </w:tc>
        <w:tc>
          <w:tcPr>
            <w:tcW w:w="1942" w:type="pct"/>
            <w:gridSpan w:val="2"/>
            <w:tcBorders>
              <w:top w:val="single" w:sz="4" w:space="0" w:color="auto"/>
              <w:left w:val="single" w:sz="4" w:space="0" w:color="auto"/>
              <w:bottom w:val="single" w:sz="4" w:space="0" w:color="auto"/>
              <w:right w:val="single" w:sz="4" w:space="0" w:color="auto"/>
            </w:tcBorders>
            <w:vAlign w:val="center"/>
          </w:tcPr>
          <w:p w:rsidR="003F11BF" w:rsidRPr="00126BFF" w:rsidRDefault="003F11BF" w:rsidP="003F11BF">
            <w:pPr>
              <w:autoSpaceDE w:val="0"/>
              <w:autoSpaceDN w:val="0"/>
              <w:adjustRightInd w:val="0"/>
              <w:jc w:val="center"/>
              <w:rPr>
                <w:sz w:val="22"/>
                <w:szCs w:val="22"/>
              </w:rPr>
            </w:pPr>
            <w:proofErr w:type="spellStart"/>
            <w:r>
              <w:rPr>
                <w:sz w:val="22"/>
                <w:szCs w:val="22"/>
              </w:rPr>
              <w:t>Незнач</w:t>
            </w:r>
            <w:proofErr w:type="spellEnd"/>
            <w:r>
              <w:rPr>
                <w:sz w:val="22"/>
                <w:szCs w:val="22"/>
              </w:rPr>
              <w:t>.</w:t>
            </w:r>
          </w:p>
        </w:tc>
      </w:tr>
      <w:tr w:rsidR="003F11BF" w:rsidRPr="00126BFF" w:rsidTr="00287D8C">
        <w:tc>
          <w:tcPr>
            <w:tcW w:w="1337" w:type="pct"/>
            <w:tcBorders>
              <w:top w:val="single" w:sz="4" w:space="0" w:color="auto"/>
              <w:left w:val="single" w:sz="4" w:space="0" w:color="auto"/>
              <w:bottom w:val="single" w:sz="4" w:space="0" w:color="auto"/>
              <w:right w:val="single" w:sz="4" w:space="0" w:color="auto"/>
            </w:tcBorders>
            <w:vAlign w:val="center"/>
          </w:tcPr>
          <w:p w:rsidR="003F11BF" w:rsidRPr="00126BFF" w:rsidRDefault="003F11BF" w:rsidP="003F11BF">
            <w:pPr>
              <w:spacing w:line="360" w:lineRule="auto"/>
              <w:rPr>
                <w:sz w:val="22"/>
                <w:szCs w:val="22"/>
              </w:rPr>
            </w:pPr>
            <w:r w:rsidRPr="00126BFF">
              <w:rPr>
                <w:sz w:val="22"/>
                <w:szCs w:val="22"/>
                <w:lang w:val="en-US"/>
              </w:rPr>
              <w:t>CR</w:t>
            </w:r>
          </w:p>
        </w:tc>
        <w:tc>
          <w:tcPr>
            <w:tcW w:w="812" w:type="pct"/>
            <w:tcBorders>
              <w:top w:val="single" w:sz="4" w:space="0" w:color="auto"/>
              <w:left w:val="single" w:sz="4" w:space="0" w:color="auto"/>
              <w:bottom w:val="single" w:sz="4" w:space="0" w:color="auto"/>
              <w:right w:val="single" w:sz="4" w:space="0" w:color="auto"/>
            </w:tcBorders>
            <w:vAlign w:val="center"/>
          </w:tcPr>
          <w:p w:rsidR="003F11BF" w:rsidRDefault="003F11BF" w:rsidP="003F11BF">
            <w:pPr>
              <w:pStyle w:val="a5"/>
              <w:ind w:left="0"/>
              <w:jc w:val="center"/>
              <w:rPr>
                <w:sz w:val="22"/>
                <w:szCs w:val="22"/>
              </w:rPr>
            </w:pPr>
            <w:r>
              <w:rPr>
                <w:sz w:val="22"/>
                <w:szCs w:val="22"/>
              </w:rPr>
              <w:t>-0,07</w:t>
            </w:r>
            <w:r w:rsidR="00306BD1">
              <w:rPr>
                <w:sz w:val="22"/>
                <w:szCs w:val="22"/>
              </w:rPr>
              <w:t>47</w:t>
            </w:r>
          </w:p>
          <w:p w:rsidR="003F11BF" w:rsidRPr="00126BFF" w:rsidRDefault="003F11BF" w:rsidP="00306BD1">
            <w:pPr>
              <w:pStyle w:val="a5"/>
              <w:ind w:left="0"/>
              <w:jc w:val="center"/>
              <w:rPr>
                <w:sz w:val="22"/>
                <w:szCs w:val="22"/>
              </w:rPr>
            </w:pPr>
            <w:r>
              <w:rPr>
                <w:sz w:val="22"/>
                <w:szCs w:val="22"/>
              </w:rPr>
              <w:t>(0,02</w:t>
            </w:r>
            <w:r w:rsidR="00306BD1">
              <w:rPr>
                <w:sz w:val="22"/>
                <w:szCs w:val="22"/>
              </w:rPr>
              <w:t>99</w:t>
            </w:r>
            <w:r>
              <w:rPr>
                <w:sz w:val="22"/>
                <w:szCs w:val="22"/>
              </w:rPr>
              <w:t>)</w:t>
            </w:r>
          </w:p>
        </w:tc>
        <w:tc>
          <w:tcPr>
            <w:tcW w:w="909" w:type="pct"/>
            <w:tcBorders>
              <w:top w:val="single" w:sz="4" w:space="0" w:color="auto"/>
              <w:left w:val="single" w:sz="4" w:space="0" w:color="auto"/>
              <w:bottom w:val="single" w:sz="4" w:space="0" w:color="auto"/>
              <w:right w:val="single" w:sz="4" w:space="0" w:color="auto"/>
            </w:tcBorders>
            <w:vAlign w:val="center"/>
          </w:tcPr>
          <w:p w:rsidR="003F11BF" w:rsidRPr="003D7FF0" w:rsidRDefault="003F11BF" w:rsidP="003F11BF">
            <w:pPr>
              <w:pStyle w:val="a5"/>
              <w:ind w:left="0"/>
              <w:jc w:val="center"/>
              <w:rPr>
                <w:sz w:val="22"/>
                <w:szCs w:val="22"/>
              </w:rPr>
            </w:pPr>
            <w:r>
              <w:rPr>
                <w:sz w:val="22"/>
                <w:szCs w:val="22"/>
              </w:rPr>
              <w:t>**</w:t>
            </w:r>
          </w:p>
        </w:tc>
        <w:tc>
          <w:tcPr>
            <w:tcW w:w="1011" w:type="pct"/>
            <w:tcBorders>
              <w:top w:val="single" w:sz="4" w:space="0" w:color="auto"/>
              <w:left w:val="single" w:sz="4" w:space="0" w:color="auto"/>
              <w:bottom w:val="single" w:sz="4" w:space="0" w:color="auto"/>
              <w:right w:val="single" w:sz="4" w:space="0" w:color="auto"/>
            </w:tcBorders>
            <w:vAlign w:val="center"/>
          </w:tcPr>
          <w:p w:rsidR="003F11BF" w:rsidRDefault="003F11BF" w:rsidP="003F11BF">
            <w:pPr>
              <w:pStyle w:val="a5"/>
              <w:ind w:left="0"/>
              <w:jc w:val="center"/>
              <w:rPr>
                <w:sz w:val="22"/>
                <w:szCs w:val="22"/>
              </w:rPr>
            </w:pPr>
            <w:r>
              <w:rPr>
                <w:sz w:val="22"/>
                <w:szCs w:val="22"/>
              </w:rPr>
              <w:t>-0,07</w:t>
            </w:r>
            <w:r w:rsidR="00306BD1">
              <w:rPr>
                <w:sz w:val="22"/>
                <w:szCs w:val="22"/>
              </w:rPr>
              <w:t>29</w:t>
            </w:r>
          </w:p>
          <w:p w:rsidR="003F11BF" w:rsidRPr="00126BFF" w:rsidRDefault="00306BD1" w:rsidP="003F11BF">
            <w:pPr>
              <w:pStyle w:val="a5"/>
              <w:ind w:left="0"/>
              <w:jc w:val="center"/>
              <w:rPr>
                <w:sz w:val="22"/>
                <w:szCs w:val="22"/>
              </w:rPr>
            </w:pPr>
            <w:r>
              <w:rPr>
                <w:sz w:val="22"/>
                <w:szCs w:val="22"/>
              </w:rPr>
              <w:t>(0,0281</w:t>
            </w:r>
            <w:r w:rsidR="003F11BF">
              <w:rPr>
                <w:sz w:val="22"/>
                <w:szCs w:val="22"/>
              </w:rPr>
              <w:t>)</w:t>
            </w:r>
          </w:p>
        </w:tc>
        <w:tc>
          <w:tcPr>
            <w:tcW w:w="931" w:type="pct"/>
            <w:tcBorders>
              <w:top w:val="single" w:sz="4" w:space="0" w:color="auto"/>
              <w:left w:val="single" w:sz="4" w:space="0" w:color="auto"/>
              <w:bottom w:val="single" w:sz="4" w:space="0" w:color="auto"/>
              <w:right w:val="single" w:sz="4" w:space="0" w:color="auto"/>
            </w:tcBorders>
            <w:vAlign w:val="center"/>
          </w:tcPr>
          <w:p w:rsidR="003F11BF" w:rsidRPr="00126BFF" w:rsidRDefault="003F11BF" w:rsidP="003F11BF">
            <w:pPr>
              <w:autoSpaceDE w:val="0"/>
              <w:autoSpaceDN w:val="0"/>
              <w:adjustRightInd w:val="0"/>
              <w:jc w:val="center"/>
              <w:rPr>
                <w:sz w:val="22"/>
                <w:szCs w:val="22"/>
              </w:rPr>
            </w:pPr>
            <w:r>
              <w:rPr>
                <w:sz w:val="22"/>
                <w:szCs w:val="22"/>
              </w:rPr>
              <w:t>***</w:t>
            </w:r>
          </w:p>
        </w:tc>
      </w:tr>
      <w:tr w:rsidR="003F11BF" w:rsidRPr="00126BFF" w:rsidTr="002F486F">
        <w:trPr>
          <w:trHeight w:val="438"/>
        </w:trPr>
        <w:tc>
          <w:tcPr>
            <w:tcW w:w="1337" w:type="pct"/>
            <w:tcBorders>
              <w:top w:val="single" w:sz="4" w:space="0" w:color="auto"/>
              <w:left w:val="single" w:sz="4" w:space="0" w:color="auto"/>
              <w:bottom w:val="single" w:sz="4" w:space="0" w:color="auto"/>
              <w:right w:val="single" w:sz="4" w:space="0" w:color="auto"/>
            </w:tcBorders>
            <w:vAlign w:val="center"/>
          </w:tcPr>
          <w:p w:rsidR="003F11BF" w:rsidRPr="00126BFF" w:rsidRDefault="003F11BF" w:rsidP="003F11BF">
            <w:pPr>
              <w:spacing w:line="360" w:lineRule="auto"/>
              <w:rPr>
                <w:sz w:val="22"/>
                <w:szCs w:val="22"/>
              </w:rPr>
            </w:pPr>
            <w:r w:rsidRPr="00126BFF">
              <w:rPr>
                <w:sz w:val="22"/>
                <w:szCs w:val="22"/>
                <w:lang w:val="en-US"/>
              </w:rPr>
              <w:t>ROE</w:t>
            </w:r>
          </w:p>
        </w:tc>
        <w:tc>
          <w:tcPr>
            <w:tcW w:w="812" w:type="pct"/>
            <w:tcBorders>
              <w:top w:val="single" w:sz="4" w:space="0" w:color="auto"/>
              <w:left w:val="single" w:sz="4" w:space="0" w:color="auto"/>
              <w:bottom w:val="single" w:sz="4" w:space="0" w:color="auto"/>
              <w:right w:val="single" w:sz="4" w:space="0" w:color="auto"/>
            </w:tcBorders>
            <w:vAlign w:val="center"/>
          </w:tcPr>
          <w:p w:rsidR="003F11BF" w:rsidRDefault="00306BD1" w:rsidP="003F11BF">
            <w:pPr>
              <w:pStyle w:val="a5"/>
              <w:ind w:left="0"/>
              <w:jc w:val="center"/>
              <w:rPr>
                <w:sz w:val="22"/>
                <w:szCs w:val="22"/>
              </w:rPr>
            </w:pPr>
            <w:r>
              <w:rPr>
                <w:sz w:val="22"/>
                <w:szCs w:val="22"/>
              </w:rPr>
              <w:t>-0,0051</w:t>
            </w:r>
          </w:p>
          <w:p w:rsidR="003F11BF" w:rsidRPr="00E325ED" w:rsidRDefault="00306BD1" w:rsidP="003F11BF">
            <w:pPr>
              <w:pStyle w:val="a5"/>
              <w:ind w:left="0"/>
              <w:jc w:val="center"/>
              <w:rPr>
                <w:sz w:val="22"/>
                <w:szCs w:val="22"/>
              </w:rPr>
            </w:pPr>
            <w:r>
              <w:rPr>
                <w:sz w:val="22"/>
                <w:szCs w:val="22"/>
              </w:rPr>
              <w:t>(0,0028</w:t>
            </w:r>
            <w:r w:rsidR="003F11BF">
              <w:rPr>
                <w:sz w:val="22"/>
                <w:szCs w:val="22"/>
              </w:rPr>
              <w:t>)</w:t>
            </w:r>
          </w:p>
        </w:tc>
        <w:tc>
          <w:tcPr>
            <w:tcW w:w="909" w:type="pct"/>
            <w:tcBorders>
              <w:top w:val="single" w:sz="4" w:space="0" w:color="auto"/>
              <w:left w:val="single" w:sz="4" w:space="0" w:color="auto"/>
              <w:bottom w:val="single" w:sz="4" w:space="0" w:color="auto"/>
              <w:right w:val="single" w:sz="4" w:space="0" w:color="auto"/>
            </w:tcBorders>
            <w:vAlign w:val="center"/>
          </w:tcPr>
          <w:p w:rsidR="003F11BF" w:rsidRPr="00CF1A29" w:rsidRDefault="003F11BF" w:rsidP="003F11BF">
            <w:pPr>
              <w:pStyle w:val="a5"/>
              <w:ind w:left="0"/>
              <w:jc w:val="center"/>
              <w:rPr>
                <w:sz w:val="22"/>
                <w:szCs w:val="22"/>
              </w:rPr>
            </w:pPr>
            <w:r>
              <w:rPr>
                <w:sz w:val="22"/>
                <w:szCs w:val="22"/>
              </w:rPr>
              <w:t>*</w:t>
            </w:r>
          </w:p>
        </w:tc>
        <w:tc>
          <w:tcPr>
            <w:tcW w:w="1011" w:type="pct"/>
            <w:tcBorders>
              <w:top w:val="single" w:sz="4" w:space="0" w:color="auto"/>
              <w:left w:val="single" w:sz="4" w:space="0" w:color="auto"/>
              <w:bottom w:val="single" w:sz="4" w:space="0" w:color="auto"/>
              <w:right w:val="single" w:sz="4" w:space="0" w:color="auto"/>
            </w:tcBorders>
            <w:vAlign w:val="center"/>
          </w:tcPr>
          <w:p w:rsidR="003F11BF" w:rsidRDefault="00306BD1" w:rsidP="003F11BF">
            <w:pPr>
              <w:pStyle w:val="a5"/>
              <w:ind w:left="0"/>
              <w:jc w:val="center"/>
              <w:rPr>
                <w:sz w:val="22"/>
                <w:szCs w:val="22"/>
              </w:rPr>
            </w:pPr>
            <w:r>
              <w:rPr>
                <w:sz w:val="22"/>
                <w:szCs w:val="22"/>
              </w:rPr>
              <w:t>-0,0042</w:t>
            </w:r>
          </w:p>
          <w:p w:rsidR="003F11BF" w:rsidRPr="00E325ED" w:rsidRDefault="00306BD1" w:rsidP="003F11BF">
            <w:pPr>
              <w:pStyle w:val="a5"/>
              <w:ind w:left="0"/>
              <w:jc w:val="center"/>
              <w:rPr>
                <w:sz w:val="22"/>
                <w:szCs w:val="22"/>
              </w:rPr>
            </w:pPr>
            <w:r>
              <w:rPr>
                <w:sz w:val="22"/>
                <w:szCs w:val="22"/>
              </w:rPr>
              <w:t>(0,0021</w:t>
            </w:r>
            <w:r w:rsidR="003F11BF">
              <w:rPr>
                <w:sz w:val="22"/>
                <w:szCs w:val="22"/>
              </w:rPr>
              <w:t>)</w:t>
            </w:r>
          </w:p>
        </w:tc>
        <w:tc>
          <w:tcPr>
            <w:tcW w:w="931" w:type="pct"/>
            <w:tcBorders>
              <w:top w:val="single" w:sz="4" w:space="0" w:color="auto"/>
              <w:left w:val="single" w:sz="4" w:space="0" w:color="auto"/>
              <w:bottom w:val="single" w:sz="4" w:space="0" w:color="auto"/>
              <w:right w:val="single" w:sz="4" w:space="0" w:color="auto"/>
            </w:tcBorders>
            <w:vAlign w:val="center"/>
          </w:tcPr>
          <w:p w:rsidR="003F11BF" w:rsidRPr="00126BFF" w:rsidRDefault="003F11BF" w:rsidP="003F11BF">
            <w:pPr>
              <w:autoSpaceDE w:val="0"/>
              <w:autoSpaceDN w:val="0"/>
              <w:adjustRightInd w:val="0"/>
              <w:jc w:val="center"/>
              <w:rPr>
                <w:sz w:val="22"/>
                <w:szCs w:val="22"/>
              </w:rPr>
            </w:pPr>
            <w:r>
              <w:rPr>
                <w:sz w:val="22"/>
                <w:szCs w:val="22"/>
              </w:rPr>
              <w:t>**</w:t>
            </w:r>
          </w:p>
        </w:tc>
      </w:tr>
      <w:tr w:rsidR="003F11BF" w:rsidRPr="00126BFF" w:rsidTr="00287D8C">
        <w:tc>
          <w:tcPr>
            <w:tcW w:w="1337" w:type="pct"/>
            <w:tcBorders>
              <w:top w:val="single" w:sz="4" w:space="0" w:color="auto"/>
              <w:left w:val="single" w:sz="4" w:space="0" w:color="auto"/>
              <w:bottom w:val="single" w:sz="4" w:space="0" w:color="auto"/>
              <w:right w:val="single" w:sz="4" w:space="0" w:color="auto"/>
            </w:tcBorders>
            <w:vAlign w:val="center"/>
          </w:tcPr>
          <w:p w:rsidR="003F11BF" w:rsidRPr="00126BFF" w:rsidRDefault="003F11BF" w:rsidP="003F11BF">
            <w:pPr>
              <w:spacing w:line="360" w:lineRule="auto"/>
              <w:rPr>
                <w:sz w:val="22"/>
                <w:szCs w:val="22"/>
              </w:rPr>
            </w:pPr>
            <w:r w:rsidRPr="00126BFF">
              <w:rPr>
                <w:sz w:val="22"/>
                <w:szCs w:val="22"/>
                <w:lang w:val="en-US"/>
              </w:rPr>
              <w:t>RE</w:t>
            </w:r>
          </w:p>
        </w:tc>
        <w:tc>
          <w:tcPr>
            <w:tcW w:w="812" w:type="pct"/>
            <w:tcBorders>
              <w:top w:val="single" w:sz="4" w:space="0" w:color="auto"/>
              <w:left w:val="single" w:sz="4" w:space="0" w:color="auto"/>
              <w:bottom w:val="single" w:sz="4" w:space="0" w:color="auto"/>
              <w:right w:val="single" w:sz="4" w:space="0" w:color="auto"/>
            </w:tcBorders>
            <w:vAlign w:val="center"/>
          </w:tcPr>
          <w:p w:rsidR="003F11BF" w:rsidRDefault="00306BD1" w:rsidP="003F11BF">
            <w:pPr>
              <w:pStyle w:val="a5"/>
              <w:ind w:left="0"/>
              <w:jc w:val="center"/>
              <w:rPr>
                <w:sz w:val="22"/>
                <w:szCs w:val="22"/>
              </w:rPr>
            </w:pPr>
            <w:r>
              <w:rPr>
                <w:sz w:val="22"/>
                <w:szCs w:val="22"/>
              </w:rPr>
              <w:t>-0,0117</w:t>
            </w:r>
          </w:p>
          <w:p w:rsidR="003F11BF" w:rsidRPr="00E325ED" w:rsidRDefault="00306BD1" w:rsidP="003F11BF">
            <w:pPr>
              <w:pStyle w:val="a5"/>
              <w:ind w:left="0"/>
              <w:jc w:val="center"/>
              <w:rPr>
                <w:sz w:val="22"/>
                <w:szCs w:val="22"/>
              </w:rPr>
            </w:pPr>
            <w:r>
              <w:rPr>
                <w:sz w:val="22"/>
                <w:szCs w:val="22"/>
              </w:rPr>
              <w:t>(0,0068</w:t>
            </w:r>
            <w:r w:rsidR="003F11BF">
              <w:rPr>
                <w:sz w:val="22"/>
                <w:szCs w:val="22"/>
              </w:rPr>
              <w:t>)</w:t>
            </w:r>
          </w:p>
        </w:tc>
        <w:tc>
          <w:tcPr>
            <w:tcW w:w="909" w:type="pct"/>
            <w:tcBorders>
              <w:top w:val="single" w:sz="4" w:space="0" w:color="auto"/>
              <w:left w:val="single" w:sz="4" w:space="0" w:color="auto"/>
              <w:bottom w:val="single" w:sz="4" w:space="0" w:color="auto"/>
              <w:right w:val="single" w:sz="4" w:space="0" w:color="auto"/>
            </w:tcBorders>
            <w:vAlign w:val="center"/>
          </w:tcPr>
          <w:p w:rsidR="003F11BF" w:rsidRPr="00126BFF" w:rsidRDefault="003F11BF" w:rsidP="003F11BF">
            <w:pPr>
              <w:pStyle w:val="a5"/>
              <w:ind w:left="0"/>
              <w:jc w:val="center"/>
              <w:rPr>
                <w:sz w:val="22"/>
                <w:szCs w:val="22"/>
              </w:rPr>
            </w:pPr>
            <w:r>
              <w:rPr>
                <w:sz w:val="22"/>
                <w:szCs w:val="22"/>
              </w:rPr>
              <w:t>*</w:t>
            </w:r>
          </w:p>
        </w:tc>
        <w:tc>
          <w:tcPr>
            <w:tcW w:w="1011" w:type="pct"/>
            <w:tcBorders>
              <w:top w:val="single" w:sz="4" w:space="0" w:color="auto"/>
              <w:left w:val="single" w:sz="4" w:space="0" w:color="auto"/>
              <w:bottom w:val="single" w:sz="4" w:space="0" w:color="auto"/>
              <w:right w:val="single" w:sz="4" w:space="0" w:color="auto"/>
            </w:tcBorders>
            <w:vAlign w:val="center"/>
          </w:tcPr>
          <w:p w:rsidR="003F11BF" w:rsidRDefault="00306BD1" w:rsidP="003F11BF">
            <w:pPr>
              <w:pStyle w:val="a5"/>
              <w:ind w:left="0"/>
              <w:jc w:val="center"/>
              <w:rPr>
                <w:sz w:val="22"/>
                <w:szCs w:val="22"/>
              </w:rPr>
            </w:pPr>
            <w:r>
              <w:rPr>
                <w:sz w:val="22"/>
                <w:szCs w:val="22"/>
              </w:rPr>
              <w:t>-0,0102</w:t>
            </w:r>
          </w:p>
          <w:p w:rsidR="003F11BF" w:rsidRPr="00E325ED" w:rsidRDefault="00306BD1" w:rsidP="003F11BF">
            <w:pPr>
              <w:pStyle w:val="a5"/>
              <w:ind w:left="0"/>
              <w:jc w:val="center"/>
              <w:rPr>
                <w:sz w:val="22"/>
                <w:szCs w:val="22"/>
              </w:rPr>
            </w:pPr>
            <w:r>
              <w:rPr>
                <w:sz w:val="22"/>
                <w:szCs w:val="22"/>
              </w:rPr>
              <w:t>(0,0051</w:t>
            </w:r>
            <w:r w:rsidR="003F11BF">
              <w:rPr>
                <w:sz w:val="22"/>
                <w:szCs w:val="22"/>
              </w:rPr>
              <w:t>)</w:t>
            </w:r>
          </w:p>
        </w:tc>
        <w:tc>
          <w:tcPr>
            <w:tcW w:w="931" w:type="pct"/>
            <w:tcBorders>
              <w:top w:val="single" w:sz="4" w:space="0" w:color="auto"/>
              <w:left w:val="single" w:sz="4" w:space="0" w:color="auto"/>
              <w:bottom w:val="single" w:sz="4" w:space="0" w:color="auto"/>
              <w:right w:val="single" w:sz="4" w:space="0" w:color="auto"/>
            </w:tcBorders>
            <w:vAlign w:val="center"/>
          </w:tcPr>
          <w:p w:rsidR="003F11BF" w:rsidRPr="00126BFF" w:rsidRDefault="003F11BF" w:rsidP="003F11BF">
            <w:pPr>
              <w:autoSpaceDE w:val="0"/>
              <w:autoSpaceDN w:val="0"/>
              <w:adjustRightInd w:val="0"/>
              <w:jc w:val="center"/>
              <w:rPr>
                <w:sz w:val="22"/>
                <w:szCs w:val="22"/>
              </w:rPr>
            </w:pPr>
            <w:r>
              <w:rPr>
                <w:sz w:val="22"/>
                <w:szCs w:val="22"/>
              </w:rPr>
              <w:t>**</w:t>
            </w:r>
          </w:p>
        </w:tc>
      </w:tr>
      <w:tr w:rsidR="00345260" w:rsidRPr="00126BFF" w:rsidTr="00287D8C">
        <w:tc>
          <w:tcPr>
            <w:tcW w:w="1337" w:type="pct"/>
            <w:tcBorders>
              <w:top w:val="single" w:sz="4" w:space="0" w:color="auto"/>
              <w:left w:val="single" w:sz="4" w:space="0" w:color="auto"/>
              <w:bottom w:val="single" w:sz="4" w:space="0" w:color="auto"/>
              <w:right w:val="single" w:sz="4" w:space="0" w:color="auto"/>
            </w:tcBorders>
            <w:vAlign w:val="center"/>
          </w:tcPr>
          <w:p w:rsidR="00345260" w:rsidRPr="00126BFF" w:rsidRDefault="00345260" w:rsidP="00126BFF">
            <w:pPr>
              <w:spacing w:line="360" w:lineRule="auto"/>
              <w:rPr>
                <w:sz w:val="22"/>
                <w:szCs w:val="22"/>
              </w:rPr>
            </w:pPr>
            <w:r w:rsidRPr="00126BFF">
              <w:rPr>
                <w:sz w:val="22"/>
                <w:szCs w:val="22"/>
                <w:lang w:val="en-US"/>
              </w:rPr>
              <w:t>COVER</w:t>
            </w:r>
          </w:p>
        </w:tc>
        <w:tc>
          <w:tcPr>
            <w:tcW w:w="1721" w:type="pct"/>
            <w:gridSpan w:val="2"/>
            <w:tcBorders>
              <w:top w:val="single" w:sz="4" w:space="0" w:color="auto"/>
              <w:left w:val="single" w:sz="4" w:space="0" w:color="auto"/>
              <w:bottom w:val="single" w:sz="4" w:space="0" w:color="auto"/>
              <w:right w:val="single" w:sz="4" w:space="0" w:color="auto"/>
            </w:tcBorders>
            <w:vAlign w:val="center"/>
          </w:tcPr>
          <w:p w:rsidR="00345260" w:rsidRPr="00126BFF" w:rsidRDefault="00345260" w:rsidP="00126BFF">
            <w:pPr>
              <w:pStyle w:val="a5"/>
              <w:ind w:left="0"/>
              <w:jc w:val="center"/>
              <w:rPr>
                <w:sz w:val="22"/>
                <w:szCs w:val="22"/>
              </w:rPr>
            </w:pPr>
            <w:proofErr w:type="spellStart"/>
            <w:r>
              <w:rPr>
                <w:sz w:val="22"/>
                <w:szCs w:val="22"/>
              </w:rPr>
              <w:t>Незнач</w:t>
            </w:r>
            <w:proofErr w:type="spellEnd"/>
            <w:r>
              <w:rPr>
                <w:sz w:val="22"/>
                <w:szCs w:val="22"/>
              </w:rPr>
              <w:t>.</w:t>
            </w:r>
          </w:p>
        </w:tc>
        <w:tc>
          <w:tcPr>
            <w:tcW w:w="1011" w:type="pct"/>
            <w:tcBorders>
              <w:top w:val="single" w:sz="4" w:space="0" w:color="auto"/>
              <w:left w:val="single" w:sz="4" w:space="0" w:color="auto"/>
              <w:bottom w:val="single" w:sz="4" w:space="0" w:color="auto"/>
              <w:right w:val="single" w:sz="4" w:space="0" w:color="auto"/>
            </w:tcBorders>
            <w:vAlign w:val="center"/>
          </w:tcPr>
          <w:p w:rsidR="00345260" w:rsidRPr="00126BFF" w:rsidRDefault="00345260" w:rsidP="00126BFF">
            <w:pPr>
              <w:pStyle w:val="a5"/>
              <w:ind w:left="0"/>
              <w:jc w:val="center"/>
              <w:rPr>
                <w:sz w:val="22"/>
                <w:szCs w:val="22"/>
                <w:lang w:val="en-US"/>
              </w:rPr>
            </w:pPr>
          </w:p>
        </w:tc>
        <w:tc>
          <w:tcPr>
            <w:tcW w:w="931" w:type="pct"/>
            <w:tcBorders>
              <w:top w:val="single" w:sz="4" w:space="0" w:color="auto"/>
              <w:left w:val="single" w:sz="4" w:space="0" w:color="auto"/>
              <w:bottom w:val="single" w:sz="4" w:space="0" w:color="auto"/>
              <w:right w:val="single" w:sz="4" w:space="0" w:color="auto"/>
            </w:tcBorders>
            <w:vAlign w:val="center"/>
          </w:tcPr>
          <w:p w:rsidR="00345260" w:rsidRPr="00126BFF" w:rsidRDefault="00CF1A29" w:rsidP="00126BFF">
            <w:pPr>
              <w:autoSpaceDE w:val="0"/>
              <w:autoSpaceDN w:val="0"/>
              <w:adjustRightInd w:val="0"/>
              <w:jc w:val="center"/>
              <w:rPr>
                <w:sz w:val="22"/>
                <w:szCs w:val="22"/>
              </w:rPr>
            </w:pPr>
            <w:r>
              <w:rPr>
                <w:sz w:val="22"/>
                <w:szCs w:val="22"/>
              </w:rPr>
              <w:t>*</w:t>
            </w:r>
          </w:p>
        </w:tc>
      </w:tr>
      <w:tr w:rsidR="003F11BF" w:rsidRPr="00126BFF" w:rsidTr="00287D8C">
        <w:trPr>
          <w:trHeight w:val="561"/>
        </w:trPr>
        <w:tc>
          <w:tcPr>
            <w:tcW w:w="1337" w:type="pct"/>
            <w:tcBorders>
              <w:top w:val="single" w:sz="4" w:space="0" w:color="auto"/>
              <w:left w:val="single" w:sz="4" w:space="0" w:color="auto"/>
              <w:bottom w:val="single" w:sz="4" w:space="0" w:color="auto"/>
              <w:right w:val="single" w:sz="4" w:space="0" w:color="auto"/>
            </w:tcBorders>
            <w:vAlign w:val="center"/>
          </w:tcPr>
          <w:p w:rsidR="003F11BF" w:rsidRPr="00126BFF" w:rsidRDefault="003F11BF" w:rsidP="003F11BF">
            <w:pPr>
              <w:spacing w:line="360" w:lineRule="auto"/>
              <w:rPr>
                <w:sz w:val="22"/>
                <w:szCs w:val="22"/>
              </w:rPr>
            </w:pPr>
            <w:r w:rsidRPr="00126BFF">
              <w:rPr>
                <w:sz w:val="22"/>
                <w:szCs w:val="22"/>
                <w:lang w:val="en-US"/>
              </w:rPr>
              <w:t>AGE</w:t>
            </w:r>
          </w:p>
        </w:tc>
        <w:tc>
          <w:tcPr>
            <w:tcW w:w="812" w:type="pct"/>
            <w:tcBorders>
              <w:top w:val="single" w:sz="4" w:space="0" w:color="auto"/>
              <w:left w:val="single" w:sz="4" w:space="0" w:color="auto"/>
              <w:bottom w:val="single" w:sz="4" w:space="0" w:color="auto"/>
              <w:right w:val="single" w:sz="4" w:space="0" w:color="auto"/>
            </w:tcBorders>
            <w:vAlign w:val="center"/>
          </w:tcPr>
          <w:p w:rsidR="003F11BF" w:rsidRDefault="003F11BF" w:rsidP="003F11BF">
            <w:pPr>
              <w:pStyle w:val="a5"/>
              <w:ind w:left="0"/>
              <w:jc w:val="center"/>
              <w:rPr>
                <w:sz w:val="22"/>
                <w:szCs w:val="22"/>
              </w:rPr>
            </w:pPr>
            <w:r>
              <w:rPr>
                <w:sz w:val="22"/>
                <w:szCs w:val="22"/>
              </w:rPr>
              <w:t>-0,004</w:t>
            </w:r>
            <w:r w:rsidR="00306BD1">
              <w:rPr>
                <w:sz w:val="22"/>
                <w:szCs w:val="22"/>
              </w:rPr>
              <w:t>3</w:t>
            </w:r>
          </w:p>
          <w:p w:rsidR="003F11BF" w:rsidRPr="00E325ED" w:rsidRDefault="00306BD1" w:rsidP="003F11BF">
            <w:pPr>
              <w:pStyle w:val="a5"/>
              <w:ind w:left="0"/>
              <w:jc w:val="center"/>
              <w:rPr>
                <w:sz w:val="22"/>
                <w:szCs w:val="22"/>
              </w:rPr>
            </w:pPr>
            <w:r>
              <w:rPr>
                <w:sz w:val="22"/>
                <w:szCs w:val="22"/>
              </w:rPr>
              <w:t>(0,0025</w:t>
            </w:r>
            <w:r w:rsidR="003F11BF">
              <w:rPr>
                <w:sz w:val="22"/>
                <w:szCs w:val="22"/>
              </w:rPr>
              <w:t>)</w:t>
            </w:r>
          </w:p>
        </w:tc>
        <w:tc>
          <w:tcPr>
            <w:tcW w:w="909" w:type="pct"/>
            <w:tcBorders>
              <w:top w:val="single" w:sz="4" w:space="0" w:color="auto"/>
              <w:left w:val="single" w:sz="4" w:space="0" w:color="auto"/>
              <w:bottom w:val="single" w:sz="4" w:space="0" w:color="auto"/>
              <w:right w:val="single" w:sz="4" w:space="0" w:color="auto"/>
            </w:tcBorders>
            <w:vAlign w:val="center"/>
          </w:tcPr>
          <w:p w:rsidR="003F11BF" w:rsidRPr="00126BFF" w:rsidRDefault="003F11BF" w:rsidP="003F11BF">
            <w:pPr>
              <w:pStyle w:val="a5"/>
              <w:ind w:left="0"/>
              <w:jc w:val="center"/>
              <w:rPr>
                <w:sz w:val="22"/>
                <w:szCs w:val="22"/>
              </w:rPr>
            </w:pPr>
            <w:r>
              <w:rPr>
                <w:sz w:val="22"/>
                <w:szCs w:val="22"/>
              </w:rPr>
              <w:t>**</w:t>
            </w:r>
          </w:p>
        </w:tc>
        <w:tc>
          <w:tcPr>
            <w:tcW w:w="1011" w:type="pct"/>
            <w:tcBorders>
              <w:top w:val="single" w:sz="4" w:space="0" w:color="auto"/>
              <w:left w:val="single" w:sz="4" w:space="0" w:color="auto"/>
              <w:bottom w:val="single" w:sz="4" w:space="0" w:color="auto"/>
              <w:right w:val="single" w:sz="4" w:space="0" w:color="auto"/>
            </w:tcBorders>
            <w:vAlign w:val="center"/>
          </w:tcPr>
          <w:p w:rsidR="003F11BF" w:rsidRDefault="00306BD1" w:rsidP="003F11BF">
            <w:pPr>
              <w:pStyle w:val="a5"/>
              <w:ind w:left="0"/>
              <w:jc w:val="center"/>
              <w:rPr>
                <w:sz w:val="22"/>
                <w:szCs w:val="22"/>
              </w:rPr>
            </w:pPr>
            <w:r>
              <w:rPr>
                <w:sz w:val="22"/>
                <w:szCs w:val="22"/>
              </w:rPr>
              <w:t>-0,0039</w:t>
            </w:r>
          </w:p>
          <w:p w:rsidR="003F11BF" w:rsidRPr="00E325ED" w:rsidRDefault="003F11BF" w:rsidP="003F11BF">
            <w:pPr>
              <w:pStyle w:val="a5"/>
              <w:ind w:left="0"/>
              <w:jc w:val="center"/>
              <w:rPr>
                <w:sz w:val="22"/>
                <w:szCs w:val="22"/>
              </w:rPr>
            </w:pPr>
            <w:r>
              <w:rPr>
                <w:sz w:val="22"/>
                <w:szCs w:val="22"/>
              </w:rPr>
              <w:t>(0,0019)</w:t>
            </w:r>
          </w:p>
        </w:tc>
        <w:tc>
          <w:tcPr>
            <w:tcW w:w="931" w:type="pct"/>
            <w:tcBorders>
              <w:top w:val="single" w:sz="4" w:space="0" w:color="auto"/>
              <w:left w:val="single" w:sz="4" w:space="0" w:color="auto"/>
              <w:bottom w:val="single" w:sz="4" w:space="0" w:color="auto"/>
              <w:right w:val="single" w:sz="4" w:space="0" w:color="auto"/>
            </w:tcBorders>
            <w:vAlign w:val="center"/>
          </w:tcPr>
          <w:p w:rsidR="003F11BF" w:rsidRPr="00126BFF" w:rsidRDefault="003F11BF" w:rsidP="003F11BF">
            <w:pPr>
              <w:autoSpaceDE w:val="0"/>
              <w:autoSpaceDN w:val="0"/>
              <w:adjustRightInd w:val="0"/>
              <w:jc w:val="center"/>
              <w:rPr>
                <w:sz w:val="22"/>
                <w:szCs w:val="22"/>
              </w:rPr>
            </w:pPr>
            <w:r>
              <w:rPr>
                <w:sz w:val="22"/>
                <w:szCs w:val="22"/>
              </w:rPr>
              <w:t>**</w:t>
            </w:r>
          </w:p>
        </w:tc>
      </w:tr>
      <w:tr w:rsidR="003F11BF" w:rsidRPr="00126BFF" w:rsidTr="00287D8C">
        <w:tc>
          <w:tcPr>
            <w:tcW w:w="1337" w:type="pct"/>
            <w:tcBorders>
              <w:top w:val="single" w:sz="4" w:space="0" w:color="auto"/>
              <w:left w:val="single" w:sz="4" w:space="0" w:color="auto"/>
              <w:bottom w:val="single" w:sz="4" w:space="0" w:color="auto"/>
              <w:right w:val="single" w:sz="4" w:space="0" w:color="auto"/>
            </w:tcBorders>
            <w:vAlign w:val="center"/>
          </w:tcPr>
          <w:p w:rsidR="003F11BF" w:rsidRPr="00126BFF" w:rsidRDefault="003F11BF" w:rsidP="003F11BF">
            <w:pPr>
              <w:spacing w:line="360" w:lineRule="auto"/>
              <w:rPr>
                <w:sz w:val="22"/>
                <w:szCs w:val="22"/>
              </w:rPr>
            </w:pPr>
            <w:r w:rsidRPr="00126BFF">
              <w:rPr>
                <w:sz w:val="22"/>
                <w:szCs w:val="22"/>
                <w:lang w:val="en-US"/>
              </w:rPr>
              <w:t>SIZE</w:t>
            </w:r>
          </w:p>
        </w:tc>
        <w:tc>
          <w:tcPr>
            <w:tcW w:w="812" w:type="pct"/>
            <w:tcBorders>
              <w:top w:val="single" w:sz="4" w:space="0" w:color="auto"/>
              <w:left w:val="single" w:sz="4" w:space="0" w:color="auto"/>
              <w:bottom w:val="single" w:sz="4" w:space="0" w:color="auto"/>
              <w:right w:val="single" w:sz="4" w:space="0" w:color="auto"/>
            </w:tcBorders>
            <w:vAlign w:val="center"/>
          </w:tcPr>
          <w:p w:rsidR="003F11BF" w:rsidRDefault="00306BD1" w:rsidP="003F11BF">
            <w:pPr>
              <w:pStyle w:val="a5"/>
              <w:ind w:left="0"/>
              <w:jc w:val="center"/>
              <w:rPr>
                <w:sz w:val="22"/>
                <w:szCs w:val="22"/>
              </w:rPr>
            </w:pPr>
            <w:r>
              <w:rPr>
                <w:sz w:val="22"/>
                <w:szCs w:val="22"/>
              </w:rPr>
              <w:t>0,0491</w:t>
            </w:r>
          </w:p>
          <w:p w:rsidR="003F11BF" w:rsidRPr="00E325ED" w:rsidRDefault="00306BD1" w:rsidP="003F11BF">
            <w:pPr>
              <w:pStyle w:val="a5"/>
              <w:ind w:left="0"/>
              <w:jc w:val="center"/>
              <w:rPr>
                <w:sz w:val="22"/>
                <w:szCs w:val="22"/>
              </w:rPr>
            </w:pPr>
            <w:r>
              <w:rPr>
                <w:sz w:val="22"/>
                <w:szCs w:val="22"/>
              </w:rPr>
              <w:t>(0,0205</w:t>
            </w:r>
            <w:r w:rsidR="003F11BF">
              <w:rPr>
                <w:sz w:val="22"/>
                <w:szCs w:val="22"/>
              </w:rPr>
              <w:t>)</w:t>
            </w:r>
          </w:p>
        </w:tc>
        <w:tc>
          <w:tcPr>
            <w:tcW w:w="909" w:type="pct"/>
            <w:tcBorders>
              <w:top w:val="single" w:sz="4" w:space="0" w:color="auto"/>
              <w:left w:val="single" w:sz="4" w:space="0" w:color="auto"/>
              <w:bottom w:val="single" w:sz="4" w:space="0" w:color="auto"/>
              <w:right w:val="single" w:sz="4" w:space="0" w:color="auto"/>
            </w:tcBorders>
            <w:vAlign w:val="center"/>
          </w:tcPr>
          <w:p w:rsidR="003F11BF" w:rsidRPr="00126BFF" w:rsidRDefault="003F11BF" w:rsidP="003F11BF">
            <w:pPr>
              <w:pStyle w:val="a5"/>
              <w:ind w:left="0"/>
              <w:jc w:val="center"/>
              <w:rPr>
                <w:sz w:val="22"/>
                <w:szCs w:val="22"/>
              </w:rPr>
            </w:pPr>
            <w:r>
              <w:rPr>
                <w:sz w:val="22"/>
                <w:szCs w:val="22"/>
              </w:rPr>
              <w:t>**</w:t>
            </w:r>
          </w:p>
        </w:tc>
        <w:tc>
          <w:tcPr>
            <w:tcW w:w="1011" w:type="pct"/>
            <w:tcBorders>
              <w:top w:val="single" w:sz="4" w:space="0" w:color="auto"/>
              <w:left w:val="single" w:sz="4" w:space="0" w:color="auto"/>
              <w:bottom w:val="single" w:sz="4" w:space="0" w:color="auto"/>
              <w:right w:val="single" w:sz="4" w:space="0" w:color="auto"/>
            </w:tcBorders>
            <w:vAlign w:val="center"/>
          </w:tcPr>
          <w:p w:rsidR="003F11BF" w:rsidRDefault="003F11BF" w:rsidP="003F11BF">
            <w:pPr>
              <w:pStyle w:val="a5"/>
              <w:ind w:left="0"/>
              <w:jc w:val="center"/>
              <w:rPr>
                <w:sz w:val="22"/>
                <w:szCs w:val="22"/>
              </w:rPr>
            </w:pPr>
            <w:r>
              <w:rPr>
                <w:sz w:val="22"/>
                <w:szCs w:val="22"/>
              </w:rPr>
              <w:t>0,0488</w:t>
            </w:r>
          </w:p>
          <w:p w:rsidR="003F11BF" w:rsidRPr="00E325ED" w:rsidRDefault="00306BD1" w:rsidP="003F11BF">
            <w:pPr>
              <w:pStyle w:val="a5"/>
              <w:ind w:left="0"/>
              <w:jc w:val="center"/>
              <w:rPr>
                <w:sz w:val="22"/>
                <w:szCs w:val="22"/>
              </w:rPr>
            </w:pPr>
            <w:r>
              <w:rPr>
                <w:sz w:val="22"/>
                <w:szCs w:val="22"/>
              </w:rPr>
              <w:t>(0,0222</w:t>
            </w:r>
            <w:r w:rsidR="003F11BF">
              <w:rPr>
                <w:sz w:val="22"/>
                <w:szCs w:val="22"/>
              </w:rPr>
              <w:t>)</w:t>
            </w:r>
          </w:p>
        </w:tc>
        <w:tc>
          <w:tcPr>
            <w:tcW w:w="931" w:type="pct"/>
            <w:tcBorders>
              <w:top w:val="single" w:sz="4" w:space="0" w:color="auto"/>
              <w:left w:val="single" w:sz="4" w:space="0" w:color="auto"/>
              <w:bottom w:val="single" w:sz="4" w:space="0" w:color="auto"/>
              <w:right w:val="single" w:sz="4" w:space="0" w:color="auto"/>
            </w:tcBorders>
            <w:vAlign w:val="center"/>
          </w:tcPr>
          <w:p w:rsidR="003F11BF" w:rsidRPr="00126BFF" w:rsidRDefault="003F11BF" w:rsidP="003F11BF">
            <w:pPr>
              <w:autoSpaceDE w:val="0"/>
              <w:autoSpaceDN w:val="0"/>
              <w:adjustRightInd w:val="0"/>
              <w:jc w:val="center"/>
              <w:rPr>
                <w:sz w:val="22"/>
                <w:szCs w:val="22"/>
              </w:rPr>
            </w:pPr>
            <w:r>
              <w:rPr>
                <w:sz w:val="22"/>
                <w:szCs w:val="22"/>
              </w:rPr>
              <w:t>**</w:t>
            </w:r>
          </w:p>
        </w:tc>
      </w:tr>
      <w:tr w:rsidR="00287D8C" w:rsidRPr="00126BFF" w:rsidTr="00287D8C">
        <w:trPr>
          <w:trHeight w:val="513"/>
        </w:trPr>
        <w:tc>
          <w:tcPr>
            <w:tcW w:w="1337" w:type="pct"/>
            <w:tcBorders>
              <w:top w:val="single" w:sz="4" w:space="0" w:color="auto"/>
              <w:left w:val="single" w:sz="4" w:space="0" w:color="auto"/>
              <w:bottom w:val="single" w:sz="4" w:space="0" w:color="auto"/>
              <w:right w:val="single" w:sz="4" w:space="0" w:color="auto"/>
            </w:tcBorders>
            <w:vAlign w:val="center"/>
          </w:tcPr>
          <w:p w:rsidR="00287D8C" w:rsidRPr="00E325ED" w:rsidRDefault="00287D8C" w:rsidP="00287D8C">
            <w:pPr>
              <w:pStyle w:val="a5"/>
              <w:ind w:left="0"/>
              <w:rPr>
                <w:sz w:val="22"/>
                <w:szCs w:val="22"/>
              </w:rPr>
            </w:pPr>
            <w:r w:rsidRPr="00126BFF">
              <w:rPr>
                <w:sz w:val="22"/>
                <w:szCs w:val="22"/>
              </w:rPr>
              <w:t xml:space="preserve">R-квадрат </w:t>
            </w:r>
            <w:proofErr w:type="spellStart"/>
            <w:r w:rsidRPr="00126BFF">
              <w:rPr>
                <w:sz w:val="22"/>
                <w:szCs w:val="22"/>
              </w:rPr>
              <w:t>Макфаддена</w:t>
            </w:r>
            <w:proofErr w:type="spellEnd"/>
          </w:p>
        </w:tc>
        <w:tc>
          <w:tcPr>
            <w:tcW w:w="1721" w:type="pct"/>
            <w:gridSpan w:val="2"/>
            <w:tcBorders>
              <w:top w:val="single" w:sz="4" w:space="0" w:color="auto"/>
              <w:left w:val="single" w:sz="4" w:space="0" w:color="auto"/>
              <w:bottom w:val="single" w:sz="4" w:space="0" w:color="auto"/>
              <w:right w:val="single" w:sz="4" w:space="0" w:color="auto"/>
            </w:tcBorders>
            <w:vAlign w:val="center"/>
          </w:tcPr>
          <w:p w:rsidR="00287D8C" w:rsidRPr="00287D8C" w:rsidRDefault="00287D8C" w:rsidP="00287D8C">
            <w:pPr>
              <w:jc w:val="center"/>
              <w:rPr>
                <w:sz w:val="22"/>
                <w:szCs w:val="22"/>
                <w:lang w:val="en-US"/>
              </w:rPr>
            </w:pPr>
            <w:r>
              <w:rPr>
                <w:sz w:val="22"/>
                <w:szCs w:val="22"/>
              </w:rPr>
              <w:t>0,6</w:t>
            </w:r>
            <w:r>
              <w:rPr>
                <w:sz w:val="22"/>
                <w:szCs w:val="22"/>
                <w:lang w:val="en-US"/>
              </w:rPr>
              <w:t>5</w:t>
            </w:r>
          </w:p>
        </w:tc>
        <w:tc>
          <w:tcPr>
            <w:tcW w:w="1942" w:type="pct"/>
            <w:gridSpan w:val="2"/>
            <w:tcBorders>
              <w:top w:val="single" w:sz="4" w:space="0" w:color="auto"/>
              <w:left w:val="single" w:sz="4" w:space="0" w:color="auto"/>
              <w:bottom w:val="single" w:sz="4" w:space="0" w:color="auto"/>
              <w:right w:val="single" w:sz="4" w:space="0" w:color="auto"/>
            </w:tcBorders>
            <w:vAlign w:val="center"/>
          </w:tcPr>
          <w:p w:rsidR="00287D8C" w:rsidRPr="00287D8C" w:rsidRDefault="00287D8C" w:rsidP="00287D8C">
            <w:pPr>
              <w:jc w:val="center"/>
              <w:rPr>
                <w:sz w:val="22"/>
                <w:szCs w:val="22"/>
                <w:lang w:val="en-US"/>
              </w:rPr>
            </w:pPr>
            <w:r>
              <w:rPr>
                <w:sz w:val="22"/>
                <w:szCs w:val="22"/>
              </w:rPr>
              <w:t>0,6</w:t>
            </w:r>
            <w:r>
              <w:rPr>
                <w:sz w:val="22"/>
                <w:szCs w:val="22"/>
                <w:lang w:val="en-US"/>
              </w:rPr>
              <w:t>6</w:t>
            </w:r>
          </w:p>
        </w:tc>
      </w:tr>
      <w:tr w:rsidR="00287D8C" w:rsidRPr="00126BFF" w:rsidTr="00287D8C">
        <w:trPr>
          <w:trHeight w:val="421"/>
        </w:trPr>
        <w:tc>
          <w:tcPr>
            <w:tcW w:w="1337" w:type="pct"/>
            <w:tcBorders>
              <w:top w:val="single" w:sz="4" w:space="0" w:color="auto"/>
              <w:left w:val="single" w:sz="4" w:space="0" w:color="auto"/>
              <w:bottom w:val="single" w:sz="4" w:space="0" w:color="auto"/>
              <w:right w:val="single" w:sz="4" w:space="0" w:color="auto"/>
            </w:tcBorders>
            <w:vAlign w:val="center"/>
          </w:tcPr>
          <w:p w:rsidR="00287D8C" w:rsidRPr="00E325ED" w:rsidRDefault="00287D8C" w:rsidP="00287D8C">
            <w:pPr>
              <w:pStyle w:val="a5"/>
              <w:ind w:left="0"/>
              <w:rPr>
                <w:sz w:val="22"/>
                <w:szCs w:val="22"/>
              </w:rPr>
            </w:pPr>
            <w:proofErr w:type="spellStart"/>
            <w:r w:rsidRPr="00126BFF">
              <w:rPr>
                <w:sz w:val="22"/>
                <w:szCs w:val="22"/>
              </w:rPr>
              <w:t>Испр</w:t>
            </w:r>
            <w:proofErr w:type="spellEnd"/>
            <w:r w:rsidRPr="00126BFF">
              <w:rPr>
                <w:sz w:val="22"/>
                <w:szCs w:val="22"/>
              </w:rPr>
              <w:t xml:space="preserve">. </w:t>
            </w:r>
            <w:r w:rsidRPr="00E325ED">
              <w:rPr>
                <w:sz w:val="22"/>
                <w:szCs w:val="22"/>
              </w:rPr>
              <w:t xml:space="preserve"> </w:t>
            </w:r>
            <w:r w:rsidRPr="00126BFF">
              <w:rPr>
                <w:sz w:val="22"/>
                <w:szCs w:val="22"/>
              </w:rPr>
              <w:t>R-квадрат</w:t>
            </w:r>
          </w:p>
        </w:tc>
        <w:tc>
          <w:tcPr>
            <w:tcW w:w="1721" w:type="pct"/>
            <w:gridSpan w:val="2"/>
            <w:tcBorders>
              <w:top w:val="single" w:sz="4" w:space="0" w:color="auto"/>
              <w:left w:val="single" w:sz="4" w:space="0" w:color="auto"/>
              <w:bottom w:val="single" w:sz="4" w:space="0" w:color="auto"/>
              <w:right w:val="single" w:sz="4" w:space="0" w:color="auto"/>
            </w:tcBorders>
            <w:vAlign w:val="center"/>
          </w:tcPr>
          <w:p w:rsidR="00287D8C" w:rsidRPr="00126BFF" w:rsidRDefault="00287D8C" w:rsidP="00287D8C">
            <w:pPr>
              <w:jc w:val="center"/>
              <w:rPr>
                <w:sz w:val="22"/>
                <w:szCs w:val="22"/>
              </w:rPr>
            </w:pPr>
            <w:r>
              <w:rPr>
                <w:sz w:val="22"/>
                <w:szCs w:val="22"/>
              </w:rPr>
              <w:t>0,67</w:t>
            </w:r>
          </w:p>
        </w:tc>
        <w:tc>
          <w:tcPr>
            <w:tcW w:w="1942" w:type="pct"/>
            <w:gridSpan w:val="2"/>
            <w:tcBorders>
              <w:top w:val="single" w:sz="4" w:space="0" w:color="auto"/>
              <w:left w:val="single" w:sz="4" w:space="0" w:color="auto"/>
              <w:bottom w:val="single" w:sz="4" w:space="0" w:color="auto"/>
              <w:right w:val="single" w:sz="4" w:space="0" w:color="auto"/>
            </w:tcBorders>
            <w:vAlign w:val="center"/>
          </w:tcPr>
          <w:p w:rsidR="00287D8C" w:rsidRPr="00126BFF" w:rsidRDefault="00287D8C" w:rsidP="00287D8C">
            <w:pPr>
              <w:jc w:val="center"/>
              <w:rPr>
                <w:sz w:val="22"/>
                <w:szCs w:val="22"/>
              </w:rPr>
            </w:pPr>
            <w:r>
              <w:rPr>
                <w:sz w:val="22"/>
                <w:szCs w:val="22"/>
              </w:rPr>
              <w:t>0,69</w:t>
            </w:r>
          </w:p>
        </w:tc>
      </w:tr>
      <w:tr w:rsidR="00287D8C" w:rsidRPr="00126BFF" w:rsidTr="00287D8C">
        <w:tc>
          <w:tcPr>
            <w:tcW w:w="1337" w:type="pct"/>
            <w:tcBorders>
              <w:top w:val="single" w:sz="4" w:space="0" w:color="auto"/>
              <w:left w:val="single" w:sz="4" w:space="0" w:color="auto"/>
              <w:bottom w:val="single" w:sz="4" w:space="0" w:color="auto"/>
              <w:right w:val="single" w:sz="4" w:space="0" w:color="auto"/>
            </w:tcBorders>
            <w:vAlign w:val="center"/>
          </w:tcPr>
          <w:p w:rsidR="00287D8C" w:rsidRPr="00126BFF" w:rsidRDefault="00287D8C" w:rsidP="00287D8C">
            <w:pPr>
              <w:pStyle w:val="a5"/>
              <w:ind w:left="0"/>
              <w:rPr>
                <w:sz w:val="22"/>
                <w:szCs w:val="22"/>
              </w:rPr>
            </w:pPr>
            <w:r w:rsidRPr="00126BFF">
              <w:rPr>
                <w:sz w:val="22"/>
                <w:szCs w:val="22"/>
              </w:rPr>
              <w:t xml:space="preserve">Кол-во </w:t>
            </w:r>
            <w:r>
              <w:rPr>
                <w:sz w:val="22"/>
                <w:szCs w:val="22"/>
              </w:rPr>
              <w:t>корректно предсказанных</w:t>
            </w:r>
            <w:r w:rsidRPr="00126BFF">
              <w:rPr>
                <w:sz w:val="22"/>
                <w:szCs w:val="22"/>
              </w:rPr>
              <w:t xml:space="preserve"> случаев</w:t>
            </w:r>
          </w:p>
        </w:tc>
        <w:tc>
          <w:tcPr>
            <w:tcW w:w="1721" w:type="pct"/>
            <w:gridSpan w:val="2"/>
            <w:tcBorders>
              <w:top w:val="single" w:sz="4" w:space="0" w:color="auto"/>
              <w:left w:val="single" w:sz="4" w:space="0" w:color="auto"/>
              <w:bottom w:val="single" w:sz="4" w:space="0" w:color="auto"/>
              <w:right w:val="single" w:sz="4" w:space="0" w:color="auto"/>
            </w:tcBorders>
            <w:vAlign w:val="center"/>
          </w:tcPr>
          <w:p w:rsidR="00287D8C" w:rsidRPr="00126BFF" w:rsidRDefault="00287D8C" w:rsidP="00287D8C">
            <w:pPr>
              <w:jc w:val="center"/>
              <w:rPr>
                <w:sz w:val="22"/>
                <w:szCs w:val="22"/>
              </w:rPr>
            </w:pPr>
            <w:r>
              <w:rPr>
                <w:sz w:val="22"/>
                <w:szCs w:val="22"/>
              </w:rPr>
              <w:t>97,6%</w:t>
            </w:r>
          </w:p>
        </w:tc>
        <w:tc>
          <w:tcPr>
            <w:tcW w:w="1942" w:type="pct"/>
            <w:gridSpan w:val="2"/>
            <w:tcBorders>
              <w:top w:val="single" w:sz="4" w:space="0" w:color="auto"/>
              <w:left w:val="single" w:sz="4" w:space="0" w:color="auto"/>
              <w:bottom w:val="single" w:sz="4" w:space="0" w:color="auto"/>
              <w:right w:val="single" w:sz="4" w:space="0" w:color="auto"/>
            </w:tcBorders>
            <w:vAlign w:val="center"/>
          </w:tcPr>
          <w:p w:rsidR="00287D8C" w:rsidRPr="00126BFF" w:rsidRDefault="00C955AD" w:rsidP="00287D8C">
            <w:pPr>
              <w:jc w:val="center"/>
              <w:rPr>
                <w:sz w:val="22"/>
                <w:szCs w:val="22"/>
              </w:rPr>
            </w:pPr>
            <w:r>
              <w:rPr>
                <w:sz w:val="22"/>
                <w:szCs w:val="22"/>
              </w:rPr>
              <w:t>97,9</w:t>
            </w:r>
            <w:r w:rsidR="00287D8C">
              <w:rPr>
                <w:sz w:val="22"/>
                <w:szCs w:val="22"/>
              </w:rPr>
              <w:t>%</w:t>
            </w:r>
          </w:p>
        </w:tc>
      </w:tr>
    </w:tbl>
    <w:p w:rsidR="00784B1C" w:rsidRDefault="00784B1C" w:rsidP="00784B1C">
      <w:pPr>
        <w:spacing w:after="120" w:line="360" w:lineRule="auto"/>
        <w:ind w:firstLine="720"/>
        <w:jc w:val="both"/>
      </w:pPr>
    </w:p>
    <w:p w:rsidR="00B763A5" w:rsidRDefault="00B763A5" w:rsidP="00B763A5">
      <w:pPr>
        <w:spacing w:after="120" w:line="360" w:lineRule="auto"/>
        <w:ind w:firstLine="720"/>
        <w:jc w:val="both"/>
      </w:pPr>
      <w:r>
        <w:t xml:space="preserve">Как можно видеть, показатель финансового </w:t>
      </w:r>
      <w:proofErr w:type="spellStart"/>
      <w:r>
        <w:t>левериджа</w:t>
      </w:r>
      <w:proofErr w:type="spellEnd"/>
      <w:r>
        <w:t xml:space="preserve"> является значимым для обеих моделей. Знаки перед коэффициентом </w:t>
      </w:r>
      <w:r w:rsidRPr="00BA093B">
        <w:rPr>
          <w:b/>
          <w:i/>
        </w:rPr>
        <w:t>подтверждают вторую гипотезу</w:t>
      </w:r>
      <w:r>
        <w:t xml:space="preserve"> о том, что с ростом доли заемного финансирования вероятность банкротства сначала снижается, а затем растет. Отметим, что отрицательное влияние на вероятность банкротства является довольно слабым, а значимость присутствует только на уровне 10%. Однако после увеличения уровня финансового </w:t>
      </w:r>
      <w:proofErr w:type="spellStart"/>
      <w:r>
        <w:t>левериджа</w:t>
      </w:r>
      <w:proofErr w:type="spellEnd"/>
      <w:r>
        <w:t xml:space="preserve"> выше среднего </w:t>
      </w:r>
      <w:r w:rsidR="00BA093B">
        <w:t xml:space="preserve">значимость данного показателя увеличивается до 5%. Что касается остальных показателей, то можно заметить, что значимость большинства из них увеличивается по мере возрастания финансового </w:t>
      </w:r>
      <w:proofErr w:type="spellStart"/>
      <w:r w:rsidR="00BA093B">
        <w:t>левериджа</w:t>
      </w:r>
      <w:proofErr w:type="spellEnd"/>
      <w:r w:rsidR="00BA093B">
        <w:t xml:space="preserve">. </w:t>
      </w:r>
    </w:p>
    <w:p w:rsidR="00695A0B" w:rsidRDefault="00CA3405" w:rsidP="00695A0B">
      <w:pPr>
        <w:spacing w:after="120" w:line="360" w:lineRule="auto"/>
        <w:ind w:firstLine="720"/>
        <w:jc w:val="both"/>
      </w:pPr>
      <w:r>
        <w:t xml:space="preserve">В данной работе </w:t>
      </w:r>
      <w:r w:rsidRPr="00D52F24">
        <w:rPr>
          <w:color w:val="000000" w:themeColor="text1"/>
        </w:rPr>
        <w:t xml:space="preserve">было исследовано влияние финансового </w:t>
      </w:r>
      <w:proofErr w:type="spellStart"/>
      <w:r w:rsidRPr="00D52F24">
        <w:rPr>
          <w:color w:val="000000" w:themeColor="text1"/>
        </w:rPr>
        <w:t>левериджа</w:t>
      </w:r>
      <w:proofErr w:type="spellEnd"/>
      <w:r w:rsidRPr="00D52F24">
        <w:rPr>
          <w:color w:val="000000" w:themeColor="text1"/>
        </w:rPr>
        <w:t xml:space="preserve"> на вероятность банкротства для предприятий отрасли сельскохозяйственной отрасли. Как было выявлено при анализе литературы, показатели, характеризующие структуру капитала компании, оказывались значимыми в большинстве предложенных ранее моделях оценки вероятности банкротства.  </w:t>
      </w:r>
      <w:r w:rsidR="00BD4C18" w:rsidRPr="00D52F24">
        <w:rPr>
          <w:color w:val="000000" w:themeColor="text1"/>
        </w:rPr>
        <w:t xml:space="preserve">Поэтому первая гипотеза </w:t>
      </w:r>
      <w:r w:rsidR="00BD4C18">
        <w:t xml:space="preserve">заключается в том, что структура капитала имеет значение в ходе реализации антикризисного управления предприятием. Далее, одна из теорий структуры капитала предполагает, что финансовый </w:t>
      </w:r>
      <w:proofErr w:type="spellStart"/>
      <w:r w:rsidR="00BD4C18">
        <w:t>леверидж</w:t>
      </w:r>
      <w:proofErr w:type="spellEnd"/>
      <w:r w:rsidR="00BD4C18">
        <w:t xml:space="preserve"> может иметь нелинейное влияние на эффективность деятельности компании. В связи с этим была также проверена вторая гипотеза о том, что при проведении антикризисной политики следует учитывать текущее значение долговой нагрузки, потому что финансовый </w:t>
      </w:r>
      <w:proofErr w:type="spellStart"/>
      <w:r w:rsidR="00BD4C18">
        <w:t>леверидж</w:t>
      </w:r>
      <w:proofErr w:type="spellEnd"/>
      <w:r w:rsidR="00BD4C18">
        <w:t xml:space="preserve"> может </w:t>
      </w:r>
      <w:r w:rsidR="00BD4C18">
        <w:lastRenderedPageBreak/>
        <w:t xml:space="preserve">влиять по-разному на вероятность банкротства сельскохозяйственного предприятия. Для проведения авторского исследования была использована выборка из 16,650 предприятий из сельскохозяйственной отрасли. В качестве метода исследования применялась </w:t>
      </w:r>
      <w:proofErr w:type="spellStart"/>
      <w:r w:rsidR="00BD4C18">
        <w:t>логит</w:t>
      </w:r>
      <w:proofErr w:type="spellEnd"/>
      <w:r w:rsidR="00BD4C18">
        <w:t>-модель, позволяющая оценить вероятность банкротства в зависимости от выбранных факторов.  Результаты исследования подтверждают обе выдвинуты</w:t>
      </w:r>
      <w:r w:rsidR="00ED2D80">
        <w:t>е гипотезы. Авторами</w:t>
      </w:r>
      <w:r w:rsidR="00695A0B">
        <w:t xml:space="preserve"> было подтверждено, что</w:t>
      </w:r>
      <w:r w:rsidR="00695A0B" w:rsidRPr="00695A0B">
        <w:t xml:space="preserve"> с ростом долговой нагрузки вероятность банкротс</w:t>
      </w:r>
      <w:r w:rsidR="00695A0B">
        <w:t xml:space="preserve">тва действительно увеличивается. При этом имеет значение текущее значение финансового </w:t>
      </w:r>
      <w:proofErr w:type="spellStart"/>
      <w:r w:rsidR="00695A0B">
        <w:t>левериджа</w:t>
      </w:r>
      <w:proofErr w:type="spellEnd"/>
      <w:r w:rsidR="00695A0B">
        <w:t xml:space="preserve">: с </w:t>
      </w:r>
      <w:r w:rsidR="00695A0B" w:rsidRPr="00695A0B">
        <w:t xml:space="preserve">ростом доли заемного финансирования вероятность банкротства сначала снижается, а затем растет. </w:t>
      </w:r>
      <w:r w:rsidR="00695A0B">
        <w:t xml:space="preserve">Это можно объяснить тем, что вначале компания получает выгоды от привлечения заемного финансирования, которые затем перекрываются увеличение риска несостоятельности из-за неспособности выполнять обязательства по заемным средствам. Таким образом, полученные автором результаты подтверждают важность учета структуры капитала при реализации мер антикризисного управления, направленных на снижение риска банкротства предприятий сельскохозяйственной отрасли. </w:t>
      </w:r>
    </w:p>
    <w:p w:rsidR="00EA7A3B" w:rsidRDefault="00EA7A3B" w:rsidP="00695A0B">
      <w:pPr>
        <w:spacing w:after="120" w:line="360" w:lineRule="auto"/>
        <w:ind w:firstLine="720"/>
        <w:jc w:val="both"/>
      </w:pPr>
    </w:p>
    <w:p w:rsidR="00162C58" w:rsidRDefault="00162C58" w:rsidP="00695A0B">
      <w:pPr>
        <w:spacing w:after="120" w:line="360" w:lineRule="auto"/>
        <w:ind w:firstLine="720"/>
        <w:jc w:val="both"/>
      </w:pPr>
    </w:p>
    <w:p w:rsidR="00D36EE4" w:rsidRPr="00D36EE4" w:rsidRDefault="00D36EE4" w:rsidP="00B06D04">
      <w:pPr>
        <w:spacing w:after="120" w:line="360" w:lineRule="auto"/>
        <w:ind w:firstLine="720"/>
        <w:jc w:val="both"/>
        <w:rPr>
          <w:b/>
          <w:i/>
        </w:rPr>
      </w:pPr>
      <w:r w:rsidRPr="00D36EE4">
        <w:rPr>
          <w:b/>
          <w:i/>
        </w:rPr>
        <w:t>Литература:</w:t>
      </w:r>
    </w:p>
    <w:p w:rsidR="00D36EE4" w:rsidRDefault="00D36EE4" w:rsidP="00B06D04">
      <w:pPr>
        <w:pStyle w:val="a5"/>
        <w:numPr>
          <w:ilvl w:val="0"/>
          <w:numId w:val="8"/>
        </w:numPr>
        <w:jc w:val="both"/>
      </w:pPr>
      <w:r w:rsidRPr="00D36EE4">
        <w:t>Антикризисный менеджм</w:t>
      </w:r>
      <w:r>
        <w:t>ент / Под редакцией проф. Гряз</w:t>
      </w:r>
      <w:r w:rsidRPr="00D36EE4">
        <w:t xml:space="preserve">новой А. Г. М.: Ассоциация авторов и издателей «ТАНДЕМ». Издательство ЭКМОС, 1999. 368 с. </w:t>
      </w:r>
    </w:p>
    <w:p w:rsidR="00D36EE4" w:rsidRDefault="00D36EE4" w:rsidP="00B06D04">
      <w:pPr>
        <w:pStyle w:val="a5"/>
        <w:numPr>
          <w:ilvl w:val="0"/>
          <w:numId w:val="8"/>
        </w:numPr>
        <w:jc w:val="both"/>
      </w:pPr>
      <w:proofErr w:type="spellStart"/>
      <w:r w:rsidRPr="00D36EE4">
        <w:t>Березинец</w:t>
      </w:r>
      <w:proofErr w:type="spellEnd"/>
      <w:r w:rsidRPr="00D36EE4">
        <w:t xml:space="preserve"> И.В. и др. Финансовые решения российских компаний: результаты эмпирического анализа [Текст] / </w:t>
      </w:r>
      <w:proofErr w:type="spellStart"/>
      <w:r w:rsidRPr="00D36EE4">
        <w:t>Березинец</w:t>
      </w:r>
      <w:proofErr w:type="spellEnd"/>
      <w:r w:rsidRPr="00D36EE4">
        <w:t xml:space="preserve"> И.В., </w:t>
      </w:r>
      <w:proofErr w:type="spellStart"/>
      <w:r w:rsidRPr="00D36EE4">
        <w:t>Размочаев</w:t>
      </w:r>
      <w:proofErr w:type="spellEnd"/>
      <w:r w:rsidRPr="00D36EE4">
        <w:t xml:space="preserve"> А.В., Волков Д.Л. // </w:t>
      </w:r>
      <w:proofErr w:type="spellStart"/>
      <w:r w:rsidRPr="00D36EE4">
        <w:t>Вестн</w:t>
      </w:r>
      <w:proofErr w:type="spellEnd"/>
      <w:r w:rsidRPr="00D36EE4">
        <w:t xml:space="preserve">. Санкт-Петербургского ун-та ; Сер. 8 : Менеджмент. – 2010. – </w:t>
      </w:r>
      <w:proofErr w:type="spellStart"/>
      <w:r w:rsidRPr="00D36EE4">
        <w:t>Вып</w:t>
      </w:r>
      <w:proofErr w:type="spellEnd"/>
      <w:r w:rsidRPr="00D36EE4">
        <w:t>. 1. – С. 3-26.</w:t>
      </w:r>
    </w:p>
    <w:p w:rsidR="00B06D04" w:rsidRDefault="00B06D04" w:rsidP="00B06D04">
      <w:pPr>
        <w:pStyle w:val="a5"/>
        <w:numPr>
          <w:ilvl w:val="0"/>
          <w:numId w:val="8"/>
        </w:numPr>
        <w:jc w:val="both"/>
      </w:pPr>
      <w:proofErr w:type="spellStart"/>
      <w:r w:rsidRPr="00D36EE4">
        <w:t>Зинкевич</w:t>
      </w:r>
      <w:proofErr w:type="spellEnd"/>
      <w:r w:rsidRPr="00D36EE4">
        <w:t xml:space="preserve"> Н. В., </w:t>
      </w:r>
      <w:proofErr w:type="spellStart"/>
      <w:r w:rsidRPr="00D36EE4">
        <w:t>Олеванова</w:t>
      </w:r>
      <w:proofErr w:type="spellEnd"/>
      <w:r w:rsidRPr="00D36EE4">
        <w:t xml:space="preserve"> Н. А. Эмпирическое тестирование теорий структуры капитала: модели, направления, результаты // Корпоративные финансы. 2008. №1 (5). С. 81–102.</w:t>
      </w:r>
    </w:p>
    <w:p w:rsidR="003E76F1" w:rsidRPr="003E76F1" w:rsidRDefault="003E76F1" w:rsidP="00B06D04">
      <w:pPr>
        <w:pStyle w:val="a5"/>
        <w:numPr>
          <w:ilvl w:val="0"/>
          <w:numId w:val="8"/>
        </w:numPr>
        <w:jc w:val="both"/>
      </w:pPr>
      <w:proofErr w:type="spellStart"/>
      <w:r w:rsidRPr="003E76F1">
        <w:t>Ивашковская</w:t>
      </w:r>
      <w:proofErr w:type="spellEnd"/>
      <w:r w:rsidRPr="003E76F1">
        <w:t xml:space="preserve"> И.В. Детерминанты стратегических решений о финансировании крупных компаний на развивающихся рынках капитала: </w:t>
      </w:r>
      <w:r w:rsidR="00B06D04">
        <w:t>пример России, Бразилии и Китая, Российский журнал менеджмента, Том 7, № 1, 2009. С. 25–42</w:t>
      </w:r>
    </w:p>
    <w:p w:rsidR="003E76F1" w:rsidRDefault="00B06D04" w:rsidP="00B06D04">
      <w:pPr>
        <w:pStyle w:val="a5"/>
        <w:numPr>
          <w:ilvl w:val="0"/>
          <w:numId w:val="8"/>
        </w:numPr>
        <w:jc w:val="both"/>
      </w:pPr>
      <w:r w:rsidRPr="00D36EE4">
        <w:t>Карелина С. А. Механизм правового регулирования отношений несостоятельност</w:t>
      </w:r>
      <w:r>
        <w:t xml:space="preserve">и (банкротства): </w:t>
      </w:r>
      <w:proofErr w:type="spellStart"/>
      <w:r>
        <w:t>Автореф</w:t>
      </w:r>
      <w:proofErr w:type="spellEnd"/>
      <w:r>
        <w:t xml:space="preserve">. </w:t>
      </w:r>
      <w:proofErr w:type="spellStart"/>
      <w:r>
        <w:t>дис</w:t>
      </w:r>
      <w:proofErr w:type="spellEnd"/>
      <w:r>
        <w:t>.</w:t>
      </w:r>
      <w:r w:rsidRPr="00D36EE4">
        <w:t xml:space="preserve"> д-ра </w:t>
      </w:r>
      <w:proofErr w:type="spellStart"/>
      <w:r w:rsidRPr="00D36EE4">
        <w:t>юрид</w:t>
      </w:r>
      <w:proofErr w:type="spellEnd"/>
      <w:r w:rsidRPr="00D36EE4">
        <w:t>. наук. М., 2008. 51 с.</w:t>
      </w:r>
    </w:p>
    <w:p w:rsidR="003E76F1" w:rsidRDefault="003E76F1" w:rsidP="00B06D04">
      <w:pPr>
        <w:pStyle w:val="a5"/>
        <w:numPr>
          <w:ilvl w:val="0"/>
          <w:numId w:val="8"/>
        </w:numPr>
        <w:jc w:val="both"/>
      </w:pPr>
      <w:r>
        <w:t>Киршин</w:t>
      </w:r>
      <w:r w:rsidRPr="00B06D04">
        <w:t xml:space="preserve"> </w:t>
      </w:r>
      <w:r w:rsidR="00B06D04">
        <w:t>И</w:t>
      </w:r>
      <w:r w:rsidR="00B06D04" w:rsidRPr="00B06D04">
        <w:t>.</w:t>
      </w:r>
      <w:r w:rsidR="00B06D04">
        <w:t>А</w:t>
      </w:r>
      <w:r w:rsidR="00B06D04" w:rsidRPr="00B06D04">
        <w:t>.</w:t>
      </w:r>
      <w:r w:rsidRPr="00B06D04">
        <w:t xml:space="preserve">, </w:t>
      </w:r>
      <w:proofErr w:type="spellStart"/>
      <w:r>
        <w:t>Сибгатова</w:t>
      </w:r>
      <w:proofErr w:type="spellEnd"/>
      <w:r w:rsidRPr="00B06D04">
        <w:t xml:space="preserve"> </w:t>
      </w:r>
      <w:r w:rsidR="00B06D04">
        <w:t>И</w:t>
      </w:r>
      <w:r w:rsidR="00B06D04" w:rsidRPr="00B06D04">
        <w:t>.</w:t>
      </w:r>
      <w:r w:rsidR="00B06D04">
        <w:t>И</w:t>
      </w:r>
      <w:r w:rsidR="00B06D04" w:rsidRPr="00B06D04">
        <w:t>.</w:t>
      </w:r>
      <w:r w:rsidRPr="00B06D04">
        <w:t xml:space="preserve">, </w:t>
      </w:r>
      <w:proofErr w:type="spellStart"/>
      <w:r w:rsidRPr="003E76F1">
        <w:t>Еврасова</w:t>
      </w:r>
      <w:proofErr w:type="spellEnd"/>
      <w:r w:rsidRPr="00B06D04">
        <w:t xml:space="preserve"> </w:t>
      </w:r>
      <w:r w:rsidR="00B06D04">
        <w:t>А</w:t>
      </w:r>
      <w:r w:rsidR="00B06D04" w:rsidRPr="00B06D04">
        <w:t>.</w:t>
      </w:r>
      <w:r w:rsidR="00B06D04">
        <w:t>Н</w:t>
      </w:r>
      <w:r w:rsidR="00B06D04" w:rsidRPr="00B06D04">
        <w:t>.</w:t>
      </w:r>
      <w:r w:rsidRPr="00B06D04">
        <w:t xml:space="preserve">, </w:t>
      </w:r>
      <w:r w:rsidRPr="003E76F1">
        <w:t>Садыкова</w:t>
      </w:r>
      <w:r w:rsidRPr="00B06D04">
        <w:t xml:space="preserve"> </w:t>
      </w:r>
      <w:r w:rsidR="00B06D04">
        <w:t>А</w:t>
      </w:r>
      <w:r w:rsidR="00B06D04" w:rsidRPr="00B06D04">
        <w:t>.</w:t>
      </w:r>
      <w:r w:rsidR="00B06D04">
        <w:t>Э.,</w:t>
      </w:r>
      <w:r w:rsidRPr="00B06D04">
        <w:t xml:space="preserve"> </w:t>
      </w:r>
      <w:r w:rsidRPr="003E76F1">
        <w:rPr>
          <w:lang w:val="en-GB"/>
        </w:rPr>
        <w:t>Economics</w:t>
      </w:r>
      <w:r w:rsidRPr="00B06D04">
        <w:t xml:space="preserve">: </w:t>
      </w:r>
      <w:r w:rsidRPr="003E76F1">
        <w:rPr>
          <w:lang w:val="en-GB"/>
        </w:rPr>
        <w:t>Yesterday</w:t>
      </w:r>
      <w:r w:rsidRPr="00B06D04">
        <w:t xml:space="preserve">, </w:t>
      </w:r>
      <w:r w:rsidRPr="003E76F1">
        <w:rPr>
          <w:lang w:val="en-GB"/>
        </w:rPr>
        <w:t>Today</w:t>
      </w:r>
      <w:r w:rsidRPr="00B06D04">
        <w:t xml:space="preserve"> </w:t>
      </w:r>
      <w:r w:rsidRPr="003E76F1">
        <w:rPr>
          <w:lang w:val="en-GB"/>
        </w:rPr>
        <w:t>and</w:t>
      </w:r>
      <w:r w:rsidRPr="00B06D04">
        <w:t xml:space="preserve"> </w:t>
      </w:r>
      <w:r w:rsidRPr="003E76F1">
        <w:rPr>
          <w:lang w:val="en-GB"/>
        </w:rPr>
        <w:t>Tomorrow</w:t>
      </w:r>
      <w:r w:rsidRPr="00B06D04">
        <w:t xml:space="preserve">. </w:t>
      </w:r>
      <w:r w:rsidRPr="003E76F1">
        <w:t xml:space="preserve">2017, </w:t>
      </w:r>
      <w:proofErr w:type="spellStart"/>
      <w:r w:rsidRPr="003E76F1">
        <w:t>Vol</w:t>
      </w:r>
      <w:proofErr w:type="spellEnd"/>
      <w:r w:rsidRPr="003E76F1">
        <w:t xml:space="preserve">. 7, </w:t>
      </w:r>
      <w:r w:rsidR="00B06D04">
        <w:t>«</w:t>
      </w:r>
      <w:r w:rsidRPr="003E76F1">
        <w:t>Методические основы оптимизации структуры капитала фир</w:t>
      </w:r>
      <w:r w:rsidR="00B06D04">
        <w:t>мы в теориях структуры капитала».</w:t>
      </w:r>
    </w:p>
    <w:p w:rsidR="00B06D04" w:rsidRPr="003E76F1" w:rsidRDefault="00B06D04" w:rsidP="00B06D04">
      <w:pPr>
        <w:pStyle w:val="a5"/>
        <w:numPr>
          <w:ilvl w:val="0"/>
          <w:numId w:val="8"/>
        </w:numPr>
        <w:jc w:val="both"/>
      </w:pPr>
      <w:proofErr w:type="spellStart"/>
      <w:r w:rsidRPr="003E76F1">
        <w:t>Кураксина</w:t>
      </w:r>
      <w:proofErr w:type="spellEnd"/>
      <w:r w:rsidRPr="003E76F1">
        <w:t xml:space="preserve"> </w:t>
      </w:r>
      <w:r>
        <w:t>С</w:t>
      </w:r>
      <w:r w:rsidRPr="003E76F1">
        <w:t xml:space="preserve">. С., </w:t>
      </w:r>
      <w:proofErr w:type="spellStart"/>
      <w:r>
        <w:t>Пряничникова</w:t>
      </w:r>
      <w:proofErr w:type="spellEnd"/>
      <w:r>
        <w:t xml:space="preserve"> В. А., О</w:t>
      </w:r>
      <w:r w:rsidRPr="003E76F1">
        <w:t>сновные понятийные аспекты антикризисного менеджмента в деятельности сельскохозяйственных предприятий, Вестник НГИЭИ</w:t>
      </w:r>
      <w:r>
        <w:t xml:space="preserve">, </w:t>
      </w:r>
      <w:r w:rsidRPr="003E76F1">
        <w:t>2013</w:t>
      </w:r>
      <w:r>
        <w:t>.</w:t>
      </w:r>
    </w:p>
    <w:p w:rsidR="003E76F1" w:rsidRPr="003E76F1" w:rsidRDefault="003E76F1" w:rsidP="00B06D04">
      <w:pPr>
        <w:pStyle w:val="a5"/>
        <w:numPr>
          <w:ilvl w:val="0"/>
          <w:numId w:val="8"/>
        </w:numPr>
        <w:jc w:val="both"/>
      </w:pPr>
      <w:r w:rsidRPr="003E76F1">
        <w:t xml:space="preserve">Макарова С.Г. </w:t>
      </w:r>
      <w:proofErr w:type="spellStart"/>
      <w:r w:rsidRPr="003E76F1">
        <w:t>Великороссова</w:t>
      </w:r>
      <w:proofErr w:type="spellEnd"/>
      <w:r w:rsidRPr="003E76F1">
        <w:t xml:space="preserve"> Е.Н.</w:t>
      </w:r>
      <w:r>
        <w:t>,</w:t>
      </w:r>
      <w:r w:rsidRPr="003E76F1">
        <w:t xml:space="preserve"> </w:t>
      </w:r>
      <w:r>
        <w:t>«</w:t>
      </w:r>
      <w:r w:rsidRPr="003E76F1">
        <w:t>Особ</w:t>
      </w:r>
      <w:r>
        <w:t>енности формирования структуры капитала к</w:t>
      </w:r>
      <w:r w:rsidRPr="003E76F1">
        <w:t>омпаний</w:t>
      </w:r>
      <w:r>
        <w:t>»</w:t>
      </w:r>
      <w:r w:rsidRPr="003E76F1">
        <w:t xml:space="preserve">, </w:t>
      </w:r>
      <w:r>
        <w:t>журнал «</w:t>
      </w:r>
      <w:r w:rsidRPr="003E76F1">
        <w:t>Аудит и финансовый анализ</w:t>
      </w:r>
      <w:r>
        <w:t>»</w:t>
      </w:r>
      <w:r w:rsidRPr="003E76F1">
        <w:t>, 2014, №2</w:t>
      </w:r>
    </w:p>
    <w:p w:rsidR="00B06D04" w:rsidRPr="00D36EE4" w:rsidRDefault="00B06D04" w:rsidP="00B06D04">
      <w:pPr>
        <w:pStyle w:val="a5"/>
        <w:numPr>
          <w:ilvl w:val="0"/>
          <w:numId w:val="8"/>
        </w:numPr>
        <w:jc w:val="both"/>
      </w:pPr>
      <w:proofErr w:type="spellStart"/>
      <w:r w:rsidRPr="00D36EE4">
        <w:t>Рудык</w:t>
      </w:r>
      <w:proofErr w:type="spellEnd"/>
      <w:r w:rsidRPr="00D36EE4">
        <w:t xml:space="preserve"> Н. Б. Структура капитала корпораций. М.: Дело, 2004. 272 с.</w:t>
      </w:r>
    </w:p>
    <w:p w:rsidR="003E76F1" w:rsidRDefault="00D36EE4" w:rsidP="00B06D04">
      <w:pPr>
        <w:pStyle w:val="a5"/>
        <w:numPr>
          <w:ilvl w:val="0"/>
          <w:numId w:val="8"/>
        </w:numPr>
        <w:jc w:val="both"/>
      </w:pPr>
      <w:proofErr w:type="spellStart"/>
      <w:r w:rsidRPr="00D36EE4">
        <w:lastRenderedPageBreak/>
        <w:t>Скрынник</w:t>
      </w:r>
      <w:proofErr w:type="spellEnd"/>
      <w:r w:rsidRPr="00D36EE4">
        <w:t xml:space="preserve"> Е. Технико-технологическая модернизация сельского хозяйства – важнейшая за</w:t>
      </w:r>
      <w:r w:rsidR="00B06D04">
        <w:t>дача государственной агропродо</w:t>
      </w:r>
      <w:r w:rsidRPr="00D36EE4">
        <w:t xml:space="preserve">вольственной политики / Е. </w:t>
      </w:r>
      <w:proofErr w:type="spellStart"/>
      <w:r w:rsidRPr="00D36EE4">
        <w:t>Скрынни</w:t>
      </w:r>
      <w:r w:rsidR="00B06D04">
        <w:t>к</w:t>
      </w:r>
      <w:proofErr w:type="spellEnd"/>
      <w:r w:rsidR="00B06D04">
        <w:t xml:space="preserve"> // Экономика сельского хозяй</w:t>
      </w:r>
      <w:r w:rsidRPr="00D36EE4">
        <w:t xml:space="preserve">ства России. 2010. № 1. С. 18–40. </w:t>
      </w:r>
    </w:p>
    <w:p w:rsidR="00B06D04" w:rsidRDefault="00B06D04" w:rsidP="00B06D04">
      <w:pPr>
        <w:pStyle w:val="a5"/>
        <w:numPr>
          <w:ilvl w:val="0"/>
          <w:numId w:val="8"/>
        </w:numPr>
        <w:jc w:val="both"/>
      </w:pPr>
      <w:r w:rsidRPr="00D36EE4">
        <w:t xml:space="preserve">Стратегия и тактика антикризисного управления / Под ред. д-ра </w:t>
      </w:r>
      <w:proofErr w:type="spellStart"/>
      <w:r w:rsidRPr="00D36EE4">
        <w:t>экон</w:t>
      </w:r>
      <w:proofErr w:type="spellEnd"/>
      <w:r w:rsidRPr="00D36EE4">
        <w:t xml:space="preserve">. наук, проф. А. П. </w:t>
      </w:r>
      <w:proofErr w:type="spellStart"/>
      <w:r w:rsidRPr="00D36EE4">
        <w:t>Градова</w:t>
      </w:r>
      <w:proofErr w:type="spellEnd"/>
      <w:r w:rsidRPr="00D36EE4">
        <w:t xml:space="preserve">, д-ра </w:t>
      </w:r>
      <w:proofErr w:type="spellStart"/>
      <w:r w:rsidRPr="00D36EE4">
        <w:t>экон</w:t>
      </w:r>
      <w:proofErr w:type="spellEnd"/>
      <w:r w:rsidRPr="00D36EE4">
        <w:t>. наук Б. И. Кузина. М.: Инфра-М, 2003. 320 с.</w:t>
      </w:r>
    </w:p>
    <w:p w:rsidR="00B06D04" w:rsidRDefault="00B06D04" w:rsidP="00B06D04">
      <w:pPr>
        <w:pStyle w:val="a5"/>
        <w:numPr>
          <w:ilvl w:val="0"/>
          <w:numId w:val="8"/>
        </w:numPr>
        <w:jc w:val="both"/>
      </w:pPr>
      <w:r w:rsidRPr="00D36EE4">
        <w:t xml:space="preserve">Теплова Т. В. Финансовый менеджмент: управление капиталом и инвестициями и др. – М.: ГУ ВШЭ, 2000. </w:t>
      </w:r>
      <w:r w:rsidRPr="00D36EE4">
        <w:rPr>
          <w:lang w:val="en-GB"/>
        </w:rPr>
        <w:t xml:space="preserve">504 </w:t>
      </w:r>
      <w:r w:rsidRPr="00D36EE4">
        <w:t>с</w:t>
      </w:r>
      <w:r w:rsidRPr="00D36EE4">
        <w:rPr>
          <w:lang w:val="en-GB"/>
        </w:rPr>
        <w:t>.</w:t>
      </w:r>
    </w:p>
    <w:p w:rsidR="00B06D04" w:rsidRDefault="003E76F1" w:rsidP="00B06D04">
      <w:pPr>
        <w:pStyle w:val="a5"/>
        <w:numPr>
          <w:ilvl w:val="0"/>
          <w:numId w:val="8"/>
        </w:numPr>
        <w:jc w:val="both"/>
      </w:pPr>
      <w:proofErr w:type="spellStart"/>
      <w:r w:rsidRPr="003E76F1">
        <w:t>Шарикова</w:t>
      </w:r>
      <w:proofErr w:type="spellEnd"/>
      <w:r w:rsidRPr="003E76F1">
        <w:t xml:space="preserve"> О.В., </w:t>
      </w:r>
      <w:r>
        <w:t>журнал "К</w:t>
      </w:r>
      <w:r w:rsidRPr="003E76F1">
        <w:t>орпоративные финанс</w:t>
      </w:r>
      <w:r>
        <w:t>ы" №1(25) 2013 33 Выпуск №1(25), 2013,</w:t>
      </w:r>
      <w:r w:rsidRPr="003E76F1">
        <w:t xml:space="preserve"> Электронный журнал Корпоративные Финансы, 2013</w:t>
      </w:r>
      <w:r>
        <w:t>,</w:t>
      </w:r>
      <w:r w:rsidRPr="003E76F1">
        <w:t xml:space="preserve"> </w:t>
      </w:r>
      <w:r>
        <w:t>«</w:t>
      </w:r>
      <w:r w:rsidRPr="003E76F1">
        <w:t xml:space="preserve">Определение оптимальной структуры </w:t>
      </w:r>
      <w:r>
        <w:t>капитала российских организаций».</w:t>
      </w:r>
    </w:p>
    <w:p w:rsidR="00B06D04" w:rsidRPr="00B06D04" w:rsidRDefault="00D36EE4" w:rsidP="00B06D04">
      <w:pPr>
        <w:pStyle w:val="a5"/>
        <w:numPr>
          <w:ilvl w:val="0"/>
          <w:numId w:val="8"/>
        </w:numPr>
        <w:jc w:val="both"/>
      </w:pPr>
      <w:r w:rsidRPr="00B06D04">
        <w:rPr>
          <w:lang w:val="en-GB"/>
        </w:rPr>
        <w:t xml:space="preserve">Baker M., </w:t>
      </w:r>
      <w:proofErr w:type="spellStart"/>
      <w:r w:rsidRPr="00B06D04">
        <w:rPr>
          <w:lang w:val="en-GB"/>
        </w:rPr>
        <w:t>Wurgler</w:t>
      </w:r>
      <w:proofErr w:type="spellEnd"/>
      <w:r w:rsidRPr="00B06D04">
        <w:rPr>
          <w:lang w:val="en-GB"/>
        </w:rPr>
        <w:t xml:space="preserve"> J. Market Timing and Capital Structure // Journal of Finance. 2002. N 57. P. 3. </w:t>
      </w:r>
    </w:p>
    <w:p w:rsidR="00B06D04" w:rsidRPr="00B06D04" w:rsidRDefault="00B06D04" w:rsidP="00B06D04">
      <w:pPr>
        <w:pStyle w:val="a5"/>
        <w:numPr>
          <w:ilvl w:val="0"/>
          <w:numId w:val="8"/>
        </w:numPr>
      </w:pPr>
      <w:r w:rsidRPr="00B06D04">
        <w:rPr>
          <w:lang w:val="en-GB"/>
        </w:rPr>
        <w:t xml:space="preserve">Bradley M., Jarrell G.A., Han Kim. E. On the existence of an optimal capital structure: theory and evidence // The journal of finance. </w:t>
      </w:r>
      <w:r w:rsidRPr="00B06D04">
        <w:t xml:space="preserve">1984. </w:t>
      </w:r>
      <w:proofErr w:type="spellStart"/>
      <w:r w:rsidRPr="00B06D04">
        <w:t>Vol</w:t>
      </w:r>
      <w:proofErr w:type="spellEnd"/>
      <w:r w:rsidRPr="00B06D04">
        <w:t xml:space="preserve">. 39. №3. </w:t>
      </w:r>
      <w:proofErr w:type="spellStart"/>
      <w:r w:rsidRPr="00B06D04">
        <w:t>Pp</w:t>
      </w:r>
      <w:proofErr w:type="spellEnd"/>
      <w:r w:rsidRPr="00B06D04">
        <w:t>. 857-878.</w:t>
      </w:r>
    </w:p>
    <w:p w:rsidR="00B06D04" w:rsidRPr="00B06D04" w:rsidRDefault="00D36EE4" w:rsidP="00B06D04">
      <w:pPr>
        <w:pStyle w:val="a5"/>
        <w:numPr>
          <w:ilvl w:val="0"/>
          <w:numId w:val="8"/>
        </w:numPr>
        <w:jc w:val="both"/>
      </w:pPr>
      <w:r w:rsidRPr="00B06D04">
        <w:rPr>
          <w:lang w:val="en-GB"/>
        </w:rPr>
        <w:t xml:space="preserve">Brennan M., Schwartz E. Corporate Income Taxes, Valuation, and the Problem of Optimal Capital Structure // Journal of Business. 1978. Vol. 51. P. 103–114. </w:t>
      </w:r>
    </w:p>
    <w:p w:rsidR="00D36EE4" w:rsidRPr="00B06D04" w:rsidRDefault="00D36EE4" w:rsidP="00B06D04">
      <w:pPr>
        <w:pStyle w:val="a5"/>
        <w:numPr>
          <w:ilvl w:val="0"/>
          <w:numId w:val="8"/>
        </w:numPr>
        <w:jc w:val="both"/>
      </w:pPr>
      <w:r w:rsidRPr="00B06D04">
        <w:rPr>
          <w:lang w:val="en-GB"/>
        </w:rPr>
        <w:t xml:space="preserve">Donaldson G. Corporate debt capacity: a study of corporate debt policy and the determination of corporate debt capacity. Boston: Harvard Graduate School of Business Administration, 1961. 294 </w:t>
      </w:r>
      <w:r w:rsidRPr="00B06D04">
        <w:t>р</w:t>
      </w:r>
      <w:r w:rsidRPr="00B06D04">
        <w:rPr>
          <w:lang w:val="en-GB"/>
        </w:rPr>
        <w:t xml:space="preserve">. 14. Harris M., </w:t>
      </w:r>
      <w:proofErr w:type="spellStart"/>
      <w:r w:rsidRPr="00B06D04">
        <w:rPr>
          <w:lang w:val="en-GB"/>
        </w:rPr>
        <w:t>Raviv</w:t>
      </w:r>
      <w:proofErr w:type="spellEnd"/>
      <w:r w:rsidRPr="00B06D04">
        <w:rPr>
          <w:lang w:val="en-GB"/>
        </w:rPr>
        <w:t xml:space="preserve"> A. The theory of Capital Structure // Journal of Finance. </w:t>
      </w:r>
      <w:r w:rsidRPr="00B06D04">
        <w:t xml:space="preserve">1991. </w:t>
      </w:r>
      <w:proofErr w:type="spellStart"/>
      <w:r w:rsidRPr="00B06D04">
        <w:t>Vol</w:t>
      </w:r>
      <w:proofErr w:type="spellEnd"/>
      <w:r w:rsidRPr="00B06D04">
        <w:t>. XLVI, N 1. P. 297–355</w:t>
      </w:r>
    </w:p>
    <w:p w:rsidR="00B06D04" w:rsidRPr="00B06D04" w:rsidRDefault="00B06D04" w:rsidP="00B06D04">
      <w:pPr>
        <w:pStyle w:val="a5"/>
        <w:numPr>
          <w:ilvl w:val="0"/>
          <w:numId w:val="8"/>
        </w:numPr>
      </w:pPr>
      <w:proofErr w:type="spellStart"/>
      <w:r w:rsidRPr="00B06D04">
        <w:rPr>
          <w:lang w:val="en-GB"/>
        </w:rPr>
        <w:t>Ivashkovskaya</w:t>
      </w:r>
      <w:proofErr w:type="spellEnd"/>
      <w:r w:rsidRPr="00B06D04">
        <w:rPr>
          <w:lang w:val="en-GB"/>
        </w:rPr>
        <w:t xml:space="preserve"> I.V., </w:t>
      </w:r>
      <w:proofErr w:type="spellStart"/>
      <w:r w:rsidRPr="00B06D04">
        <w:rPr>
          <w:lang w:val="en-GB"/>
        </w:rPr>
        <w:t>Solntseva</w:t>
      </w:r>
      <w:proofErr w:type="spellEnd"/>
      <w:r w:rsidRPr="00B06D04">
        <w:rPr>
          <w:lang w:val="en-GB"/>
        </w:rPr>
        <w:t xml:space="preserve"> M.S. The capital structure of </w:t>
      </w:r>
      <w:proofErr w:type="spellStart"/>
      <w:r w:rsidRPr="00B06D04">
        <w:rPr>
          <w:lang w:val="en-GB"/>
        </w:rPr>
        <w:t>russian</w:t>
      </w:r>
      <w:proofErr w:type="spellEnd"/>
      <w:r w:rsidRPr="00B06D04">
        <w:rPr>
          <w:lang w:val="en-GB"/>
        </w:rPr>
        <w:t xml:space="preserve"> companies: testing trade-off theory versus pecking order theory // </w:t>
      </w:r>
      <w:proofErr w:type="spellStart"/>
      <w:r w:rsidRPr="00B06D04">
        <w:rPr>
          <w:lang w:val="en-GB"/>
        </w:rPr>
        <w:t>EJournal</w:t>
      </w:r>
      <w:proofErr w:type="spellEnd"/>
      <w:r w:rsidRPr="00B06D04">
        <w:rPr>
          <w:lang w:val="en-GB"/>
        </w:rPr>
        <w:t xml:space="preserve"> of corporate finance. </w:t>
      </w:r>
      <w:r w:rsidRPr="00B06D04">
        <w:t xml:space="preserve">2007. №2. </w:t>
      </w:r>
      <w:proofErr w:type="spellStart"/>
      <w:r w:rsidRPr="00B06D04">
        <w:t>Pp</w:t>
      </w:r>
      <w:proofErr w:type="spellEnd"/>
      <w:r w:rsidRPr="00B06D04">
        <w:t>. 17-31.</w:t>
      </w:r>
    </w:p>
    <w:p w:rsidR="00B06D04" w:rsidRPr="00B06D04" w:rsidRDefault="00B06D04" w:rsidP="00B06D04">
      <w:pPr>
        <w:pStyle w:val="a5"/>
        <w:numPr>
          <w:ilvl w:val="0"/>
          <w:numId w:val="8"/>
        </w:numPr>
      </w:pPr>
      <w:r w:rsidRPr="00B06D04">
        <w:rPr>
          <w:lang w:val="en-GB"/>
        </w:rPr>
        <w:t xml:space="preserve">MacKay P., Gordon P.M. How does industry affect firm financial structure? // The review of financial studies. </w:t>
      </w:r>
      <w:r w:rsidRPr="00B06D04">
        <w:t xml:space="preserve">2005. </w:t>
      </w:r>
      <w:proofErr w:type="spellStart"/>
      <w:r w:rsidRPr="00B06D04">
        <w:t>Vol</w:t>
      </w:r>
      <w:proofErr w:type="spellEnd"/>
      <w:r w:rsidRPr="00B06D04">
        <w:t xml:space="preserve">. 18. №4. </w:t>
      </w:r>
      <w:proofErr w:type="spellStart"/>
      <w:r w:rsidRPr="00B06D04">
        <w:t>Pp</w:t>
      </w:r>
      <w:proofErr w:type="spellEnd"/>
      <w:r w:rsidRPr="00B06D04">
        <w:t>. 1433-1466.</w:t>
      </w:r>
    </w:p>
    <w:p w:rsidR="00B06D04" w:rsidRPr="00B06D04" w:rsidRDefault="00B06D04" w:rsidP="00B06D04">
      <w:pPr>
        <w:pStyle w:val="a5"/>
        <w:numPr>
          <w:ilvl w:val="0"/>
          <w:numId w:val="8"/>
        </w:numPr>
      </w:pPr>
      <w:r w:rsidRPr="00B06D04">
        <w:rPr>
          <w:lang w:val="en-GB"/>
        </w:rPr>
        <w:t xml:space="preserve">Modigliani F., Miller M.H. Corporate income taxes and the cost of capital: a correction // The American economic </w:t>
      </w:r>
      <w:proofErr w:type="spellStart"/>
      <w:r w:rsidRPr="00B06D04">
        <w:rPr>
          <w:lang w:val="en-GB"/>
        </w:rPr>
        <w:t>Rerview</w:t>
      </w:r>
      <w:proofErr w:type="spellEnd"/>
      <w:r w:rsidRPr="00B06D04">
        <w:rPr>
          <w:lang w:val="en-GB"/>
        </w:rPr>
        <w:t xml:space="preserve">. </w:t>
      </w:r>
      <w:r w:rsidRPr="00B06D04">
        <w:t xml:space="preserve">1963. </w:t>
      </w:r>
      <w:proofErr w:type="spellStart"/>
      <w:r w:rsidRPr="00B06D04">
        <w:t>Vol</w:t>
      </w:r>
      <w:proofErr w:type="spellEnd"/>
      <w:r w:rsidRPr="00B06D04">
        <w:t xml:space="preserve">. 53. №3. </w:t>
      </w:r>
      <w:proofErr w:type="spellStart"/>
      <w:r w:rsidRPr="00B06D04">
        <w:t>Pp</w:t>
      </w:r>
      <w:proofErr w:type="spellEnd"/>
      <w:r w:rsidRPr="00B06D04">
        <w:t>. 433-443.</w:t>
      </w:r>
    </w:p>
    <w:p w:rsidR="00B06D04" w:rsidRPr="00B06D04" w:rsidRDefault="00B06D04" w:rsidP="00B06D04">
      <w:pPr>
        <w:pStyle w:val="a5"/>
        <w:numPr>
          <w:ilvl w:val="0"/>
          <w:numId w:val="8"/>
        </w:numPr>
      </w:pPr>
      <w:r w:rsidRPr="00B06D04">
        <w:rPr>
          <w:lang w:val="en-GB"/>
        </w:rPr>
        <w:t xml:space="preserve">Myers S.C. Determinants of corporate borrowing // Journal of financial economics. </w:t>
      </w:r>
      <w:r w:rsidRPr="00B06D04">
        <w:t xml:space="preserve">1977. </w:t>
      </w:r>
      <w:proofErr w:type="spellStart"/>
      <w:r w:rsidRPr="00B06D04">
        <w:t>Vol</w:t>
      </w:r>
      <w:proofErr w:type="spellEnd"/>
      <w:r w:rsidRPr="00B06D04">
        <w:t xml:space="preserve">. 5. </w:t>
      </w:r>
      <w:proofErr w:type="spellStart"/>
      <w:r w:rsidRPr="00B06D04">
        <w:t>Pp</w:t>
      </w:r>
      <w:proofErr w:type="spellEnd"/>
      <w:r w:rsidRPr="00B06D04">
        <w:t xml:space="preserve">. 147-175. </w:t>
      </w:r>
    </w:p>
    <w:p w:rsidR="00B06D04" w:rsidRPr="00B06D04" w:rsidRDefault="00B06D04" w:rsidP="00B06D04">
      <w:pPr>
        <w:pStyle w:val="a5"/>
        <w:numPr>
          <w:ilvl w:val="0"/>
          <w:numId w:val="8"/>
        </w:numPr>
      </w:pPr>
      <w:proofErr w:type="spellStart"/>
      <w:r w:rsidRPr="00B06D04">
        <w:rPr>
          <w:lang w:val="en-GB"/>
        </w:rPr>
        <w:t>Psillaki</w:t>
      </w:r>
      <w:proofErr w:type="spellEnd"/>
      <w:r w:rsidRPr="00B06D04">
        <w:rPr>
          <w:lang w:val="en-GB"/>
        </w:rPr>
        <w:t xml:space="preserve"> M., </w:t>
      </w:r>
      <w:proofErr w:type="spellStart"/>
      <w:r w:rsidRPr="00B06D04">
        <w:rPr>
          <w:lang w:val="en-GB"/>
        </w:rPr>
        <w:t>Daskalakis</w:t>
      </w:r>
      <w:proofErr w:type="spellEnd"/>
      <w:r w:rsidRPr="00B06D04">
        <w:rPr>
          <w:lang w:val="en-GB"/>
        </w:rPr>
        <w:t xml:space="preserve"> N. Are the determinants of capital structure country or firm specific? // Small business economics. </w:t>
      </w:r>
      <w:proofErr w:type="spellStart"/>
      <w:r w:rsidRPr="00B06D04">
        <w:t>Vol</w:t>
      </w:r>
      <w:proofErr w:type="spellEnd"/>
      <w:r w:rsidRPr="00B06D04">
        <w:t xml:space="preserve">. 33.-№3. </w:t>
      </w:r>
      <w:proofErr w:type="spellStart"/>
      <w:r w:rsidRPr="00B06D04">
        <w:t>Pp</w:t>
      </w:r>
      <w:proofErr w:type="spellEnd"/>
      <w:r w:rsidRPr="00B06D04">
        <w:t>. 319-333.</w:t>
      </w:r>
    </w:p>
    <w:p w:rsidR="00B06D04" w:rsidRPr="00D52F24" w:rsidRDefault="00B06D04" w:rsidP="00B06D04">
      <w:pPr>
        <w:pStyle w:val="a5"/>
        <w:numPr>
          <w:ilvl w:val="0"/>
          <w:numId w:val="8"/>
        </w:numPr>
        <w:rPr>
          <w:color w:val="000000" w:themeColor="text1"/>
        </w:rPr>
      </w:pPr>
      <w:r w:rsidRPr="00B06D04">
        <w:rPr>
          <w:lang w:val="en-GB"/>
        </w:rPr>
        <w:t xml:space="preserve">Scott D.F., Jr., Martin J.D. Industry influence on financial structure // Financial </w:t>
      </w:r>
      <w:r w:rsidRPr="00D52F24">
        <w:rPr>
          <w:color w:val="000000" w:themeColor="text1"/>
          <w:lang w:val="en-GB"/>
        </w:rPr>
        <w:t xml:space="preserve">management. </w:t>
      </w:r>
      <w:r w:rsidRPr="00D52F24">
        <w:rPr>
          <w:color w:val="000000" w:themeColor="text1"/>
        </w:rPr>
        <w:t xml:space="preserve">1975. </w:t>
      </w:r>
      <w:proofErr w:type="spellStart"/>
      <w:r w:rsidRPr="00D52F24">
        <w:rPr>
          <w:color w:val="000000" w:themeColor="text1"/>
        </w:rPr>
        <w:t>Vol</w:t>
      </w:r>
      <w:proofErr w:type="spellEnd"/>
      <w:r w:rsidRPr="00D52F24">
        <w:rPr>
          <w:color w:val="000000" w:themeColor="text1"/>
        </w:rPr>
        <w:t xml:space="preserve">. 4. №1. </w:t>
      </w:r>
      <w:proofErr w:type="spellStart"/>
      <w:r w:rsidRPr="00D52F24">
        <w:rPr>
          <w:color w:val="000000" w:themeColor="text1"/>
        </w:rPr>
        <w:t>Pp</w:t>
      </w:r>
      <w:proofErr w:type="spellEnd"/>
      <w:r w:rsidRPr="00D52F24">
        <w:rPr>
          <w:color w:val="000000" w:themeColor="text1"/>
        </w:rPr>
        <w:t>. 67-73.</w:t>
      </w:r>
    </w:p>
    <w:p w:rsidR="00B06D04" w:rsidRPr="00D52F24" w:rsidRDefault="00B06D04" w:rsidP="00B06D04">
      <w:pPr>
        <w:pStyle w:val="a5"/>
        <w:numPr>
          <w:ilvl w:val="0"/>
          <w:numId w:val="8"/>
        </w:numPr>
        <w:rPr>
          <w:color w:val="000000" w:themeColor="text1"/>
        </w:rPr>
      </w:pPr>
      <w:r w:rsidRPr="00D52F24">
        <w:rPr>
          <w:color w:val="000000" w:themeColor="text1"/>
          <w:lang w:val="en-GB"/>
        </w:rPr>
        <w:t xml:space="preserve">Titman S., </w:t>
      </w:r>
      <w:proofErr w:type="spellStart"/>
      <w:r w:rsidRPr="00D52F24">
        <w:rPr>
          <w:color w:val="000000" w:themeColor="text1"/>
          <w:lang w:val="en-GB"/>
        </w:rPr>
        <w:t>Wessels</w:t>
      </w:r>
      <w:proofErr w:type="spellEnd"/>
      <w:r w:rsidRPr="00D52F24">
        <w:rPr>
          <w:color w:val="000000" w:themeColor="text1"/>
          <w:lang w:val="en-GB"/>
        </w:rPr>
        <w:t xml:space="preserve"> R. The Determinants of capital structure choice // The journal of finance. </w:t>
      </w:r>
      <w:r w:rsidRPr="00D52F24">
        <w:rPr>
          <w:color w:val="000000" w:themeColor="text1"/>
        </w:rPr>
        <w:t xml:space="preserve">1988. </w:t>
      </w:r>
      <w:proofErr w:type="spellStart"/>
      <w:r w:rsidRPr="00D52F24">
        <w:rPr>
          <w:color w:val="000000" w:themeColor="text1"/>
        </w:rPr>
        <w:t>Vol</w:t>
      </w:r>
      <w:proofErr w:type="spellEnd"/>
      <w:r w:rsidRPr="00D52F24">
        <w:rPr>
          <w:color w:val="000000" w:themeColor="text1"/>
        </w:rPr>
        <w:t xml:space="preserve">. 43. №1. </w:t>
      </w:r>
      <w:proofErr w:type="spellStart"/>
      <w:r w:rsidRPr="00D52F24">
        <w:rPr>
          <w:color w:val="000000" w:themeColor="text1"/>
        </w:rPr>
        <w:t>Pp</w:t>
      </w:r>
      <w:proofErr w:type="spellEnd"/>
      <w:r w:rsidRPr="00D52F24">
        <w:rPr>
          <w:color w:val="000000" w:themeColor="text1"/>
        </w:rPr>
        <w:t>. 1-19.</w:t>
      </w:r>
    </w:p>
    <w:p w:rsidR="00EA7A3B" w:rsidRPr="00D52F24" w:rsidRDefault="007246D9" w:rsidP="00EA7A3B">
      <w:pPr>
        <w:pStyle w:val="a5"/>
        <w:numPr>
          <w:ilvl w:val="0"/>
          <w:numId w:val="8"/>
        </w:numPr>
        <w:rPr>
          <w:color w:val="000000" w:themeColor="text1"/>
          <w:lang w:val="en-US"/>
        </w:rPr>
      </w:pPr>
      <w:r w:rsidRPr="00D52F24">
        <w:rPr>
          <w:color w:val="000000" w:themeColor="text1"/>
        </w:rPr>
        <w:t>База</w:t>
      </w:r>
      <w:r w:rsidRPr="00D52F24">
        <w:rPr>
          <w:color w:val="000000" w:themeColor="text1"/>
          <w:lang w:val="en-US"/>
        </w:rPr>
        <w:t xml:space="preserve"> </w:t>
      </w:r>
      <w:r w:rsidRPr="00D52F24">
        <w:rPr>
          <w:color w:val="000000" w:themeColor="text1"/>
        </w:rPr>
        <w:t>данных</w:t>
      </w:r>
      <w:r w:rsidRPr="00D52F24">
        <w:rPr>
          <w:color w:val="000000" w:themeColor="text1"/>
          <w:lang w:val="en-US"/>
        </w:rPr>
        <w:t xml:space="preserve"> </w:t>
      </w:r>
      <w:r w:rsidRPr="00D52F24">
        <w:rPr>
          <w:color w:val="000000" w:themeColor="text1"/>
        </w:rPr>
        <w:t>СПАРК</w:t>
      </w:r>
      <w:r w:rsidRPr="00D52F24">
        <w:rPr>
          <w:color w:val="000000" w:themeColor="text1"/>
          <w:lang w:val="en-US"/>
        </w:rPr>
        <w:t>-</w:t>
      </w:r>
      <w:r w:rsidRPr="00D52F24">
        <w:rPr>
          <w:color w:val="000000" w:themeColor="text1"/>
        </w:rPr>
        <w:t>Интерфакс</w:t>
      </w:r>
      <w:r w:rsidRPr="00D52F24">
        <w:rPr>
          <w:color w:val="000000" w:themeColor="text1"/>
          <w:lang w:val="en-US"/>
        </w:rPr>
        <w:t xml:space="preserve"> - SPARK-Interfax</w:t>
      </w:r>
      <w:r w:rsidR="00EA7A3B" w:rsidRPr="00D52F24">
        <w:rPr>
          <w:color w:val="000000" w:themeColor="text1"/>
          <w:lang w:val="en-US"/>
        </w:rPr>
        <w:t xml:space="preserve"> </w:t>
      </w:r>
      <w:r w:rsidRPr="00D52F24">
        <w:rPr>
          <w:color w:val="000000" w:themeColor="text1"/>
          <w:lang w:val="en-US"/>
        </w:rPr>
        <w:t>(</w:t>
      </w:r>
      <w:r w:rsidR="00EA7A3B" w:rsidRPr="00D52F24">
        <w:rPr>
          <w:color w:val="000000" w:themeColor="text1"/>
          <w:lang w:val="en-US"/>
        </w:rPr>
        <w:t>www. spark-interfax.ru</w:t>
      </w:r>
      <w:r w:rsidRPr="00D52F24">
        <w:rPr>
          <w:color w:val="000000" w:themeColor="text1"/>
          <w:lang w:val="en-US"/>
        </w:rPr>
        <w:t>)</w:t>
      </w:r>
      <w:r w:rsidR="00EA7A3B" w:rsidRPr="00D52F24">
        <w:rPr>
          <w:color w:val="000000" w:themeColor="text1"/>
          <w:lang w:val="en-US"/>
        </w:rPr>
        <w:t xml:space="preserve">   </w:t>
      </w:r>
    </w:p>
    <w:p w:rsidR="00D36EE4" w:rsidRPr="00D52F24" w:rsidRDefault="00D36EE4" w:rsidP="00695A0B">
      <w:pPr>
        <w:spacing w:after="120" w:line="360" w:lineRule="auto"/>
        <w:ind w:firstLine="720"/>
        <w:jc w:val="both"/>
        <w:rPr>
          <w:color w:val="000000" w:themeColor="text1"/>
          <w:lang w:val="en-US"/>
        </w:rPr>
      </w:pPr>
    </w:p>
    <w:p w:rsidR="00D36EE4" w:rsidRPr="00EA7A3B" w:rsidRDefault="00D36EE4" w:rsidP="00695A0B">
      <w:pPr>
        <w:spacing w:after="120" w:line="360" w:lineRule="auto"/>
        <w:ind w:firstLine="720"/>
        <w:jc w:val="both"/>
        <w:rPr>
          <w:lang w:val="en-US"/>
        </w:rPr>
      </w:pPr>
    </w:p>
    <w:p w:rsidR="00D36EE4" w:rsidRPr="00EA7A3B" w:rsidRDefault="00D36EE4" w:rsidP="00695A0B">
      <w:pPr>
        <w:spacing w:after="120" w:line="360" w:lineRule="auto"/>
        <w:ind w:firstLine="720"/>
        <w:jc w:val="both"/>
        <w:rPr>
          <w:lang w:val="en-US"/>
        </w:rPr>
      </w:pPr>
    </w:p>
    <w:sectPr w:rsidR="00D36EE4" w:rsidRPr="00EA7A3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08D" w:rsidRDefault="00B4708D" w:rsidP="006433B7">
      <w:r>
        <w:separator/>
      </w:r>
    </w:p>
  </w:endnote>
  <w:endnote w:type="continuationSeparator" w:id="0">
    <w:p w:rsidR="00B4708D" w:rsidRDefault="00B4708D" w:rsidP="0064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604020202020204"/>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433497"/>
      <w:docPartObj>
        <w:docPartGallery w:val="Page Numbers (Bottom of Page)"/>
        <w:docPartUnique/>
      </w:docPartObj>
    </w:sdtPr>
    <w:sdtEndPr/>
    <w:sdtContent>
      <w:p w:rsidR="003E76F1" w:rsidRDefault="003E76F1">
        <w:pPr>
          <w:pStyle w:val="a8"/>
          <w:jc w:val="center"/>
        </w:pPr>
        <w:r>
          <w:fldChar w:fldCharType="begin"/>
        </w:r>
        <w:r>
          <w:instrText>PAGE   \* MERGEFORMAT</w:instrText>
        </w:r>
        <w:r>
          <w:fldChar w:fldCharType="separate"/>
        </w:r>
        <w:r w:rsidR="006118EA">
          <w:rPr>
            <w:noProof/>
          </w:rPr>
          <w:t>12</w:t>
        </w:r>
        <w:r>
          <w:fldChar w:fldCharType="end"/>
        </w:r>
      </w:p>
    </w:sdtContent>
  </w:sdt>
  <w:p w:rsidR="003E76F1" w:rsidRDefault="003E76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08D" w:rsidRDefault="00B4708D" w:rsidP="006433B7">
      <w:r>
        <w:separator/>
      </w:r>
    </w:p>
  </w:footnote>
  <w:footnote w:type="continuationSeparator" w:id="0">
    <w:p w:rsidR="00B4708D" w:rsidRDefault="00B4708D" w:rsidP="00643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0B4"/>
    <w:multiLevelType w:val="hybridMultilevel"/>
    <w:tmpl w:val="DBBC5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9C2FD0"/>
    <w:multiLevelType w:val="hybridMultilevel"/>
    <w:tmpl w:val="04BAD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3487F3D"/>
    <w:multiLevelType w:val="hybridMultilevel"/>
    <w:tmpl w:val="49A6D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9681319"/>
    <w:multiLevelType w:val="hybridMultilevel"/>
    <w:tmpl w:val="D07CC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315205"/>
    <w:multiLevelType w:val="hybridMultilevel"/>
    <w:tmpl w:val="A5C61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2BA199E"/>
    <w:multiLevelType w:val="hybridMultilevel"/>
    <w:tmpl w:val="AC92EAF6"/>
    <w:lvl w:ilvl="0" w:tplc="43F21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D6683C"/>
    <w:multiLevelType w:val="hybridMultilevel"/>
    <w:tmpl w:val="342A95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8A9170C"/>
    <w:multiLevelType w:val="hybridMultilevel"/>
    <w:tmpl w:val="A782CF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BA"/>
    <w:rsid w:val="00000671"/>
    <w:rsid w:val="00007BB1"/>
    <w:rsid w:val="00024A5E"/>
    <w:rsid w:val="000657AF"/>
    <w:rsid w:val="00071A2D"/>
    <w:rsid w:val="00073FCD"/>
    <w:rsid w:val="00081B4C"/>
    <w:rsid w:val="000866D0"/>
    <w:rsid w:val="00094F51"/>
    <w:rsid w:val="000C7CD5"/>
    <w:rsid w:val="000D0AC0"/>
    <w:rsid w:val="000D7F6A"/>
    <w:rsid w:val="000E3130"/>
    <w:rsid w:val="000F69C0"/>
    <w:rsid w:val="001213EF"/>
    <w:rsid w:val="00126BFF"/>
    <w:rsid w:val="00132D7A"/>
    <w:rsid w:val="00144BFB"/>
    <w:rsid w:val="00150614"/>
    <w:rsid w:val="00152817"/>
    <w:rsid w:val="00156B92"/>
    <w:rsid w:val="00157D9D"/>
    <w:rsid w:val="00162C58"/>
    <w:rsid w:val="00192F63"/>
    <w:rsid w:val="001D3936"/>
    <w:rsid w:val="001D70E7"/>
    <w:rsid w:val="001F0D46"/>
    <w:rsid w:val="001F0E30"/>
    <w:rsid w:val="001F69CF"/>
    <w:rsid w:val="00206A62"/>
    <w:rsid w:val="0023127D"/>
    <w:rsid w:val="00235EF8"/>
    <w:rsid w:val="00240F88"/>
    <w:rsid w:val="00263CCF"/>
    <w:rsid w:val="0026530B"/>
    <w:rsid w:val="002752F0"/>
    <w:rsid w:val="00283AA2"/>
    <w:rsid w:val="00287D8C"/>
    <w:rsid w:val="002902ED"/>
    <w:rsid w:val="002A66ED"/>
    <w:rsid w:val="002F486F"/>
    <w:rsid w:val="00306BD1"/>
    <w:rsid w:val="00345260"/>
    <w:rsid w:val="00352C4B"/>
    <w:rsid w:val="003766ED"/>
    <w:rsid w:val="003A2A0C"/>
    <w:rsid w:val="003D722A"/>
    <w:rsid w:val="003D7FF0"/>
    <w:rsid w:val="003E76F1"/>
    <w:rsid w:val="003F11BF"/>
    <w:rsid w:val="003F7B50"/>
    <w:rsid w:val="00403E17"/>
    <w:rsid w:val="004212C9"/>
    <w:rsid w:val="00433253"/>
    <w:rsid w:val="00440003"/>
    <w:rsid w:val="00446487"/>
    <w:rsid w:val="00452DD9"/>
    <w:rsid w:val="0046194C"/>
    <w:rsid w:val="00484588"/>
    <w:rsid w:val="00485FF4"/>
    <w:rsid w:val="004B418D"/>
    <w:rsid w:val="004B752F"/>
    <w:rsid w:val="004C161C"/>
    <w:rsid w:val="004E0E63"/>
    <w:rsid w:val="004E4D5B"/>
    <w:rsid w:val="0050054A"/>
    <w:rsid w:val="00502422"/>
    <w:rsid w:val="00505D1B"/>
    <w:rsid w:val="005152E6"/>
    <w:rsid w:val="005C52FE"/>
    <w:rsid w:val="005F2601"/>
    <w:rsid w:val="005F58D7"/>
    <w:rsid w:val="00604F14"/>
    <w:rsid w:val="00610511"/>
    <w:rsid w:val="006118EA"/>
    <w:rsid w:val="00622DB1"/>
    <w:rsid w:val="006433B7"/>
    <w:rsid w:val="006452AD"/>
    <w:rsid w:val="006463E4"/>
    <w:rsid w:val="00651D02"/>
    <w:rsid w:val="00662CD5"/>
    <w:rsid w:val="00695A0B"/>
    <w:rsid w:val="006B707F"/>
    <w:rsid w:val="0071254F"/>
    <w:rsid w:val="007246D9"/>
    <w:rsid w:val="007354CF"/>
    <w:rsid w:val="00776AA4"/>
    <w:rsid w:val="00784B1C"/>
    <w:rsid w:val="007916BA"/>
    <w:rsid w:val="00795ADE"/>
    <w:rsid w:val="007A56A3"/>
    <w:rsid w:val="007B25A4"/>
    <w:rsid w:val="007E0C90"/>
    <w:rsid w:val="008501B1"/>
    <w:rsid w:val="00863F32"/>
    <w:rsid w:val="00867876"/>
    <w:rsid w:val="00872B02"/>
    <w:rsid w:val="00894751"/>
    <w:rsid w:val="008B2657"/>
    <w:rsid w:val="008B4628"/>
    <w:rsid w:val="008B595C"/>
    <w:rsid w:val="008C56C6"/>
    <w:rsid w:val="008F4EAD"/>
    <w:rsid w:val="00900556"/>
    <w:rsid w:val="00901C7D"/>
    <w:rsid w:val="00906F93"/>
    <w:rsid w:val="00920EE4"/>
    <w:rsid w:val="00975B83"/>
    <w:rsid w:val="00975C68"/>
    <w:rsid w:val="00996F50"/>
    <w:rsid w:val="009A3AC0"/>
    <w:rsid w:val="009B331B"/>
    <w:rsid w:val="009B42CD"/>
    <w:rsid w:val="009C4D09"/>
    <w:rsid w:val="009F413E"/>
    <w:rsid w:val="009F5B69"/>
    <w:rsid w:val="009F751B"/>
    <w:rsid w:val="00A109AB"/>
    <w:rsid w:val="00A16A53"/>
    <w:rsid w:val="00A37A71"/>
    <w:rsid w:val="00A670F9"/>
    <w:rsid w:val="00A759BC"/>
    <w:rsid w:val="00AC493B"/>
    <w:rsid w:val="00AC6ECF"/>
    <w:rsid w:val="00AD6F5C"/>
    <w:rsid w:val="00AD7914"/>
    <w:rsid w:val="00AE662C"/>
    <w:rsid w:val="00AF0472"/>
    <w:rsid w:val="00B03636"/>
    <w:rsid w:val="00B044E1"/>
    <w:rsid w:val="00B06D04"/>
    <w:rsid w:val="00B24FBE"/>
    <w:rsid w:val="00B4708D"/>
    <w:rsid w:val="00B64FD9"/>
    <w:rsid w:val="00B67FAA"/>
    <w:rsid w:val="00B763A5"/>
    <w:rsid w:val="00B7730D"/>
    <w:rsid w:val="00B807BB"/>
    <w:rsid w:val="00B90C85"/>
    <w:rsid w:val="00BA093B"/>
    <w:rsid w:val="00BD4C18"/>
    <w:rsid w:val="00BD53AC"/>
    <w:rsid w:val="00BE07ED"/>
    <w:rsid w:val="00C00B72"/>
    <w:rsid w:val="00C27A28"/>
    <w:rsid w:val="00C44430"/>
    <w:rsid w:val="00C46C9F"/>
    <w:rsid w:val="00C500CB"/>
    <w:rsid w:val="00C540F3"/>
    <w:rsid w:val="00C64AFA"/>
    <w:rsid w:val="00C65592"/>
    <w:rsid w:val="00C65FEE"/>
    <w:rsid w:val="00C779FC"/>
    <w:rsid w:val="00C955AD"/>
    <w:rsid w:val="00CA3405"/>
    <w:rsid w:val="00CC3A3A"/>
    <w:rsid w:val="00CC4594"/>
    <w:rsid w:val="00CC6207"/>
    <w:rsid w:val="00CF1A29"/>
    <w:rsid w:val="00CF4CDB"/>
    <w:rsid w:val="00D059B0"/>
    <w:rsid w:val="00D05F42"/>
    <w:rsid w:val="00D13195"/>
    <w:rsid w:val="00D14699"/>
    <w:rsid w:val="00D3023B"/>
    <w:rsid w:val="00D36EE4"/>
    <w:rsid w:val="00D52F24"/>
    <w:rsid w:val="00D66941"/>
    <w:rsid w:val="00D94854"/>
    <w:rsid w:val="00DA5755"/>
    <w:rsid w:val="00DB30EF"/>
    <w:rsid w:val="00DC6BDD"/>
    <w:rsid w:val="00E03CC4"/>
    <w:rsid w:val="00E0575D"/>
    <w:rsid w:val="00E0760E"/>
    <w:rsid w:val="00E1021B"/>
    <w:rsid w:val="00E10782"/>
    <w:rsid w:val="00E323EA"/>
    <w:rsid w:val="00E325ED"/>
    <w:rsid w:val="00E41048"/>
    <w:rsid w:val="00E4247B"/>
    <w:rsid w:val="00E55462"/>
    <w:rsid w:val="00E57740"/>
    <w:rsid w:val="00E64A04"/>
    <w:rsid w:val="00E65934"/>
    <w:rsid w:val="00E66F20"/>
    <w:rsid w:val="00E67376"/>
    <w:rsid w:val="00E8488C"/>
    <w:rsid w:val="00E95A59"/>
    <w:rsid w:val="00EA7A3B"/>
    <w:rsid w:val="00EB5AB4"/>
    <w:rsid w:val="00ED2D80"/>
    <w:rsid w:val="00F30C60"/>
    <w:rsid w:val="00F33080"/>
    <w:rsid w:val="00F41515"/>
    <w:rsid w:val="00F476CC"/>
    <w:rsid w:val="00F56250"/>
    <w:rsid w:val="00FA1A98"/>
    <w:rsid w:val="00FA20B9"/>
    <w:rsid w:val="00FE52B8"/>
    <w:rsid w:val="00FF126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52BD"/>
  <w15:chartTrackingRefBased/>
  <w15:docId w15:val="{8AB4B854-4E1D-45AB-A29C-F1E706F9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6B92"/>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56B92"/>
    <w:rPr>
      <w:i/>
      <w:iCs/>
    </w:rPr>
  </w:style>
  <w:style w:type="paragraph" w:styleId="a4">
    <w:name w:val="No Spacing"/>
    <w:basedOn w:val="a"/>
    <w:uiPriority w:val="1"/>
    <w:qFormat/>
    <w:rsid w:val="00156B92"/>
    <w:pPr>
      <w:overflowPunct w:val="0"/>
      <w:autoSpaceDE w:val="0"/>
      <w:autoSpaceDN w:val="0"/>
    </w:pPr>
    <w:rPr>
      <w:rFonts w:cs="Times New Roman"/>
      <w:sz w:val="20"/>
      <w:szCs w:val="20"/>
    </w:rPr>
  </w:style>
  <w:style w:type="paragraph" w:styleId="a5">
    <w:name w:val="List Paragraph"/>
    <w:basedOn w:val="a"/>
    <w:uiPriority w:val="99"/>
    <w:qFormat/>
    <w:rsid w:val="00156B92"/>
    <w:pPr>
      <w:ind w:left="720"/>
      <w:contextualSpacing/>
    </w:pPr>
    <w:rPr>
      <w:rFonts w:eastAsia="Times New Roman" w:cs="Times New Roman"/>
    </w:rPr>
  </w:style>
  <w:style w:type="paragraph" w:styleId="a6">
    <w:name w:val="header"/>
    <w:basedOn w:val="a"/>
    <w:link w:val="a7"/>
    <w:uiPriority w:val="99"/>
    <w:unhideWhenUsed/>
    <w:rsid w:val="006433B7"/>
    <w:pPr>
      <w:tabs>
        <w:tab w:val="center" w:pos="4677"/>
        <w:tab w:val="right" w:pos="9355"/>
      </w:tabs>
    </w:pPr>
  </w:style>
  <w:style w:type="character" w:customStyle="1" w:styleId="a7">
    <w:name w:val="Верхний колонтитул Знак"/>
    <w:basedOn w:val="a0"/>
    <w:link w:val="a6"/>
    <w:uiPriority w:val="99"/>
    <w:rsid w:val="006433B7"/>
    <w:rPr>
      <w:rFonts w:ascii="Times New Roman" w:hAnsi="Times New Roman"/>
      <w:sz w:val="24"/>
      <w:szCs w:val="24"/>
      <w:lang w:eastAsia="ru-RU"/>
    </w:rPr>
  </w:style>
  <w:style w:type="paragraph" w:styleId="a8">
    <w:name w:val="footer"/>
    <w:basedOn w:val="a"/>
    <w:link w:val="a9"/>
    <w:uiPriority w:val="99"/>
    <w:unhideWhenUsed/>
    <w:rsid w:val="006433B7"/>
    <w:pPr>
      <w:tabs>
        <w:tab w:val="center" w:pos="4677"/>
        <w:tab w:val="right" w:pos="9355"/>
      </w:tabs>
    </w:pPr>
  </w:style>
  <w:style w:type="character" w:customStyle="1" w:styleId="a9">
    <w:name w:val="Нижний колонтитул Знак"/>
    <w:basedOn w:val="a0"/>
    <w:link w:val="a8"/>
    <w:uiPriority w:val="99"/>
    <w:rsid w:val="006433B7"/>
    <w:rPr>
      <w:rFonts w:ascii="Times New Roman" w:hAnsi="Times New Roman"/>
      <w:sz w:val="24"/>
      <w:szCs w:val="24"/>
      <w:lang w:eastAsia="ru-RU"/>
    </w:rPr>
  </w:style>
  <w:style w:type="table" w:styleId="aa">
    <w:name w:val="Table Grid"/>
    <w:basedOn w:val="a1"/>
    <w:uiPriority w:val="99"/>
    <w:rsid w:val="00784B1C"/>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2mailrucssattributepostfix">
    <w:name w:val="s82_mailru_css_attribute_postfix"/>
    <w:basedOn w:val="a"/>
    <w:rsid w:val="00C779FC"/>
    <w:pPr>
      <w:spacing w:before="100" w:beforeAutospacing="1" w:after="100" w:afterAutospacing="1"/>
    </w:pPr>
    <w:rPr>
      <w:rFonts w:eastAsia="Times New Roman" w:cs="Times New Roman"/>
    </w:rPr>
  </w:style>
  <w:style w:type="character" w:customStyle="1" w:styleId="s7mailrucssattributepostfix">
    <w:name w:val="s7_mailru_css_attribute_postfix"/>
    <w:basedOn w:val="a0"/>
    <w:rsid w:val="00C779FC"/>
  </w:style>
  <w:style w:type="paragraph" w:customStyle="1" w:styleId="s4mailrucssattributepostfix">
    <w:name w:val="s4_mailru_css_attribute_postfix"/>
    <w:basedOn w:val="a"/>
    <w:rsid w:val="00C779FC"/>
    <w:pPr>
      <w:spacing w:before="100" w:beforeAutospacing="1" w:after="100" w:afterAutospacing="1"/>
    </w:pPr>
    <w:rPr>
      <w:rFonts w:eastAsia="Times New Roman" w:cs="Times New Roman"/>
    </w:rPr>
  </w:style>
  <w:style w:type="character" w:customStyle="1" w:styleId="s2mailrucssattributepostfix">
    <w:name w:val="s2_mailru_css_attribute_postfix"/>
    <w:basedOn w:val="a0"/>
    <w:rsid w:val="00C779FC"/>
  </w:style>
  <w:style w:type="character" w:styleId="ab">
    <w:name w:val="Hyperlink"/>
    <w:basedOn w:val="a0"/>
    <w:uiPriority w:val="99"/>
    <w:unhideWhenUsed/>
    <w:rsid w:val="00C779FC"/>
    <w:rPr>
      <w:color w:val="0000FF"/>
      <w:u w:val="single"/>
    </w:rPr>
  </w:style>
  <w:style w:type="character" w:styleId="ac">
    <w:name w:val="annotation reference"/>
    <w:basedOn w:val="a0"/>
    <w:uiPriority w:val="99"/>
    <w:semiHidden/>
    <w:unhideWhenUsed/>
    <w:rsid w:val="007246D9"/>
    <w:rPr>
      <w:sz w:val="16"/>
      <w:szCs w:val="16"/>
    </w:rPr>
  </w:style>
  <w:style w:type="paragraph" w:styleId="ad">
    <w:name w:val="annotation text"/>
    <w:basedOn w:val="a"/>
    <w:link w:val="ae"/>
    <w:uiPriority w:val="99"/>
    <w:semiHidden/>
    <w:unhideWhenUsed/>
    <w:rsid w:val="007246D9"/>
    <w:rPr>
      <w:sz w:val="20"/>
      <w:szCs w:val="20"/>
    </w:rPr>
  </w:style>
  <w:style w:type="character" w:customStyle="1" w:styleId="ae">
    <w:name w:val="Текст примечания Знак"/>
    <w:basedOn w:val="a0"/>
    <w:link w:val="ad"/>
    <w:uiPriority w:val="99"/>
    <w:semiHidden/>
    <w:rsid w:val="007246D9"/>
    <w:rPr>
      <w:rFonts w:ascii="Times New Roman" w:hAnsi="Times New Roman"/>
      <w:sz w:val="20"/>
      <w:szCs w:val="20"/>
      <w:lang w:eastAsia="ru-RU"/>
    </w:rPr>
  </w:style>
  <w:style w:type="paragraph" w:styleId="af">
    <w:name w:val="annotation subject"/>
    <w:basedOn w:val="ad"/>
    <w:next w:val="ad"/>
    <w:link w:val="af0"/>
    <w:uiPriority w:val="99"/>
    <w:semiHidden/>
    <w:unhideWhenUsed/>
    <w:rsid w:val="007246D9"/>
    <w:rPr>
      <w:b/>
      <w:bCs/>
    </w:rPr>
  </w:style>
  <w:style w:type="character" w:customStyle="1" w:styleId="af0">
    <w:name w:val="Тема примечания Знак"/>
    <w:basedOn w:val="ae"/>
    <w:link w:val="af"/>
    <w:uiPriority w:val="99"/>
    <w:semiHidden/>
    <w:rsid w:val="007246D9"/>
    <w:rPr>
      <w:rFonts w:ascii="Times New Roman" w:hAnsi="Times New Roman"/>
      <w:b/>
      <w:bCs/>
      <w:sz w:val="20"/>
      <w:szCs w:val="20"/>
      <w:lang w:eastAsia="ru-RU"/>
    </w:rPr>
  </w:style>
  <w:style w:type="paragraph" w:styleId="af1">
    <w:name w:val="Balloon Text"/>
    <w:basedOn w:val="a"/>
    <w:link w:val="af2"/>
    <w:uiPriority w:val="99"/>
    <w:semiHidden/>
    <w:unhideWhenUsed/>
    <w:rsid w:val="007246D9"/>
    <w:rPr>
      <w:rFonts w:ascii="Segoe UI" w:hAnsi="Segoe UI" w:cs="Segoe UI"/>
      <w:sz w:val="18"/>
      <w:szCs w:val="18"/>
    </w:rPr>
  </w:style>
  <w:style w:type="character" w:customStyle="1" w:styleId="af2">
    <w:name w:val="Текст выноски Знак"/>
    <w:basedOn w:val="a0"/>
    <w:link w:val="af1"/>
    <w:uiPriority w:val="99"/>
    <w:semiHidden/>
    <w:rsid w:val="007246D9"/>
    <w:rPr>
      <w:rFonts w:ascii="Segoe UI" w:hAnsi="Segoe UI" w:cs="Segoe UI"/>
      <w:sz w:val="18"/>
      <w:szCs w:val="18"/>
      <w:lang w:eastAsia="ru-RU"/>
    </w:rPr>
  </w:style>
  <w:style w:type="paragraph" w:styleId="af3">
    <w:name w:val="footnote text"/>
    <w:basedOn w:val="a"/>
    <w:link w:val="af4"/>
    <w:uiPriority w:val="99"/>
    <w:semiHidden/>
    <w:unhideWhenUsed/>
    <w:rsid w:val="007246D9"/>
    <w:rPr>
      <w:sz w:val="20"/>
      <w:szCs w:val="20"/>
    </w:rPr>
  </w:style>
  <w:style w:type="character" w:customStyle="1" w:styleId="af4">
    <w:name w:val="Текст сноски Знак"/>
    <w:basedOn w:val="a0"/>
    <w:link w:val="af3"/>
    <w:uiPriority w:val="99"/>
    <w:semiHidden/>
    <w:rsid w:val="007246D9"/>
    <w:rPr>
      <w:rFonts w:ascii="Times New Roman" w:hAnsi="Times New Roman"/>
      <w:sz w:val="20"/>
      <w:szCs w:val="20"/>
      <w:lang w:eastAsia="ru-RU"/>
    </w:rPr>
  </w:style>
  <w:style w:type="character" w:styleId="af5">
    <w:name w:val="footnote reference"/>
    <w:basedOn w:val="a0"/>
    <w:uiPriority w:val="99"/>
    <w:semiHidden/>
    <w:unhideWhenUsed/>
    <w:rsid w:val="007246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1826">
      <w:bodyDiv w:val="1"/>
      <w:marLeft w:val="0"/>
      <w:marRight w:val="0"/>
      <w:marTop w:val="0"/>
      <w:marBottom w:val="0"/>
      <w:divBdr>
        <w:top w:val="none" w:sz="0" w:space="0" w:color="auto"/>
        <w:left w:val="none" w:sz="0" w:space="0" w:color="auto"/>
        <w:bottom w:val="none" w:sz="0" w:space="0" w:color="auto"/>
        <w:right w:val="none" w:sz="0" w:space="0" w:color="auto"/>
      </w:divBdr>
    </w:div>
    <w:div w:id="22173511">
      <w:bodyDiv w:val="1"/>
      <w:marLeft w:val="0"/>
      <w:marRight w:val="0"/>
      <w:marTop w:val="0"/>
      <w:marBottom w:val="0"/>
      <w:divBdr>
        <w:top w:val="none" w:sz="0" w:space="0" w:color="auto"/>
        <w:left w:val="none" w:sz="0" w:space="0" w:color="auto"/>
        <w:bottom w:val="none" w:sz="0" w:space="0" w:color="auto"/>
        <w:right w:val="none" w:sz="0" w:space="0" w:color="auto"/>
      </w:divBdr>
    </w:div>
    <w:div w:id="348023353">
      <w:bodyDiv w:val="1"/>
      <w:marLeft w:val="0"/>
      <w:marRight w:val="0"/>
      <w:marTop w:val="0"/>
      <w:marBottom w:val="0"/>
      <w:divBdr>
        <w:top w:val="none" w:sz="0" w:space="0" w:color="auto"/>
        <w:left w:val="none" w:sz="0" w:space="0" w:color="auto"/>
        <w:bottom w:val="none" w:sz="0" w:space="0" w:color="auto"/>
        <w:right w:val="none" w:sz="0" w:space="0" w:color="auto"/>
      </w:divBdr>
    </w:div>
    <w:div w:id="414980488">
      <w:bodyDiv w:val="1"/>
      <w:marLeft w:val="0"/>
      <w:marRight w:val="0"/>
      <w:marTop w:val="0"/>
      <w:marBottom w:val="0"/>
      <w:divBdr>
        <w:top w:val="none" w:sz="0" w:space="0" w:color="auto"/>
        <w:left w:val="none" w:sz="0" w:space="0" w:color="auto"/>
        <w:bottom w:val="none" w:sz="0" w:space="0" w:color="auto"/>
        <w:right w:val="none" w:sz="0" w:space="0" w:color="auto"/>
      </w:divBdr>
    </w:div>
    <w:div w:id="439763897">
      <w:bodyDiv w:val="1"/>
      <w:marLeft w:val="0"/>
      <w:marRight w:val="0"/>
      <w:marTop w:val="0"/>
      <w:marBottom w:val="0"/>
      <w:divBdr>
        <w:top w:val="none" w:sz="0" w:space="0" w:color="auto"/>
        <w:left w:val="none" w:sz="0" w:space="0" w:color="auto"/>
        <w:bottom w:val="none" w:sz="0" w:space="0" w:color="auto"/>
        <w:right w:val="none" w:sz="0" w:space="0" w:color="auto"/>
      </w:divBdr>
    </w:div>
    <w:div w:id="504634734">
      <w:bodyDiv w:val="1"/>
      <w:marLeft w:val="0"/>
      <w:marRight w:val="0"/>
      <w:marTop w:val="0"/>
      <w:marBottom w:val="0"/>
      <w:divBdr>
        <w:top w:val="none" w:sz="0" w:space="0" w:color="auto"/>
        <w:left w:val="none" w:sz="0" w:space="0" w:color="auto"/>
        <w:bottom w:val="none" w:sz="0" w:space="0" w:color="auto"/>
        <w:right w:val="none" w:sz="0" w:space="0" w:color="auto"/>
      </w:divBdr>
    </w:div>
    <w:div w:id="549459561">
      <w:bodyDiv w:val="1"/>
      <w:marLeft w:val="0"/>
      <w:marRight w:val="0"/>
      <w:marTop w:val="0"/>
      <w:marBottom w:val="0"/>
      <w:divBdr>
        <w:top w:val="none" w:sz="0" w:space="0" w:color="auto"/>
        <w:left w:val="none" w:sz="0" w:space="0" w:color="auto"/>
        <w:bottom w:val="none" w:sz="0" w:space="0" w:color="auto"/>
        <w:right w:val="none" w:sz="0" w:space="0" w:color="auto"/>
      </w:divBdr>
    </w:div>
    <w:div w:id="588395751">
      <w:bodyDiv w:val="1"/>
      <w:marLeft w:val="0"/>
      <w:marRight w:val="0"/>
      <w:marTop w:val="0"/>
      <w:marBottom w:val="0"/>
      <w:divBdr>
        <w:top w:val="none" w:sz="0" w:space="0" w:color="auto"/>
        <w:left w:val="none" w:sz="0" w:space="0" w:color="auto"/>
        <w:bottom w:val="none" w:sz="0" w:space="0" w:color="auto"/>
        <w:right w:val="none" w:sz="0" w:space="0" w:color="auto"/>
      </w:divBdr>
    </w:div>
    <w:div w:id="652294461">
      <w:bodyDiv w:val="1"/>
      <w:marLeft w:val="0"/>
      <w:marRight w:val="0"/>
      <w:marTop w:val="0"/>
      <w:marBottom w:val="0"/>
      <w:divBdr>
        <w:top w:val="none" w:sz="0" w:space="0" w:color="auto"/>
        <w:left w:val="none" w:sz="0" w:space="0" w:color="auto"/>
        <w:bottom w:val="none" w:sz="0" w:space="0" w:color="auto"/>
        <w:right w:val="none" w:sz="0" w:space="0" w:color="auto"/>
      </w:divBdr>
    </w:div>
    <w:div w:id="658731149">
      <w:bodyDiv w:val="1"/>
      <w:marLeft w:val="0"/>
      <w:marRight w:val="0"/>
      <w:marTop w:val="0"/>
      <w:marBottom w:val="0"/>
      <w:divBdr>
        <w:top w:val="none" w:sz="0" w:space="0" w:color="auto"/>
        <w:left w:val="none" w:sz="0" w:space="0" w:color="auto"/>
        <w:bottom w:val="none" w:sz="0" w:space="0" w:color="auto"/>
        <w:right w:val="none" w:sz="0" w:space="0" w:color="auto"/>
      </w:divBdr>
    </w:div>
    <w:div w:id="845242304">
      <w:bodyDiv w:val="1"/>
      <w:marLeft w:val="0"/>
      <w:marRight w:val="0"/>
      <w:marTop w:val="0"/>
      <w:marBottom w:val="0"/>
      <w:divBdr>
        <w:top w:val="none" w:sz="0" w:space="0" w:color="auto"/>
        <w:left w:val="none" w:sz="0" w:space="0" w:color="auto"/>
        <w:bottom w:val="none" w:sz="0" w:space="0" w:color="auto"/>
        <w:right w:val="none" w:sz="0" w:space="0" w:color="auto"/>
      </w:divBdr>
    </w:div>
    <w:div w:id="877621844">
      <w:bodyDiv w:val="1"/>
      <w:marLeft w:val="0"/>
      <w:marRight w:val="0"/>
      <w:marTop w:val="0"/>
      <w:marBottom w:val="0"/>
      <w:divBdr>
        <w:top w:val="none" w:sz="0" w:space="0" w:color="auto"/>
        <w:left w:val="none" w:sz="0" w:space="0" w:color="auto"/>
        <w:bottom w:val="none" w:sz="0" w:space="0" w:color="auto"/>
        <w:right w:val="none" w:sz="0" w:space="0" w:color="auto"/>
      </w:divBdr>
    </w:div>
    <w:div w:id="927539419">
      <w:bodyDiv w:val="1"/>
      <w:marLeft w:val="0"/>
      <w:marRight w:val="0"/>
      <w:marTop w:val="0"/>
      <w:marBottom w:val="0"/>
      <w:divBdr>
        <w:top w:val="none" w:sz="0" w:space="0" w:color="auto"/>
        <w:left w:val="none" w:sz="0" w:space="0" w:color="auto"/>
        <w:bottom w:val="none" w:sz="0" w:space="0" w:color="auto"/>
        <w:right w:val="none" w:sz="0" w:space="0" w:color="auto"/>
      </w:divBdr>
    </w:div>
    <w:div w:id="979768156">
      <w:bodyDiv w:val="1"/>
      <w:marLeft w:val="0"/>
      <w:marRight w:val="0"/>
      <w:marTop w:val="0"/>
      <w:marBottom w:val="0"/>
      <w:divBdr>
        <w:top w:val="none" w:sz="0" w:space="0" w:color="auto"/>
        <w:left w:val="none" w:sz="0" w:space="0" w:color="auto"/>
        <w:bottom w:val="none" w:sz="0" w:space="0" w:color="auto"/>
        <w:right w:val="none" w:sz="0" w:space="0" w:color="auto"/>
      </w:divBdr>
    </w:div>
    <w:div w:id="1029380710">
      <w:bodyDiv w:val="1"/>
      <w:marLeft w:val="0"/>
      <w:marRight w:val="0"/>
      <w:marTop w:val="0"/>
      <w:marBottom w:val="0"/>
      <w:divBdr>
        <w:top w:val="none" w:sz="0" w:space="0" w:color="auto"/>
        <w:left w:val="none" w:sz="0" w:space="0" w:color="auto"/>
        <w:bottom w:val="none" w:sz="0" w:space="0" w:color="auto"/>
        <w:right w:val="none" w:sz="0" w:space="0" w:color="auto"/>
      </w:divBdr>
    </w:div>
    <w:div w:id="1060665561">
      <w:bodyDiv w:val="1"/>
      <w:marLeft w:val="0"/>
      <w:marRight w:val="0"/>
      <w:marTop w:val="0"/>
      <w:marBottom w:val="0"/>
      <w:divBdr>
        <w:top w:val="none" w:sz="0" w:space="0" w:color="auto"/>
        <w:left w:val="none" w:sz="0" w:space="0" w:color="auto"/>
        <w:bottom w:val="none" w:sz="0" w:space="0" w:color="auto"/>
        <w:right w:val="none" w:sz="0" w:space="0" w:color="auto"/>
      </w:divBdr>
    </w:div>
    <w:div w:id="1118333858">
      <w:bodyDiv w:val="1"/>
      <w:marLeft w:val="0"/>
      <w:marRight w:val="0"/>
      <w:marTop w:val="0"/>
      <w:marBottom w:val="0"/>
      <w:divBdr>
        <w:top w:val="none" w:sz="0" w:space="0" w:color="auto"/>
        <w:left w:val="none" w:sz="0" w:space="0" w:color="auto"/>
        <w:bottom w:val="none" w:sz="0" w:space="0" w:color="auto"/>
        <w:right w:val="none" w:sz="0" w:space="0" w:color="auto"/>
      </w:divBdr>
    </w:div>
    <w:div w:id="1142574676">
      <w:bodyDiv w:val="1"/>
      <w:marLeft w:val="0"/>
      <w:marRight w:val="0"/>
      <w:marTop w:val="0"/>
      <w:marBottom w:val="0"/>
      <w:divBdr>
        <w:top w:val="none" w:sz="0" w:space="0" w:color="auto"/>
        <w:left w:val="none" w:sz="0" w:space="0" w:color="auto"/>
        <w:bottom w:val="none" w:sz="0" w:space="0" w:color="auto"/>
        <w:right w:val="none" w:sz="0" w:space="0" w:color="auto"/>
      </w:divBdr>
    </w:div>
    <w:div w:id="1241670815">
      <w:bodyDiv w:val="1"/>
      <w:marLeft w:val="0"/>
      <w:marRight w:val="0"/>
      <w:marTop w:val="0"/>
      <w:marBottom w:val="0"/>
      <w:divBdr>
        <w:top w:val="none" w:sz="0" w:space="0" w:color="auto"/>
        <w:left w:val="none" w:sz="0" w:space="0" w:color="auto"/>
        <w:bottom w:val="none" w:sz="0" w:space="0" w:color="auto"/>
        <w:right w:val="none" w:sz="0" w:space="0" w:color="auto"/>
      </w:divBdr>
      <w:divsChild>
        <w:div w:id="912668348">
          <w:marLeft w:val="0"/>
          <w:marRight w:val="0"/>
          <w:marTop w:val="0"/>
          <w:marBottom w:val="0"/>
          <w:divBdr>
            <w:top w:val="none" w:sz="0" w:space="0" w:color="auto"/>
            <w:left w:val="none" w:sz="0" w:space="0" w:color="auto"/>
            <w:bottom w:val="none" w:sz="0" w:space="0" w:color="auto"/>
            <w:right w:val="none" w:sz="0" w:space="0" w:color="auto"/>
          </w:divBdr>
        </w:div>
        <w:div w:id="1453934301">
          <w:marLeft w:val="0"/>
          <w:marRight w:val="0"/>
          <w:marTop w:val="0"/>
          <w:marBottom w:val="0"/>
          <w:divBdr>
            <w:top w:val="none" w:sz="0" w:space="0" w:color="auto"/>
            <w:left w:val="none" w:sz="0" w:space="0" w:color="auto"/>
            <w:bottom w:val="none" w:sz="0" w:space="0" w:color="auto"/>
            <w:right w:val="none" w:sz="0" w:space="0" w:color="auto"/>
          </w:divBdr>
        </w:div>
      </w:divsChild>
    </w:div>
    <w:div w:id="1340353583">
      <w:bodyDiv w:val="1"/>
      <w:marLeft w:val="0"/>
      <w:marRight w:val="0"/>
      <w:marTop w:val="0"/>
      <w:marBottom w:val="0"/>
      <w:divBdr>
        <w:top w:val="none" w:sz="0" w:space="0" w:color="auto"/>
        <w:left w:val="none" w:sz="0" w:space="0" w:color="auto"/>
        <w:bottom w:val="none" w:sz="0" w:space="0" w:color="auto"/>
        <w:right w:val="none" w:sz="0" w:space="0" w:color="auto"/>
      </w:divBdr>
    </w:div>
    <w:div w:id="1356233185">
      <w:bodyDiv w:val="1"/>
      <w:marLeft w:val="0"/>
      <w:marRight w:val="0"/>
      <w:marTop w:val="0"/>
      <w:marBottom w:val="0"/>
      <w:divBdr>
        <w:top w:val="none" w:sz="0" w:space="0" w:color="auto"/>
        <w:left w:val="none" w:sz="0" w:space="0" w:color="auto"/>
        <w:bottom w:val="none" w:sz="0" w:space="0" w:color="auto"/>
        <w:right w:val="none" w:sz="0" w:space="0" w:color="auto"/>
      </w:divBdr>
    </w:div>
    <w:div w:id="1402824691">
      <w:bodyDiv w:val="1"/>
      <w:marLeft w:val="0"/>
      <w:marRight w:val="0"/>
      <w:marTop w:val="0"/>
      <w:marBottom w:val="0"/>
      <w:divBdr>
        <w:top w:val="none" w:sz="0" w:space="0" w:color="auto"/>
        <w:left w:val="none" w:sz="0" w:space="0" w:color="auto"/>
        <w:bottom w:val="none" w:sz="0" w:space="0" w:color="auto"/>
        <w:right w:val="none" w:sz="0" w:space="0" w:color="auto"/>
      </w:divBdr>
    </w:div>
    <w:div w:id="1428842559">
      <w:bodyDiv w:val="1"/>
      <w:marLeft w:val="0"/>
      <w:marRight w:val="0"/>
      <w:marTop w:val="0"/>
      <w:marBottom w:val="0"/>
      <w:divBdr>
        <w:top w:val="none" w:sz="0" w:space="0" w:color="auto"/>
        <w:left w:val="none" w:sz="0" w:space="0" w:color="auto"/>
        <w:bottom w:val="none" w:sz="0" w:space="0" w:color="auto"/>
        <w:right w:val="none" w:sz="0" w:space="0" w:color="auto"/>
      </w:divBdr>
    </w:div>
    <w:div w:id="1485851306">
      <w:bodyDiv w:val="1"/>
      <w:marLeft w:val="0"/>
      <w:marRight w:val="0"/>
      <w:marTop w:val="0"/>
      <w:marBottom w:val="0"/>
      <w:divBdr>
        <w:top w:val="none" w:sz="0" w:space="0" w:color="auto"/>
        <w:left w:val="none" w:sz="0" w:space="0" w:color="auto"/>
        <w:bottom w:val="none" w:sz="0" w:space="0" w:color="auto"/>
        <w:right w:val="none" w:sz="0" w:space="0" w:color="auto"/>
      </w:divBdr>
    </w:div>
    <w:div w:id="1587615848">
      <w:bodyDiv w:val="1"/>
      <w:marLeft w:val="0"/>
      <w:marRight w:val="0"/>
      <w:marTop w:val="0"/>
      <w:marBottom w:val="0"/>
      <w:divBdr>
        <w:top w:val="none" w:sz="0" w:space="0" w:color="auto"/>
        <w:left w:val="none" w:sz="0" w:space="0" w:color="auto"/>
        <w:bottom w:val="none" w:sz="0" w:space="0" w:color="auto"/>
        <w:right w:val="none" w:sz="0" w:space="0" w:color="auto"/>
      </w:divBdr>
    </w:div>
    <w:div w:id="1685979901">
      <w:bodyDiv w:val="1"/>
      <w:marLeft w:val="0"/>
      <w:marRight w:val="0"/>
      <w:marTop w:val="0"/>
      <w:marBottom w:val="0"/>
      <w:divBdr>
        <w:top w:val="none" w:sz="0" w:space="0" w:color="auto"/>
        <w:left w:val="none" w:sz="0" w:space="0" w:color="auto"/>
        <w:bottom w:val="none" w:sz="0" w:space="0" w:color="auto"/>
        <w:right w:val="none" w:sz="0" w:space="0" w:color="auto"/>
      </w:divBdr>
    </w:div>
    <w:div w:id="20220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3A709-0AFB-EB4C-87C5-094D0C69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5127</Words>
  <Characters>29225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eermakova</dc:creator>
  <cp:keywords/>
  <dc:description/>
  <cp:lastModifiedBy>vik v</cp:lastModifiedBy>
  <cp:revision>2</cp:revision>
  <dcterms:created xsi:type="dcterms:W3CDTF">2018-04-30T15:32:00Z</dcterms:created>
  <dcterms:modified xsi:type="dcterms:W3CDTF">2018-04-30T15:32:00Z</dcterms:modified>
</cp:coreProperties>
</file>