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2C" w:rsidRDefault="006C684D" w:rsidP="00CC11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7B">
        <w:rPr>
          <w:rFonts w:ascii="Times New Roman" w:hAnsi="Times New Roman" w:cs="Times New Roman"/>
          <w:b/>
          <w:sz w:val="28"/>
          <w:szCs w:val="28"/>
        </w:rPr>
        <w:t>Р</w:t>
      </w:r>
      <w:r w:rsidR="00126343" w:rsidRPr="0067747B">
        <w:rPr>
          <w:rFonts w:ascii="Times New Roman" w:hAnsi="Times New Roman" w:cs="Times New Roman"/>
          <w:b/>
          <w:sz w:val="28"/>
          <w:szCs w:val="28"/>
        </w:rPr>
        <w:t>АЗВИТИ</w:t>
      </w:r>
      <w:r w:rsidRPr="0067747B">
        <w:rPr>
          <w:rFonts w:ascii="Times New Roman" w:hAnsi="Times New Roman" w:cs="Times New Roman"/>
          <w:b/>
          <w:sz w:val="28"/>
          <w:szCs w:val="28"/>
        </w:rPr>
        <w:t>Е</w:t>
      </w:r>
      <w:r w:rsidR="00126343" w:rsidRPr="0067747B">
        <w:rPr>
          <w:rFonts w:ascii="Times New Roman" w:hAnsi="Times New Roman" w:cs="Times New Roman"/>
          <w:b/>
          <w:sz w:val="28"/>
          <w:szCs w:val="28"/>
        </w:rPr>
        <w:t xml:space="preserve"> ТОРГОВ</w:t>
      </w:r>
      <w:r w:rsidR="00C967F1" w:rsidRPr="0067747B">
        <w:rPr>
          <w:rFonts w:ascii="Times New Roman" w:hAnsi="Times New Roman" w:cs="Times New Roman"/>
          <w:b/>
          <w:sz w:val="28"/>
          <w:szCs w:val="28"/>
        </w:rPr>
        <w:t xml:space="preserve">ЫХ СЕТЕЙ В РОССИИ </w:t>
      </w:r>
      <w:r w:rsidR="00B56A32" w:rsidRPr="0067747B">
        <w:rPr>
          <w:rFonts w:ascii="Times New Roman" w:hAnsi="Times New Roman" w:cs="Times New Roman"/>
          <w:b/>
          <w:sz w:val="28"/>
          <w:szCs w:val="28"/>
        </w:rPr>
        <w:t>В УСЛОВИЯХ КРИЗИСА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1E0A00" w:rsidTr="001E0A00">
        <w:tc>
          <w:tcPr>
            <w:tcW w:w="4530" w:type="dxa"/>
          </w:tcPr>
          <w:p w:rsidR="001E0A00" w:rsidRDefault="001E0A00" w:rsidP="00260F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6D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31E6B1" wp14:editId="3D6BE992">
                  <wp:extent cx="1244065" cy="1578334"/>
                  <wp:effectExtent l="0" t="0" r="0" b="3175"/>
                  <wp:docPr id="7" name="Picture 7" descr="C:\Users\popendar\Фото Дарья Попен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pendar\Фото Дарья Попен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339" cy="1606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1E0A00" w:rsidRDefault="001E0A00" w:rsidP="00260F8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0A00" w:rsidTr="001E0A00">
        <w:tc>
          <w:tcPr>
            <w:tcW w:w="4530" w:type="dxa"/>
          </w:tcPr>
          <w:p w:rsidR="001E0A00" w:rsidRDefault="001E0A00" w:rsidP="001E0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A00"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  <w:proofErr w:type="spellStart"/>
            <w:r w:rsidRPr="001E0A00">
              <w:rPr>
                <w:rFonts w:ascii="Times New Roman" w:hAnsi="Times New Roman" w:cs="Times New Roman"/>
                <w:sz w:val="28"/>
                <w:szCs w:val="28"/>
              </w:rPr>
              <w:t>Попенкова</w:t>
            </w:r>
            <w:proofErr w:type="spellEnd"/>
          </w:p>
          <w:p w:rsidR="001E0A00" w:rsidRDefault="001E0A00" w:rsidP="001E0A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0A00">
              <w:rPr>
                <w:rFonts w:ascii="Times New Roman" w:hAnsi="Times New Roman" w:cs="Times New Roman"/>
                <w:bCs/>
                <w:sz w:val="28"/>
                <w:szCs w:val="28"/>
              </w:rPr>
              <w:t>Кан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дидат экономических наук, преподаватель</w:t>
            </w:r>
          </w:p>
          <w:p w:rsidR="001E0A00" w:rsidRPr="001E0A00" w:rsidRDefault="001E0A00" w:rsidP="001E0A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dariakonst@yandex.ru </w:t>
            </w:r>
          </w:p>
        </w:tc>
        <w:tc>
          <w:tcPr>
            <w:tcW w:w="4531" w:type="dxa"/>
          </w:tcPr>
          <w:p w:rsidR="001E0A00" w:rsidRPr="001E0A00" w:rsidRDefault="001E0A00" w:rsidP="001E0A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0A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Татьяна </w:t>
            </w:r>
            <w:proofErr w:type="spellStart"/>
            <w:r w:rsidRPr="001E0A00">
              <w:rPr>
                <w:rFonts w:ascii="Times New Roman" w:hAnsi="Times New Roman" w:cs="Times New Roman"/>
                <w:bCs/>
                <w:sz w:val="28"/>
                <w:szCs w:val="28"/>
              </w:rPr>
              <w:t>Подсыпанина</w:t>
            </w:r>
            <w:proofErr w:type="spellEnd"/>
          </w:p>
          <w:p w:rsidR="001E0A00" w:rsidRDefault="001E0A00" w:rsidP="001E0A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0A00">
              <w:rPr>
                <w:rFonts w:ascii="Times New Roman" w:hAnsi="Times New Roman" w:cs="Times New Roman"/>
                <w:bCs/>
                <w:sz w:val="28"/>
                <w:szCs w:val="28"/>
              </w:rPr>
              <w:t>Кандидат экономических наук, доцент</w:t>
            </w:r>
          </w:p>
          <w:p w:rsidR="001E0A00" w:rsidRDefault="001E0A00" w:rsidP="001E0A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" w:history="1">
              <w:r w:rsidRPr="00976A95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tatyana_podsipanona@yahoo.com</w:t>
              </w:r>
            </w:hyperlink>
          </w:p>
          <w:p w:rsidR="001E0A00" w:rsidRPr="001E0A00" w:rsidRDefault="001E0A00" w:rsidP="001E0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A00" w:rsidRDefault="001E0A00" w:rsidP="00260F8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Национальный исследовательский университет «Высшая школа экономики» 101987, г. Москва, ул. Мясницкая, д. 20</w:t>
      </w:r>
    </w:p>
    <w:p w:rsidR="00295125" w:rsidRDefault="00295125" w:rsidP="00260F8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Аннотация: статья посвящена развитию ритейла в России в кризисный период. </w:t>
      </w:r>
      <w:r w:rsidR="00411667">
        <w:rPr>
          <w:rFonts w:ascii="Times New Roman" w:hAnsi="Times New Roman"/>
          <w:sz w:val="28"/>
          <w:szCs w:val="28"/>
        </w:rPr>
        <w:t xml:space="preserve">Проанализировано текущее состояние отрасли и тенденции развития </w:t>
      </w:r>
      <w:proofErr w:type="spellStart"/>
      <w:r w:rsidR="00411667">
        <w:rPr>
          <w:rFonts w:ascii="Times New Roman" w:hAnsi="Times New Roman"/>
          <w:sz w:val="28"/>
          <w:szCs w:val="28"/>
        </w:rPr>
        <w:t>ритейлеров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5125" w:rsidRDefault="00295125" w:rsidP="00260F8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</w:t>
      </w:r>
      <w:r w:rsidR="00411667">
        <w:rPr>
          <w:rFonts w:ascii="Times New Roman" w:hAnsi="Times New Roman"/>
          <w:sz w:val="28"/>
          <w:szCs w:val="28"/>
        </w:rPr>
        <w:t xml:space="preserve"> ритейл, торговые сети, консолидация торговли, конкурентные преимущества торговых сетей</w:t>
      </w:r>
    </w:p>
    <w:p w:rsidR="00295125" w:rsidRDefault="00295125" w:rsidP="00260F8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тезисы:</w:t>
      </w:r>
      <w:bookmarkStart w:id="0" w:name="_GoBack"/>
      <w:bookmarkEnd w:id="0"/>
    </w:p>
    <w:p w:rsidR="00295125" w:rsidRPr="00295125" w:rsidRDefault="00295125" w:rsidP="00295125">
      <w:pPr>
        <w:pStyle w:val="ListParagraph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125">
        <w:rPr>
          <w:rFonts w:ascii="Times New Roman" w:hAnsi="Times New Roman" w:cs="Times New Roman"/>
          <w:sz w:val="28"/>
          <w:szCs w:val="28"/>
        </w:rPr>
        <w:t>Российский рынок рите</w:t>
      </w:r>
      <w:r w:rsidR="00411667">
        <w:rPr>
          <w:rFonts w:ascii="Times New Roman" w:hAnsi="Times New Roman" w:cs="Times New Roman"/>
          <w:sz w:val="28"/>
          <w:szCs w:val="28"/>
        </w:rPr>
        <w:t>й</w:t>
      </w:r>
      <w:r w:rsidRPr="00295125">
        <w:rPr>
          <w:rFonts w:ascii="Times New Roman" w:hAnsi="Times New Roman" w:cs="Times New Roman"/>
          <w:sz w:val="28"/>
          <w:szCs w:val="28"/>
        </w:rPr>
        <w:t>ла является сравнительно молодой, динамично развивающейся отраслью, в которой происходят процессы трансформации под влиянием экономического кризиса.</w:t>
      </w:r>
    </w:p>
    <w:p w:rsidR="00295125" w:rsidRPr="00295125" w:rsidRDefault="00295125" w:rsidP="00295125">
      <w:pPr>
        <w:pStyle w:val="ListParagraph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125">
        <w:rPr>
          <w:rFonts w:ascii="Times New Roman" w:hAnsi="Times New Roman" w:cs="Times New Roman"/>
          <w:sz w:val="28"/>
          <w:szCs w:val="28"/>
        </w:rPr>
        <w:t xml:space="preserve">Консолидация розничной торговли является ключевым фактором дальнейшего роста </w:t>
      </w:r>
      <w:proofErr w:type="spellStart"/>
      <w:r w:rsidRPr="00295125">
        <w:rPr>
          <w:rFonts w:ascii="Times New Roman" w:hAnsi="Times New Roman" w:cs="Times New Roman"/>
          <w:sz w:val="28"/>
          <w:szCs w:val="28"/>
        </w:rPr>
        <w:t>ритейлеров</w:t>
      </w:r>
      <w:proofErr w:type="spellEnd"/>
      <w:r w:rsidRPr="00295125">
        <w:rPr>
          <w:rFonts w:ascii="Times New Roman" w:hAnsi="Times New Roman" w:cs="Times New Roman"/>
          <w:sz w:val="28"/>
          <w:szCs w:val="28"/>
        </w:rPr>
        <w:t>.</w:t>
      </w:r>
    </w:p>
    <w:p w:rsidR="00295125" w:rsidRPr="00295125" w:rsidRDefault="00295125" w:rsidP="00295125">
      <w:pPr>
        <w:pStyle w:val="ListParagraph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125">
        <w:rPr>
          <w:rFonts w:ascii="Times New Roman" w:hAnsi="Times New Roman" w:cs="Times New Roman"/>
          <w:sz w:val="28"/>
          <w:szCs w:val="28"/>
        </w:rPr>
        <w:t xml:space="preserve">На основе анализа текущего состояния ритейла и тенденций его развития выделено, что </w:t>
      </w:r>
      <w:r w:rsidRPr="00295125">
        <w:rPr>
          <w:rFonts w:ascii="Times New Roman" w:hAnsi="Times New Roman" w:cs="Times New Roman"/>
          <w:sz w:val="28"/>
          <w:szCs w:val="28"/>
        </w:rPr>
        <w:t xml:space="preserve">стратегия </w:t>
      </w:r>
      <w:proofErr w:type="spellStart"/>
      <w:r w:rsidRPr="00295125">
        <w:rPr>
          <w:rFonts w:ascii="Times New Roman" w:hAnsi="Times New Roman" w:cs="Times New Roman"/>
          <w:sz w:val="28"/>
          <w:szCs w:val="28"/>
        </w:rPr>
        <w:t>мультиформатности</w:t>
      </w:r>
      <w:proofErr w:type="spellEnd"/>
      <w:r w:rsidRPr="00295125">
        <w:rPr>
          <w:rFonts w:ascii="Times New Roman" w:hAnsi="Times New Roman" w:cs="Times New Roman"/>
          <w:sz w:val="28"/>
          <w:szCs w:val="28"/>
        </w:rPr>
        <w:t xml:space="preserve"> является наиболее предпочтительной для </w:t>
      </w:r>
      <w:proofErr w:type="spellStart"/>
      <w:r w:rsidRPr="00295125">
        <w:rPr>
          <w:rFonts w:ascii="Times New Roman" w:hAnsi="Times New Roman" w:cs="Times New Roman"/>
          <w:sz w:val="28"/>
          <w:szCs w:val="28"/>
        </w:rPr>
        <w:t>ритейлеров</w:t>
      </w:r>
      <w:proofErr w:type="spellEnd"/>
      <w:r w:rsidRPr="00295125">
        <w:rPr>
          <w:rFonts w:ascii="Times New Roman" w:hAnsi="Times New Roman" w:cs="Times New Roman"/>
          <w:sz w:val="28"/>
          <w:szCs w:val="28"/>
        </w:rPr>
        <w:t xml:space="preserve"> в условиях кризиса. </w:t>
      </w:r>
    </w:p>
    <w:p w:rsidR="00295125" w:rsidRDefault="00295125" w:rsidP="00260F8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5A3C" w:rsidRPr="0067747B" w:rsidRDefault="00E55A3C" w:rsidP="00260F82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747B">
        <w:rPr>
          <w:rFonts w:ascii="Times New Roman" w:hAnsi="Times New Roman"/>
          <w:sz w:val="28"/>
          <w:szCs w:val="28"/>
        </w:rPr>
        <w:t xml:space="preserve">Последнее десятилетие характеризуется активным развитием российских и международных торговых сетей на российском рынке. </w:t>
      </w:r>
      <w:r w:rsidRPr="0067747B">
        <w:rPr>
          <w:rFonts w:ascii="Times New Roman" w:hAnsi="Times New Roman"/>
          <w:sz w:val="28"/>
          <w:szCs w:val="28"/>
        </w:rPr>
        <w:lastRenderedPageBreak/>
        <w:t>Происходит процесс трансформации розничной торговли: рост доли современных форматов, вытеснение рынков и ярмарок, активная экспансия сетей в регионы, сделки слияний и поглощений, жесткие ценовые войны торговых сетей. Происходящие процессы привлекают внимание ученых, появляется значите</w:t>
      </w:r>
      <w:r w:rsidR="00903686" w:rsidRPr="0067747B">
        <w:rPr>
          <w:rFonts w:ascii="Times New Roman" w:hAnsi="Times New Roman"/>
          <w:sz w:val="28"/>
          <w:szCs w:val="28"/>
        </w:rPr>
        <w:t>льное число научных публикаций о ритейле</w:t>
      </w:r>
      <w:r w:rsidRPr="0067747B">
        <w:rPr>
          <w:rFonts w:ascii="Times New Roman" w:hAnsi="Times New Roman"/>
          <w:sz w:val="28"/>
          <w:szCs w:val="28"/>
        </w:rPr>
        <w:t>.</w:t>
      </w:r>
      <w:r w:rsidR="00B56A32" w:rsidRPr="0067747B">
        <w:rPr>
          <w:rFonts w:ascii="Times New Roman" w:hAnsi="Times New Roman"/>
          <w:sz w:val="28"/>
          <w:szCs w:val="28"/>
        </w:rPr>
        <w:t xml:space="preserve"> Существуют исследования, посвященные тенденциям развития отрасли с учетом введенных продуктовых </w:t>
      </w:r>
      <w:r w:rsidR="00903686" w:rsidRPr="0067747B">
        <w:rPr>
          <w:rFonts w:ascii="Times New Roman" w:hAnsi="Times New Roman"/>
          <w:sz w:val="28"/>
          <w:szCs w:val="28"/>
        </w:rPr>
        <w:t>санкций, н</w:t>
      </w:r>
      <w:r w:rsidR="00B56A32" w:rsidRPr="0067747B">
        <w:rPr>
          <w:rFonts w:ascii="Times New Roman" w:hAnsi="Times New Roman"/>
          <w:sz w:val="28"/>
          <w:szCs w:val="28"/>
        </w:rPr>
        <w:t xml:space="preserve">емало работ в области динамично развивающейся </w:t>
      </w:r>
      <w:proofErr w:type="spellStart"/>
      <w:r w:rsidR="00B56A32" w:rsidRPr="0067747B">
        <w:rPr>
          <w:rFonts w:ascii="Times New Roman" w:hAnsi="Times New Roman"/>
          <w:sz w:val="28"/>
          <w:szCs w:val="28"/>
        </w:rPr>
        <w:t>интернет-торговли</w:t>
      </w:r>
      <w:proofErr w:type="spellEnd"/>
      <w:r w:rsidR="00B56A32" w:rsidRPr="0067747B">
        <w:rPr>
          <w:rFonts w:ascii="Times New Roman" w:hAnsi="Times New Roman"/>
          <w:sz w:val="28"/>
          <w:szCs w:val="28"/>
        </w:rPr>
        <w:t xml:space="preserve">. В то же время относительно небольшое число работ посвящено стратегиям </w:t>
      </w:r>
      <w:proofErr w:type="spellStart"/>
      <w:r w:rsidR="00B56A32" w:rsidRPr="0067747B">
        <w:rPr>
          <w:rFonts w:ascii="Times New Roman" w:hAnsi="Times New Roman"/>
          <w:sz w:val="28"/>
          <w:szCs w:val="28"/>
        </w:rPr>
        <w:t>ритейлеров</w:t>
      </w:r>
      <w:proofErr w:type="spellEnd"/>
      <w:r w:rsidR="00B56A32" w:rsidRPr="0067747B">
        <w:rPr>
          <w:rFonts w:ascii="Times New Roman" w:hAnsi="Times New Roman"/>
          <w:sz w:val="28"/>
          <w:szCs w:val="28"/>
        </w:rPr>
        <w:t xml:space="preserve"> с учетом </w:t>
      </w:r>
      <w:r w:rsidR="00E04DE0" w:rsidRPr="0067747B">
        <w:rPr>
          <w:rFonts w:ascii="Times New Roman" w:hAnsi="Times New Roman"/>
          <w:sz w:val="28"/>
          <w:szCs w:val="28"/>
        </w:rPr>
        <w:t xml:space="preserve">постоянно изменяющейся внешней среды: внесение изменений в законодательство, падение покупательской способности населения </w:t>
      </w:r>
      <w:r w:rsidR="00903686" w:rsidRPr="0067747B">
        <w:rPr>
          <w:rFonts w:ascii="Times New Roman" w:hAnsi="Times New Roman"/>
          <w:sz w:val="28"/>
          <w:szCs w:val="28"/>
        </w:rPr>
        <w:t>за</w:t>
      </w:r>
      <w:r w:rsidR="00E04DE0" w:rsidRPr="0067747B">
        <w:rPr>
          <w:rFonts w:ascii="Times New Roman" w:hAnsi="Times New Roman"/>
          <w:sz w:val="28"/>
          <w:szCs w:val="28"/>
        </w:rPr>
        <w:t xml:space="preserve"> последние полтора года в виду кризиса в России</w:t>
      </w:r>
      <w:r w:rsidR="00B56A32" w:rsidRPr="0067747B">
        <w:rPr>
          <w:rFonts w:ascii="Times New Roman" w:hAnsi="Times New Roman"/>
          <w:sz w:val="28"/>
          <w:szCs w:val="28"/>
        </w:rPr>
        <w:t>.</w:t>
      </w:r>
      <w:r w:rsidR="00E04DE0" w:rsidRPr="0067747B">
        <w:rPr>
          <w:rFonts w:ascii="Times New Roman" w:hAnsi="Times New Roman"/>
          <w:sz w:val="28"/>
          <w:szCs w:val="28"/>
        </w:rPr>
        <w:t xml:space="preserve"> При этом именно события последнего года оказывают наибольшее влияние на пересмотр стратегии развития </w:t>
      </w:r>
      <w:proofErr w:type="spellStart"/>
      <w:r w:rsidR="00E04DE0" w:rsidRPr="0067747B">
        <w:rPr>
          <w:rFonts w:ascii="Times New Roman" w:hAnsi="Times New Roman"/>
          <w:sz w:val="28"/>
          <w:szCs w:val="28"/>
        </w:rPr>
        <w:t>ритейлеров</w:t>
      </w:r>
      <w:proofErr w:type="spellEnd"/>
      <w:r w:rsidR="00E04DE0" w:rsidRPr="0067747B">
        <w:rPr>
          <w:rFonts w:ascii="Times New Roman" w:hAnsi="Times New Roman"/>
          <w:sz w:val="28"/>
          <w:szCs w:val="28"/>
        </w:rPr>
        <w:t xml:space="preserve"> и являются критически важными для анализа.</w:t>
      </w:r>
    </w:p>
    <w:p w:rsidR="00E55A3C" w:rsidRPr="0067747B" w:rsidRDefault="00E04DE0" w:rsidP="00E04DE0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7747B">
        <w:rPr>
          <w:rFonts w:ascii="Times New Roman" w:hAnsi="Times New Roman"/>
          <w:b/>
          <w:sz w:val="28"/>
          <w:szCs w:val="28"/>
        </w:rPr>
        <w:t>Текущее состояние ритейла в России</w:t>
      </w:r>
    </w:p>
    <w:p w:rsidR="00E04DE0" w:rsidRPr="0067747B" w:rsidRDefault="00040045" w:rsidP="00E04DE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747B">
        <w:rPr>
          <w:rFonts w:ascii="Times New Roman" w:hAnsi="Times New Roman"/>
          <w:sz w:val="28"/>
          <w:szCs w:val="28"/>
        </w:rPr>
        <w:t xml:space="preserve">В странах Западной Европы и США ритейл в том виде, в котором он есть сейчас, формировался на протяжении 100 лет, а в России является довольно молодой </w:t>
      </w:r>
      <w:r w:rsidR="00CE6353" w:rsidRPr="0067747B">
        <w:rPr>
          <w:rStyle w:val="longtext"/>
          <w:rFonts w:ascii="Times New Roman" w:hAnsi="Times New Roman"/>
          <w:sz w:val="28"/>
          <w:szCs w:val="28"/>
        </w:rPr>
        <w:t>отрасль</w:t>
      </w:r>
      <w:r w:rsidRPr="0067747B">
        <w:rPr>
          <w:rStyle w:val="longtext"/>
          <w:rFonts w:ascii="Times New Roman" w:hAnsi="Times New Roman"/>
          <w:sz w:val="28"/>
          <w:szCs w:val="28"/>
        </w:rPr>
        <w:t>ю</w:t>
      </w:r>
      <w:r w:rsidR="00CE6353" w:rsidRPr="0067747B">
        <w:rPr>
          <w:rStyle w:val="longtext"/>
          <w:rFonts w:ascii="Times New Roman" w:hAnsi="Times New Roman"/>
          <w:sz w:val="28"/>
          <w:szCs w:val="28"/>
        </w:rPr>
        <w:t>, которой около 2</w:t>
      </w:r>
      <w:r w:rsidR="00D00A54" w:rsidRPr="0067747B">
        <w:rPr>
          <w:rStyle w:val="longtext"/>
          <w:rFonts w:ascii="Times New Roman" w:hAnsi="Times New Roman"/>
          <w:sz w:val="28"/>
          <w:szCs w:val="28"/>
        </w:rPr>
        <w:t>0</w:t>
      </w:r>
      <w:r w:rsidR="00CE6353" w:rsidRPr="0067747B">
        <w:rPr>
          <w:rStyle w:val="longtext"/>
          <w:rFonts w:ascii="Times New Roman" w:hAnsi="Times New Roman"/>
          <w:sz w:val="28"/>
          <w:szCs w:val="28"/>
        </w:rPr>
        <w:t xml:space="preserve"> лет. </w:t>
      </w:r>
      <w:r w:rsidR="00E04DE0" w:rsidRPr="0067747B">
        <w:rPr>
          <w:rFonts w:ascii="Times New Roman" w:hAnsi="Times New Roman"/>
          <w:sz w:val="28"/>
          <w:szCs w:val="28"/>
        </w:rPr>
        <w:t xml:space="preserve">История современной торговли берет свое начало с 1994 года с открытия первого супермаркета российской компании «Седьмой континент», в </w:t>
      </w:r>
      <w:smartTag w:uri="urn:schemas-microsoft-com:office:smarttags" w:element="metricconverter">
        <w:smartTagPr>
          <w:attr w:name="ProductID" w:val="1996 г"/>
        </w:smartTagPr>
        <w:r w:rsidR="00E04DE0" w:rsidRPr="0067747B">
          <w:rPr>
            <w:rFonts w:ascii="Times New Roman" w:hAnsi="Times New Roman"/>
            <w:sz w:val="28"/>
            <w:szCs w:val="28"/>
          </w:rPr>
          <w:t>1996 г</w:t>
        </w:r>
      </w:smartTag>
      <w:r w:rsidR="00E04DE0" w:rsidRPr="0067747B">
        <w:rPr>
          <w:rFonts w:ascii="Times New Roman" w:hAnsi="Times New Roman"/>
          <w:sz w:val="28"/>
          <w:szCs w:val="28"/>
        </w:rPr>
        <w:t>. – «Перекресток», а в 1997 году турецкая компания «Раменка» открыла первый в России супермаркет «</w:t>
      </w:r>
      <w:proofErr w:type="spellStart"/>
      <w:r w:rsidR="00E04DE0" w:rsidRPr="0067747B">
        <w:rPr>
          <w:rFonts w:ascii="Times New Roman" w:hAnsi="Times New Roman"/>
          <w:sz w:val="28"/>
          <w:szCs w:val="28"/>
        </w:rPr>
        <w:t>Стокман</w:t>
      </w:r>
      <w:proofErr w:type="spellEnd"/>
      <w:r w:rsidR="00E04DE0" w:rsidRPr="0067747B">
        <w:rPr>
          <w:rFonts w:ascii="Times New Roman" w:hAnsi="Times New Roman"/>
          <w:sz w:val="28"/>
          <w:szCs w:val="28"/>
        </w:rPr>
        <w:t xml:space="preserve">». Но в период кризиса 1998 года стал очевидным переход от формата супермаркета к </w:t>
      </w:r>
      <w:proofErr w:type="spellStart"/>
      <w:r w:rsidR="00E04DE0" w:rsidRPr="0067747B">
        <w:rPr>
          <w:rFonts w:ascii="Times New Roman" w:hAnsi="Times New Roman"/>
          <w:sz w:val="28"/>
          <w:szCs w:val="28"/>
        </w:rPr>
        <w:t>дискаунтеру</w:t>
      </w:r>
      <w:proofErr w:type="spellEnd"/>
      <w:r w:rsidR="00E04DE0" w:rsidRPr="0067747B">
        <w:rPr>
          <w:rFonts w:ascii="Times New Roman" w:hAnsi="Times New Roman"/>
          <w:sz w:val="28"/>
          <w:szCs w:val="28"/>
        </w:rPr>
        <w:t xml:space="preserve"> для населения с низким уровнем дохода, поэтому в 1999 году открылись первые магазины «Копейка» и «Пятерочка»</w:t>
      </w:r>
      <w:r w:rsidR="00F5031B" w:rsidRPr="0067747B">
        <w:rPr>
          <w:rFonts w:ascii="Times New Roman" w:hAnsi="Times New Roman"/>
          <w:sz w:val="28"/>
          <w:szCs w:val="28"/>
        </w:rPr>
        <w:t>.</w:t>
      </w:r>
    </w:p>
    <w:p w:rsidR="00E04DE0" w:rsidRPr="0067747B" w:rsidRDefault="00E04DE0" w:rsidP="00E04DE0">
      <w:pPr>
        <w:pStyle w:val="NormalWe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7747B">
        <w:rPr>
          <w:bCs/>
          <w:sz w:val="28"/>
          <w:szCs w:val="28"/>
        </w:rPr>
        <w:t>В начале нового тысячелетия темпы роста розничной торговли резко возросли и стали измеряться двузначными значениям в связи с выходом на российский рынок международных торговых сетей: в 2001 году – немецкой «</w:t>
      </w:r>
      <w:r w:rsidRPr="0067747B">
        <w:rPr>
          <w:bCs/>
          <w:sz w:val="28"/>
          <w:szCs w:val="28"/>
          <w:lang w:val="en-US"/>
        </w:rPr>
        <w:t>Metro</w:t>
      </w:r>
      <w:r w:rsidRPr="0067747B">
        <w:rPr>
          <w:bCs/>
          <w:sz w:val="28"/>
          <w:szCs w:val="28"/>
        </w:rPr>
        <w:t xml:space="preserve"> </w:t>
      </w:r>
      <w:r w:rsidRPr="0067747B">
        <w:rPr>
          <w:bCs/>
          <w:sz w:val="28"/>
          <w:szCs w:val="28"/>
          <w:lang w:val="en-US"/>
        </w:rPr>
        <w:t>Cash</w:t>
      </w:r>
      <w:r w:rsidRPr="0067747B">
        <w:rPr>
          <w:bCs/>
          <w:sz w:val="28"/>
          <w:szCs w:val="28"/>
        </w:rPr>
        <w:t xml:space="preserve"> </w:t>
      </w:r>
      <w:r w:rsidRPr="0067747B">
        <w:rPr>
          <w:bCs/>
          <w:sz w:val="28"/>
          <w:szCs w:val="28"/>
          <w:lang w:val="en-US"/>
        </w:rPr>
        <w:t>and</w:t>
      </w:r>
      <w:r w:rsidRPr="0067747B">
        <w:rPr>
          <w:bCs/>
          <w:sz w:val="28"/>
          <w:szCs w:val="28"/>
        </w:rPr>
        <w:t xml:space="preserve"> </w:t>
      </w:r>
      <w:r w:rsidRPr="0067747B">
        <w:rPr>
          <w:bCs/>
          <w:sz w:val="28"/>
          <w:szCs w:val="28"/>
          <w:lang w:val="en-US"/>
        </w:rPr>
        <w:t>Carry</w:t>
      </w:r>
      <w:r w:rsidRPr="0067747B">
        <w:rPr>
          <w:bCs/>
          <w:sz w:val="28"/>
          <w:szCs w:val="28"/>
        </w:rPr>
        <w:t xml:space="preserve">», в </w:t>
      </w:r>
      <w:smartTag w:uri="urn:schemas-microsoft-com:office:smarttags" w:element="metricconverter">
        <w:smartTagPr>
          <w:attr w:name="ProductID" w:val="2002 г"/>
        </w:smartTagPr>
        <w:r w:rsidRPr="0067747B">
          <w:rPr>
            <w:bCs/>
            <w:sz w:val="28"/>
            <w:szCs w:val="28"/>
          </w:rPr>
          <w:t>2002 г</w:t>
        </w:r>
      </w:smartTag>
      <w:r w:rsidRPr="0067747B">
        <w:rPr>
          <w:bCs/>
          <w:sz w:val="28"/>
          <w:szCs w:val="28"/>
        </w:rPr>
        <w:t>. – французской сети «</w:t>
      </w:r>
      <w:proofErr w:type="spellStart"/>
      <w:r w:rsidRPr="0067747B">
        <w:rPr>
          <w:bCs/>
          <w:sz w:val="28"/>
          <w:szCs w:val="28"/>
          <w:lang w:val="en-US"/>
        </w:rPr>
        <w:t>Auchan</w:t>
      </w:r>
      <w:proofErr w:type="spellEnd"/>
      <w:r w:rsidRPr="0067747B">
        <w:rPr>
          <w:bCs/>
          <w:sz w:val="28"/>
          <w:szCs w:val="28"/>
        </w:rPr>
        <w:t xml:space="preserve">». В этот период стала проявляться закономерность: чем больше доля торговых сетей </w:t>
      </w:r>
      <w:r w:rsidRPr="0067747B">
        <w:rPr>
          <w:bCs/>
          <w:sz w:val="28"/>
          <w:szCs w:val="28"/>
        </w:rPr>
        <w:lastRenderedPageBreak/>
        <w:t xml:space="preserve">в регионе, тем выше оборот розничной торговли и темпы его роста. В период с 2002 по 2007 гг. рост потребительских расходов в России был наивысшим из всех стран Восточной Европы и составил около 120% в год, а обеспеченность </w:t>
      </w:r>
      <w:r w:rsidRPr="0067747B">
        <w:rPr>
          <w:sz w:val="28"/>
          <w:szCs w:val="28"/>
        </w:rPr>
        <w:t xml:space="preserve">населения торговой площадью </w:t>
      </w:r>
      <w:r w:rsidR="00AD5405" w:rsidRPr="0067747B">
        <w:rPr>
          <w:sz w:val="28"/>
          <w:szCs w:val="28"/>
        </w:rPr>
        <w:t xml:space="preserve">была </w:t>
      </w:r>
      <w:r w:rsidRPr="0067747B">
        <w:rPr>
          <w:sz w:val="28"/>
          <w:szCs w:val="28"/>
        </w:rPr>
        <w:t>сам</w:t>
      </w:r>
      <w:r w:rsidR="00AD5405" w:rsidRPr="0067747B">
        <w:rPr>
          <w:sz w:val="28"/>
          <w:szCs w:val="28"/>
        </w:rPr>
        <w:t>ой низкой</w:t>
      </w:r>
      <w:r w:rsidRPr="0067747B">
        <w:rPr>
          <w:sz w:val="28"/>
          <w:szCs w:val="28"/>
        </w:rPr>
        <w:t xml:space="preserve">. Так, в Польше, Словакии на 1000 человек приходилось по 3 магазина, в Чехии – 4, в Болгарии и Венгрии - по 5, а в России – 2. В настоящее время в крупных городах России на 1000 человек приходится </w:t>
      </w:r>
      <w:smartTag w:uri="urn:schemas-microsoft-com:office:smarttags" w:element="metricconverter">
        <w:smartTagPr>
          <w:attr w:name="ProductID" w:val="400 кв. метров"/>
        </w:smartTagPr>
        <w:r w:rsidRPr="0067747B">
          <w:rPr>
            <w:sz w:val="28"/>
            <w:szCs w:val="28"/>
          </w:rPr>
          <w:t>400 кв. метров</w:t>
        </w:r>
      </w:smartTag>
      <w:r w:rsidRPr="0067747B">
        <w:rPr>
          <w:sz w:val="28"/>
          <w:szCs w:val="28"/>
        </w:rPr>
        <w:t xml:space="preserve"> торговой площади (что соответствует западным стандартам), а в сельской местности – менее </w:t>
      </w:r>
      <w:smartTag w:uri="urn:schemas-microsoft-com:office:smarttags" w:element="metricconverter">
        <w:smartTagPr>
          <w:attr w:name="ProductID" w:val="200 кв. метров"/>
        </w:smartTagPr>
        <w:r w:rsidRPr="0067747B">
          <w:rPr>
            <w:sz w:val="28"/>
            <w:szCs w:val="28"/>
          </w:rPr>
          <w:t>200 кв. метров</w:t>
        </w:r>
      </w:smartTag>
      <w:r w:rsidRPr="0067747B">
        <w:rPr>
          <w:sz w:val="28"/>
          <w:szCs w:val="28"/>
        </w:rPr>
        <w:t>. [6]</w:t>
      </w:r>
    </w:p>
    <w:p w:rsidR="00E04DE0" w:rsidRPr="0067747B" w:rsidRDefault="00E04DE0" w:rsidP="00E04DE0">
      <w:pPr>
        <w:pStyle w:val="NormalWeb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67747B">
        <w:rPr>
          <w:bCs/>
          <w:sz w:val="28"/>
          <w:szCs w:val="28"/>
        </w:rPr>
        <w:t xml:space="preserve">До финансового кризиса 2008 года оборот розничной торговли в России рос двузначными темпами (23-25% в год). Однако в кризис произошло снижение потребительских расходов и </w:t>
      </w:r>
      <w:r w:rsidR="00BF2B87" w:rsidRPr="0067747B">
        <w:rPr>
          <w:bCs/>
          <w:sz w:val="28"/>
          <w:szCs w:val="28"/>
        </w:rPr>
        <w:t>в</w:t>
      </w:r>
      <w:r w:rsidRPr="0067747B">
        <w:rPr>
          <w:bCs/>
          <w:sz w:val="28"/>
          <w:szCs w:val="28"/>
        </w:rPr>
        <w:t xml:space="preserve"> этот период не наблюдалось роста оборотов розничной торговли. В посткризисные 2010-2013 гг. темпы роста розничной торговли составляли около 10% в год.</w:t>
      </w:r>
      <w:r w:rsidRPr="0067747B">
        <w:rPr>
          <w:sz w:val="28"/>
          <w:szCs w:val="28"/>
        </w:rPr>
        <w:t xml:space="preserve"> В 2015 году впервые за последние годы оборот розничной торговли упал на 10% вместе с сокращением располагаемого дохода населения на 4%. </w:t>
      </w:r>
      <w:r w:rsidR="00BF2B87" w:rsidRPr="0067747B">
        <w:rPr>
          <w:sz w:val="28"/>
          <w:szCs w:val="28"/>
        </w:rPr>
        <w:t>Дальнейшее п</w:t>
      </w:r>
      <w:r w:rsidRPr="0067747B">
        <w:rPr>
          <w:sz w:val="28"/>
          <w:szCs w:val="28"/>
        </w:rPr>
        <w:t>адение оборота розничной торговли напрямую связано с падением располагаемого дохода населения.</w:t>
      </w:r>
    </w:p>
    <w:p w:rsidR="00E04DE0" w:rsidRPr="0067747B" w:rsidRDefault="00C006D2" w:rsidP="00E04D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2A7F30" wp14:editId="224FA8B9">
            <wp:extent cx="5760085" cy="2372360"/>
            <wp:effectExtent l="0" t="0" r="12065" b="889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04DE0" w:rsidRPr="0067747B" w:rsidRDefault="00E04DE0" w:rsidP="00E04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>Рисунок 1 – Динамика оборота розничной торговли, реального располагаемого дохода населения и уровня безработицы 2008-2015, %</w:t>
      </w:r>
    </w:p>
    <w:p w:rsidR="00E04DE0" w:rsidRPr="0067747B" w:rsidRDefault="00E04DE0" w:rsidP="00E04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>Источник: Федеральная служба государственной статистики, Министерство экономики и развития</w:t>
      </w:r>
    </w:p>
    <w:p w:rsidR="00E04DE0" w:rsidRPr="0067747B" w:rsidRDefault="00E04DE0" w:rsidP="00E04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lastRenderedPageBreak/>
        <w:t xml:space="preserve">В 2016 году ожидается снижение товарооборота розничной торговли на 2,7%. Пересмотренный прогноз МЭР в базовом варианте предусматривает рост розничного товарооборота в 2017 году на 1,1% (ранее ожидался рост на 1,5%), в 2018 году – на 2,6% (ранее на 3,5%), в 2019 году – на 3,3% (ранее на 3,7%). </w:t>
      </w:r>
    </w:p>
    <w:p w:rsidR="00E04DE0" w:rsidRPr="0067747B" w:rsidRDefault="00E04DE0" w:rsidP="00E04DE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747B">
        <w:rPr>
          <w:rStyle w:val="longtext"/>
          <w:rFonts w:ascii="Times New Roman" w:hAnsi="Times New Roman"/>
          <w:sz w:val="28"/>
          <w:szCs w:val="28"/>
        </w:rPr>
        <w:t xml:space="preserve">Если рассмотреть такой показатель как степень консолидации торговли (доля ТОП-7 </w:t>
      </w:r>
      <w:proofErr w:type="spellStart"/>
      <w:r w:rsidRPr="0067747B">
        <w:rPr>
          <w:rStyle w:val="longtext"/>
          <w:rFonts w:ascii="Times New Roman" w:hAnsi="Times New Roman"/>
          <w:sz w:val="28"/>
          <w:szCs w:val="28"/>
        </w:rPr>
        <w:t>ритейлеров</w:t>
      </w:r>
      <w:proofErr w:type="spellEnd"/>
      <w:r w:rsidRPr="0067747B">
        <w:rPr>
          <w:rStyle w:val="longtext"/>
          <w:rFonts w:ascii="Times New Roman" w:hAnsi="Times New Roman"/>
          <w:sz w:val="28"/>
          <w:szCs w:val="28"/>
        </w:rPr>
        <w:t xml:space="preserve"> в общем обороте торговли), то в России этот показатель пока составляет лишь 21%, что в 4 раза ниже, чем в европейских странах (рисунок 2).</w:t>
      </w:r>
      <w:r w:rsidRPr="0067747B">
        <w:rPr>
          <w:rFonts w:ascii="Times New Roman" w:hAnsi="Times New Roman"/>
          <w:sz w:val="28"/>
          <w:szCs w:val="28"/>
        </w:rPr>
        <w:t xml:space="preserve"> Лидером среди регионов России является Санкт-Петербург (на долю торговых сетей приходится 53% оборота). Для сравнения в Москве доля торговых сетей в обороте торговли 19,3%. </w:t>
      </w:r>
    </w:p>
    <w:p w:rsidR="00E04DE0" w:rsidRPr="0067747B" w:rsidRDefault="00E04DE0" w:rsidP="00E04DE0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7747B">
        <w:rPr>
          <w:noProof/>
          <w:sz w:val="28"/>
          <w:szCs w:val="28"/>
          <w:lang w:eastAsia="ru-RU"/>
        </w:rPr>
        <w:drawing>
          <wp:inline distT="0" distB="0" distL="0" distR="0" wp14:anchorId="5768E8B9" wp14:editId="6EB4E05D">
            <wp:extent cx="4572000" cy="27432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4DE0" w:rsidRPr="0067747B" w:rsidRDefault="00E04DE0" w:rsidP="00E04DE0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67747B">
        <w:rPr>
          <w:rStyle w:val="longtext"/>
          <w:rFonts w:ascii="Times New Roman" w:hAnsi="Times New Roman"/>
          <w:sz w:val="28"/>
          <w:szCs w:val="28"/>
        </w:rPr>
        <w:t xml:space="preserve">Рисунок 2 - </w:t>
      </w:r>
      <w:r w:rsidRPr="0067747B">
        <w:rPr>
          <w:rFonts w:ascii="Times New Roman" w:hAnsi="Times New Roman"/>
          <w:sz w:val="28"/>
          <w:szCs w:val="28"/>
        </w:rPr>
        <w:t>Уровень консолидации продовольственной розничной торговли, 2015</w:t>
      </w:r>
    </w:p>
    <w:p w:rsidR="00E04DE0" w:rsidRPr="0067747B" w:rsidRDefault="00E04DE0" w:rsidP="00E04DE0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67747B">
        <w:rPr>
          <w:rFonts w:ascii="Times New Roman" w:hAnsi="Times New Roman"/>
          <w:sz w:val="28"/>
          <w:szCs w:val="28"/>
        </w:rPr>
        <w:t>Источник: аналитическое агентство «</w:t>
      </w:r>
      <w:r w:rsidRPr="0067747B">
        <w:rPr>
          <w:rFonts w:ascii="Times New Roman" w:hAnsi="Times New Roman"/>
          <w:sz w:val="28"/>
          <w:szCs w:val="28"/>
          <w:lang w:val="en-US"/>
        </w:rPr>
        <w:t>A</w:t>
      </w:r>
      <w:r w:rsidRPr="0067747B">
        <w:rPr>
          <w:rFonts w:ascii="Times New Roman" w:hAnsi="Times New Roman"/>
          <w:sz w:val="28"/>
          <w:szCs w:val="28"/>
        </w:rPr>
        <w:t>.</w:t>
      </w:r>
      <w:r w:rsidRPr="0067747B">
        <w:rPr>
          <w:rFonts w:ascii="Times New Roman" w:hAnsi="Times New Roman"/>
          <w:sz w:val="28"/>
          <w:szCs w:val="28"/>
          <w:lang w:val="en-US"/>
        </w:rPr>
        <w:t>T</w:t>
      </w:r>
      <w:r w:rsidRPr="0067747B">
        <w:rPr>
          <w:rFonts w:ascii="Times New Roman" w:hAnsi="Times New Roman"/>
          <w:sz w:val="28"/>
          <w:szCs w:val="28"/>
        </w:rPr>
        <w:t xml:space="preserve">. </w:t>
      </w:r>
      <w:r w:rsidRPr="0067747B">
        <w:rPr>
          <w:rFonts w:ascii="Times New Roman" w:hAnsi="Times New Roman"/>
          <w:sz w:val="28"/>
          <w:szCs w:val="28"/>
          <w:lang w:val="en-US"/>
        </w:rPr>
        <w:t>Kearney</w:t>
      </w:r>
      <w:r w:rsidRPr="0067747B">
        <w:rPr>
          <w:rFonts w:ascii="Times New Roman" w:hAnsi="Times New Roman"/>
          <w:sz w:val="28"/>
          <w:szCs w:val="28"/>
        </w:rPr>
        <w:t>»</w:t>
      </w:r>
    </w:p>
    <w:p w:rsidR="00E04DE0" w:rsidRPr="0067747B" w:rsidRDefault="00E04DE0" w:rsidP="00E04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 xml:space="preserve">В России на современные форматы торговли приходится 48% всего рынка, что говорит о том, что половина оборота торговли все еще приходится на прилавочные магазины, рынки и разрозненные (несетевые) магазины формата самообслуживания. В развитых странах в 90-х годах прошлого века доля современных форматов уже приближалась к 90%. </w:t>
      </w:r>
    </w:p>
    <w:p w:rsidR="00E04DE0" w:rsidRPr="00ED77BF" w:rsidRDefault="00E04DE0" w:rsidP="00E04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7BF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043DA" wp14:editId="0707C39D">
                <wp:simplePos x="0" y="0"/>
                <wp:positionH relativeFrom="column">
                  <wp:posOffset>1652432</wp:posOffset>
                </wp:positionH>
                <wp:positionV relativeFrom="paragraph">
                  <wp:posOffset>1246934</wp:posOffset>
                </wp:positionV>
                <wp:extent cx="1072973" cy="137470"/>
                <wp:effectExtent l="57150" t="57150" r="70485" b="914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2973" cy="13747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CA49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1pt,98.2pt" to="214.6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" strokecolor="#e36c0a [2409]" strokeweight="3pt">
                <v:shadow on="t" color="black" opacity="24903f" origin=",.5" offset="0,.55556mm"/>
              </v:line>
            </w:pict>
          </mc:Fallback>
        </mc:AlternateContent>
      </w:r>
      <w:r w:rsidRPr="00ED77B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8011A" wp14:editId="127F1C96">
                <wp:simplePos x="0" y="0"/>
                <wp:positionH relativeFrom="column">
                  <wp:posOffset>2758217</wp:posOffset>
                </wp:positionH>
                <wp:positionV relativeFrom="paragraph">
                  <wp:posOffset>1385157</wp:posOffset>
                </wp:positionV>
                <wp:extent cx="1031359" cy="244548"/>
                <wp:effectExtent l="57150" t="57150" r="54610" b="793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359" cy="24454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3A30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pt,109.05pt" to="298.4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" strokecolor="#e36c0a [2409]" strokeweight="3pt">
                <v:shadow on="t" color="black" opacity="24903f" origin=",.5" offset="0,.55556mm"/>
              </v:line>
            </w:pict>
          </mc:Fallback>
        </mc:AlternateContent>
      </w:r>
      <w:r w:rsidRPr="00ED77BF">
        <w:rPr>
          <w:noProof/>
          <w:sz w:val="24"/>
          <w:szCs w:val="24"/>
          <w:lang w:eastAsia="ru-RU"/>
        </w:rPr>
        <w:drawing>
          <wp:inline distT="0" distB="0" distL="0" distR="0" wp14:anchorId="31786DAD" wp14:editId="74144EC0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4DE0" w:rsidRPr="00ED77BF" w:rsidRDefault="00E04DE0" w:rsidP="00E04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4DE0" w:rsidRPr="00ED77BF" w:rsidRDefault="00E04DE0" w:rsidP="00E04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7BF">
        <w:rPr>
          <w:rFonts w:ascii="Times New Roman" w:hAnsi="Times New Roman" w:cs="Times New Roman"/>
          <w:sz w:val="24"/>
          <w:szCs w:val="24"/>
        </w:rPr>
        <w:t>Рисунок 3 – структура торговли в России, 2016. * - см. рисунок 4</w:t>
      </w:r>
      <w:r>
        <w:rPr>
          <w:rFonts w:ascii="Times New Roman" w:hAnsi="Times New Roman" w:cs="Times New Roman"/>
          <w:sz w:val="24"/>
          <w:szCs w:val="24"/>
        </w:rPr>
        <w:t xml:space="preserve"> [9]</w:t>
      </w:r>
    </w:p>
    <w:p w:rsidR="00E04DE0" w:rsidRPr="0067747B" w:rsidRDefault="00E04DE0" w:rsidP="00E04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 xml:space="preserve">В России ТОП-3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ритейлерами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по объему выручки являются: «Тандер» (торговая сеть «Магнит»), «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747B">
        <w:rPr>
          <w:rFonts w:ascii="Times New Roman" w:hAnsi="Times New Roman" w:cs="Times New Roman"/>
          <w:sz w:val="28"/>
          <w:szCs w:val="28"/>
        </w:rPr>
        <w:t xml:space="preserve">5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67747B">
        <w:rPr>
          <w:rFonts w:ascii="Times New Roman" w:hAnsi="Times New Roman" w:cs="Times New Roman"/>
          <w:sz w:val="28"/>
          <w:szCs w:val="28"/>
        </w:rPr>
        <w:t>» (сети «Пятерочка, «Перекресток», «Карусель»), «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Дикси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>».</w:t>
      </w:r>
    </w:p>
    <w:p w:rsidR="00E04DE0" w:rsidRPr="0067747B" w:rsidRDefault="00E04DE0" w:rsidP="00E04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1E11D6" wp14:editId="7E9F22C5">
            <wp:extent cx="4550735" cy="2945219"/>
            <wp:effectExtent l="0" t="0" r="2540" b="762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4DE0" w:rsidRPr="0067747B" w:rsidRDefault="00E04DE0" w:rsidP="00E04D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 xml:space="preserve">Рисунок 4 – Доли ТОП-7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ритейлеров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>, 2016 [9]</w:t>
      </w:r>
    </w:p>
    <w:p w:rsidR="00E04DE0" w:rsidRPr="0067747B" w:rsidRDefault="00BF2B87" w:rsidP="00260F82">
      <w:pPr>
        <w:spacing w:after="0" w:line="360" w:lineRule="auto"/>
        <w:ind w:firstLine="540"/>
        <w:jc w:val="both"/>
        <w:rPr>
          <w:rStyle w:val="longtext"/>
          <w:rFonts w:ascii="Times New Roman" w:hAnsi="Times New Roman" w:cs="Times New Roman"/>
          <w:sz w:val="28"/>
          <w:szCs w:val="28"/>
        </w:rPr>
      </w:pPr>
      <w:r w:rsidRPr="0067747B">
        <w:rPr>
          <w:rStyle w:val="longtext"/>
          <w:rFonts w:ascii="Times New Roman" w:hAnsi="Times New Roman" w:cs="Times New Roman"/>
          <w:sz w:val="28"/>
          <w:szCs w:val="28"/>
        </w:rPr>
        <w:t xml:space="preserve">В результате анализа текущего состояния ритейла в России можно заключить, что происходит процесс консолидации розничной торговли, т.е. большая доля рынка контролируется несколькими национальными и международными </w:t>
      </w:r>
      <w:proofErr w:type="spellStart"/>
      <w:r w:rsidRPr="0067747B">
        <w:rPr>
          <w:rStyle w:val="longtext"/>
          <w:rFonts w:ascii="Times New Roman" w:hAnsi="Times New Roman" w:cs="Times New Roman"/>
          <w:sz w:val="28"/>
          <w:szCs w:val="28"/>
        </w:rPr>
        <w:t>ритейлерами</w:t>
      </w:r>
      <w:proofErr w:type="spellEnd"/>
      <w:r w:rsidRPr="0067747B">
        <w:rPr>
          <w:rStyle w:val="longtext"/>
          <w:rFonts w:ascii="Times New Roman" w:hAnsi="Times New Roman" w:cs="Times New Roman"/>
          <w:sz w:val="28"/>
          <w:szCs w:val="28"/>
        </w:rPr>
        <w:t>. При этом начали данный процесс именно крупные западные сети. [10]</w:t>
      </w:r>
    </w:p>
    <w:p w:rsidR="00266C86" w:rsidRPr="0067747B" w:rsidRDefault="00266C86" w:rsidP="00266C86">
      <w:pPr>
        <w:spacing w:after="0" w:line="360" w:lineRule="auto"/>
        <w:ind w:firstLine="540"/>
        <w:jc w:val="center"/>
        <w:rPr>
          <w:rStyle w:val="longtext"/>
          <w:rFonts w:ascii="Times New Roman" w:hAnsi="Times New Roman" w:cs="Times New Roman"/>
          <w:b/>
          <w:sz w:val="28"/>
          <w:szCs w:val="28"/>
        </w:rPr>
      </w:pPr>
      <w:r w:rsidRPr="0067747B">
        <w:rPr>
          <w:rStyle w:val="longtext"/>
          <w:rFonts w:ascii="Times New Roman" w:hAnsi="Times New Roman" w:cs="Times New Roman"/>
          <w:b/>
          <w:sz w:val="28"/>
          <w:szCs w:val="28"/>
        </w:rPr>
        <w:lastRenderedPageBreak/>
        <w:t>Стратегии выхода международных торговых сетей на зарубежные рынки</w:t>
      </w:r>
      <w:r w:rsidR="00753EEF" w:rsidRPr="0067747B">
        <w:rPr>
          <w:rStyle w:val="longtext"/>
          <w:rFonts w:ascii="Times New Roman" w:hAnsi="Times New Roman" w:cs="Times New Roman"/>
          <w:b/>
          <w:sz w:val="28"/>
          <w:szCs w:val="28"/>
        </w:rPr>
        <w:t xml:space="preserve"> и факторы их успеха</w:t>
      </w:r>
    </w:p>
    <w:p w:rsidR="00266C86" w:rsidRPr="0067747B" w:rsidRDefault="00266C86" w:rsidP="00266C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>Процесс завоевания рынка розничной торговли иностранными торговыми сетями состоит из трех этапов:</w:t>
      </w:r>
    </w:p>
    <w:p w:rsidR="00266C86" w:rsidRPr="0067747B" w:rsidRDefault="00266C86" w:rsidP="00266C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 xml:space="preserve">Первый этап – преодоление входного барьера и адаптация (проведение маркетингового исследования, демпинг). Этот этап расценивается как «захват», поскольку первоначально сети устанавливают самую низкую среди конкурентов цену для завоевания покупателя, правда, потом ее повышают, а первые убытки компенсируют доходами из других регионов присутствия. Зачастую это ведет к закрытию независимых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ритейлеров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несовременного прилавочного формата торговли. Но одновременно с этим дает толчок развитию современных форматов торговли, доступ покупателей к новому ассортименту, понижение цен в виду ценовых войн торговых сетей.</w:t>
      </w:r>
    </w:p>
    <w:p w:rsidR="00266C86" w:rsidRPr="0067747B" w:rsidRDefault="00266C86" w:rsidP="00266C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>Второй этап – диктат рыночных условий. Международные сети ищут возможности сокращения своих затрат и в этой связи основным источником покрытия расходов становятся поставщики товаров. Система работы любой сети строится на жесткой ассортиментной матрице и ограниченном наборе поставщиков. Очевидно, что чем больше объем закупок, тем ниже входная цена от производителя/поставщика и поэтому сети приходят на рынок с имеющимися международными контрактами с теми поставщиками, с которыми уже налажены наиболее выгодные условия. Многие производители в России уже столкнулись с подобным диктатом условий, когда их заставляли снижать цены до убытка или себестоимости ради «входа» в сеть.</w:t>
      </w:r>
    </w:p>
    <w:p w:rsidR="00266C86" w:rsidRPr="0067747B" w:rsidRDefault="00266C86" w:rsidP="00266C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 xml:space="preserve">Третий этап – монополизация или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олигополизация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потребительского рынка. Как уже отмечалось выше, через некоторое время после выхода на рынок сети постепенно повышают розничные цены, и покупатели начинают ощущать, что попали в абсолютную власть сети и что на рынке сложилась </w:t>
      </w:r>
      <w:r w:rsidRPr="0067747B">
        <w:rPr>
          <w:rFonts w:ascii="Times New Roman" w:hAnsi="Times New Roman" w:cs="Times New Roman"/>
          <w:sz w:val="28"/>
          <w:szCs w:val="28"/>
        </w:rPr>
        <w:lastRenderedPageBreak/>
        <w:t>ситуация олигополии: когда количество сетей невелико, цены и набор товара примерно одинаков. [11]</w:t>
      </w:r>
    </w:p>
    <w:p w:rsidR="00266C86" w:rsidRPr="0067747B" w:rsidRDefault="00266C86" w:rsidP="00266C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 xml:space="preserve">На основе изучения кейсов проникновения на рынки разных стран крупнейших международных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ритейлеров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можно выделить несколько форм выхода на рынок:</w:t>
      </w:r>
    </w:p>
    <w:p w:rsidR="00266C86" w:rsidRPr="0067747B" w:rsidRDefault="00266C86" w:rsidP="00266C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  <w:u w:val="single"/>
        </w:rPr>
        <w:t>Лицензирование</w:t>
      </w:r>
      <w:r w:rsidRPr="0067747B">
        <w:rPr>
          <w:rFonts w:ascii="Times New Roman" w:hAnsi="Times New Roman" w:cs="Times New Roman"/>
          <w:sz w:val="28"/>
          <w:szCs w:val="28"/>
        </w:rPr>
        <w:t>. Предоставление одной компанией лицензии другой компании дает право получателю лицензии пользоваться названием, знаниями, технологией, маркетинговыми инструментами и так далее. Данный метод использовался основателем сети «</w:t>
      </w:r>
      <w:proofErr w:type="spellStart"/>
      <w:r w:rsidRPr="0067747B">
        <w:rPr>
          <w:rFonts w:ascii="Times New Roman" w:hAnsi="Times New Roman" w:cs="Times New Roman"/>
          <w:sz w:val="28"/>
          <w:szCs w:val="28"/>
          <w:lang w:val="en-US"/>
        </w:rPr>
        <w:t>Wal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>-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Mart</w:t>
      </w:r>
      <w:r w:rsidRPr="0067747B">
        <w:rPr>
          <w:rFonts w:ascii="Times New Roman" w:hAnsi="Times New Roman" w:cs="Times New Roman"/>
          <w:sz w:val="28"/>
          <w:szCs w:val="28"/>
        </w:rPr>
        <w:t>» на начальном этапе развития сети, однако, в целом, в ритейле используется редко.</w:t>
      </w:r>
    </w:p>
    <w:p w:rsidR="00266C86" w:rsidRPr="0067747B" w:rsidRDefault="00266C86" w:rsidP="00266C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  <w:u w:val="single"/>
        </w:rPr>
        <w:t>Использование концессии</w:t>
      </w:r>
      <w:r w:rsidRPr="0067747B">
        <w:rPr>
          <w:rFonts w:ascii="Times New Roman" w:hAnsi="Times New Roman" w:cs="Times New Roman"/>
          <w:sz w:val="28"/>
          <w:szCs w:val="28"/>
        </w:rPr>
        <w:t>. Концессия предполагает такой формат ведения бизнеса как «магазин в магазине». Этот инструмент хорош для специализированных торговых компаний с целью проникновения в торговые центры или большие универсальные магазины.</w:t>
      </w:r>
    </w:p>
    <w:p w:rsidR="00266C86" w:rsidRPr="0067747B" w:rsidRDefault="00266C86" w:rsidP="00266C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  <w:u w:val="single"/>
        </w:rPr>
        <w:t>Франчайзинг</w:t>
      </w:r>
      <w:r w:rsidRPr="006774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Ритейлер-франчайзер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получает высокую степень самостоятельности в выборе стратегии развития, отстраняясь от оперативного контроля деятельности магазинов сети. Примером франчайзинга могут служить магазины «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Benetton</w:t>
      </w:r>
      <w:r w:rsidRPr="0067747B">
        <w:rPr>
          <w:rFonts w:ascii="Times New Roman" w:hAnsi="Times New Roman" w:cs="Times New Roman"/>
          <w:sz w:val="28"/>
          <w:szCs w:val="28"/>
        </w:rPr>
        <w:t>», «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Pr="0067747B">
        <w:rPr>
          <w:rFonts w:ascii="Times New Roman" w:hAnsi="Times New Roman" w:cs="Times New Roman"/>
          <w:sz w:val="28"/>
          <w:szCs w:val="28"/>
        </w:rPr>
        <w:t>» (Англия), продуктовая сеть «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Spar</w:t>
      </w:r>
      <w:r w:rsidRPr="0067747B">
        <w:rPr>
          <w:rFonts w:ascii="Times New Roman" w:hAnsi="Times New Roman" w:cs="Times New Roman"/>
          <w:sz w:val="28"/>
          <w:szCs w:val="28"/>
        </w:rPr>
        <w:t>», которая в 2000 году вышла на российский рынок по системе франчайзинга через основного партнера – компанию «Марта».</w:t>
      </w:r>
    </w:p>
    <w:p w:rsidR="00266C86" w:rsidRPr="0067747B" w:rsidRDefault="00266C86" w:rsidP="00266C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  <w:u w:val="single"/>
        </w:rPr>
        <w:t>Создание совместного предприятия</w:t>
      </w:r>
      <w:r w:rsidRPr="006774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Ритейлер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заключает договор о сотрудничестве с зарубежной компанией, при этом обе компании делят расходы и прибыль на согласованных условиях. Иногда совместные предприятия – это единственно возможный путь проникновения на рынок, например, в дорогостоящую для входа Японию, где партнер может не только оказать финансовую поддержку, но и знает специфику ведения бизнеса. К примеру, сеть магазинов «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Tesco</w:t>
      </w:r>
      <w:r w:rsidRPr="0067747B">
        <w:rPr>
          <w:rFonts w:ascii="Times New Roman" w:hAnsi="Times New Roman" w:cs="Times New Roman"/>
          <w:sz w:val="28"/>
          <w:szCs w:val="28"/>
        </w:rPr>
        <w:t>» организовала совместное предприятие с индийской компанией при входе на рынок Индии.</w:t>
      </w:r>
    </w:p>
    <w:p w:rsidR="00266C86" w:rsidRPr="0067747B" w:rsidRDefault="00266C86" w:rsidP="00266C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  <w:u w:val="single"/>
        </w:rPr>
        <w:t>Органический рост</w:t>
      </w:r>
      <w:r w:rsidRPr="0067747B">
        <w:rPr>
          <w:rFonts w:ascii="Times New Roman" w:hAnsi="Times New Roman" w:cs="Times New Roman"/>
          <w:sz w:val="28"/>
          <w:szCs w:val="28"/>
        </w:rPr>
        <w:t xml:space="preserve">. При этом способе торговая сеть работает на новом для себя рынке «с нуля». Этот метод эффективен, когда компания хочет </w:t>
      </w:r>
      <w:r w:rsidRPr="0067747B">
        <w:rPr>
          <w:rFonts w:ascii="Times New Roman" w:hAnsi="Times New Roman" w:cs="Times New Roman"/>
          <w:sz w:val="28"/>
          <w:szCs w:val="28"/>
        </w:rPr>
        <w:lastRenderedPageBreak/>
        <w:t>применить сохранить за собой полный контроль степени развития и свободно распоряжаться своими ресурсами. Примером служит немецкая компания «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Metro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ash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arry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», вышедшая на российский рынок в 2001 году и имеющая более 80 торговых центра в настоящее время, последовательно освоив Центральную часть России, Юг, Поволжье, Урал, Сибирь и даже далекий город Иркутск, тем самым вошла в семерку крупнейших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ритейлеров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страны.</w:t>
      </w:r>
    </w:p>
    <w:p w:rsidR="00266C86" w:rsidRPr="0067747B" w:rsidRDefault="00266C86" w:rsidP="00266C8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7B">
        <w:rPr>
          <w:rFonts w:ascii="Times New Roman" w:hAnsi="Times New Roman" w:cs="Times New Roman"/>
          <w:sz w:val="28"/>
          <w:szCs w:val="28"/>
        </w:rPr>
        <w:t>Хорошим примером органического роста является французская торговая сеть «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Auchan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>»</w:t>
      </w:r>
      <w:bookmarkStart w:id="1" w:name="9_2002"/>
      <w:bookmarkEnd w:id="1"/>
      <w:r w:rsidRPr="0067747B">
        <w:rPr>
          <w:rFonts w:ascii="Times New Roman" w:hAnsi="Times New Roman" w:cs="Times New Roman"/>
          <w:sz w:val="28"/>
          <w:szCs w:val="28"/>
        </w:rPr>
        <w:t xml:space="preserve">, которая открыла первый </w:t>
      </w:r>
      <w:r w:rsidRPr="0067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гипермаркет в </w:t>
      </w:r>
      <w:smartTag w:uri="urn:schemas-microsoft-com:office:smarttags" w:element="metricconverter">
        <w:smartTagPr>
          <w:attr w:name="ProductID" w:val="1967 г"/>
        </w:smartTagPr>
        <w:r w:rsidRPr="006774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1967 г</w:t>
        </w:r>
      </w:smartTag>
      <w:r w:rsidRPr="0067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городе </w:t>
      </w:r>
      <w:proofErr w:type="spellStart"/>
      <w:r w:rsidRPr="00677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Ронк</w:t>
      </w:r>
      <w:proofErr w:type="spellEnd"/>
      <w:r w:rsidRPr="0067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(Франция), а впоследствии менее чем за 10 лет открыла еще 26 гипермаркетов во Франции, Испании, Италии, с 1996 года – в Восточной Европе, с 2000-х – в России. Торговая сеть на сегодняшний день включает в себя 96 гипермаркетов в России (80% всей выручки компании), 150 супермаркетов под брендом «Атак», часть из которых работает по системе франчайзинга, открывает первые магазины «Наша радуга».</w:t>
      </w:r>
    </w:p>
    <w:p w:rsidR="00266C86" w:rsidRPr="0067747B" w:rsidRDefault="00266C86" w:rsidP="00266C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  <w:u w:val="single"/>
        </w:rPr>
        <w:t>Поглощение</w:t>
      </w:r>
      <w:r w:rsidRPr="0067747B">
        <w:rPr>
          <w:rFonts w:ascii="Times New Roman" w:hAnsi="Times New Roman" w:cs="Times New Roman"/>
          <w:sz w:val="28"/>
          <w:szCs w:val="28"/>
        </w:rPr>
        <w:t>. Слияния и поглощения являются эффективным элементом стратегии выхода на зарубежные рынки для иностранных сетей, а затем становятся дополнением их органического роста на территории страны. Такой метод проникновения применим для зрелых рынков и требует больших капиталовложений. На рынке не всегда существуют компании для поглощения, и приходится рассматривать другие варианты как это делала в своей истории развития американская компания «</w:t>
      </w:r>
      <w:proofErr w:type="spellStart"/>
      <w:r w:rsidRPr="0067747B">
        <w:rPr>
          <w:rFonts w:ascii="Times New Roman" w:hAnsi="Times New Roman" w:cs="Times New Roman"/>
          <w:sz w:val="28"/>
          <w:szCs w:val="28"/>
          <w:lang w:val="en-US"/>
        </w:rPr>
        <w:t>Wal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>-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Mart</w:t>
      </w:r>
      <w:r w:rsidRPr="0067747B">
        <w:rPr>
          <w:rFonts w:ascii="Times New Roman" w:hAnsi="Times New Roman" w:cs="Times New Roman"/>
          <w:sz w:val="28"/>
          <w:szCs w:val="28"/>
        </w:rPr>
        <w:t>».</w:t>
      </w:r>
    </w:p>
    <w:p w:rsidR="00266C86" w:rsidRPr="0067747B" w:rsidRDefault="00266C86" w:rsidP="00266C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>Сделки по слиянию и поглощению происходят на российском рынке как среди западных, так и российских сетей. Одной из крупнейших сделок стало слияние сетей «Пятерочка» и «Перекресток», в результате чего образовалась крупнейшая российская компания «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7747B">
        <w:rPr>
          <w:rFonts w:ascii="Times New Roman" w:hAnsi="Times New Roman" w:cs="Times New Roman"/>
          <w:sz w:val="28"/>
          <w:szCs w:val="28"/>
        </w:rPr>
        <w:t xml:space="preserve">5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Retail</w:t>
      </w:r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67747B">
        <w:rPr>
          <w:rFonts w:ascii="Times New Roman" w:hAnsi="Times New Roman" w:cs="Times New Roman"/>
          <w:sz w:val="28"/>
          <w:szCs w:val="28"/>
        </w:rPr>
        <w:t>», ставшая лидером по товарообороту. Впоследствии эта компания приобрела еще одного игрока – сеть «Копейку». Среди иностранных компаний можно выделить французскую сеть «</w:t>
      </w:r>
      <w:proofErr w:type="spellStart"/>
      <w:r w:rsidRPr="0067747B">
        <w:rPr>
          <w:rFonts w:ascii="Times New Roman" w:hAnsi="Times New Roman" w:cs="Times New Roman"/>
          <w:sz w:val="28"/>
          <w:szCs w:val="28"/>
          <w:lang w:val="en-US"/>
        </w:rPr>
        <w:t>Auchan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», которая приобрела бизнес у </w:t>
      </w:r>
      <w:r w:rsidRPr="0067747B">
        <w:rPr>
          <w:rFonts w:ascii="Times New Roman" w:hAnsi="Times New Roman" w:cs="Times New Roman"/>
          <w:sz w:val="28"/>
          <w:szCs w:val="28"/>
        </w:rPr>
        <w:lastRenderedPageBreak/>
        <w:t>турецкой компании на российском рынке – сеть «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Рамстор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>». Четыре года назад немецкая сеть «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67747B">
        <w:rPr>
          <w:rFonts w:ascii="Times New Roman" w:hAnsi="Times New Roman" w:cs="Times New Roman"/>
          <w:sz w:val="28"/>
          <w:szCs w:val="28"/>
        </w:rPr>
        <w:t>» продала компании «</w:t>
      </w:r>
      <w:proofErr w:type="spellStart"/>
      <w:r w:rsidRPr="0067747B">
        <w:rPr>
          <w:rFonts w:ascii="Times New Roman" w:hAnsi="Times New Roman" w:cs="Times New Roman"/>
          <w:sz w:val="28"/>
          <w:szCs w:val="28"/>
          <w:lang w:val="en-US"/>
        </w:rPr>
        <w:t>Auchan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>» свою сеть гипермаркетов в России под брендом «Реал». Это позволило «</w:t>
      </w:r>
      <w:proofErr w:type="spellStart"/>
      <w:r w:rsidRPr="0067747B">
        <w:rPr>
          <w:rFonts w:ascii="Times New Roman" w:hAnsi="Times New Roman" w:cs="Times New Roman"/>
          <w:sz w:val="28"/>
          <w:szCs w:val="28"/>
          <w:lang w:val="en-US"/>
        </w:rPr>
        <w:t>Auchan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>» стать лидером по количеству и торговой выручке в формате «гипермаркет». [5]</w:t>
      </w:r>
    </w:p>
    <w:p w:rsidR="00266C86" w:rsidRPr="0067747B" w:rsidRDefault="00266C86" w:rsidP="00266C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>Как показывает практика, компании используют все возможные методы выхода на рынки, причем на разных рынках могут применяться разные методы. Французская компания «</w:t>
      </w:r>
      <w:proofErr w:type="spellStart"/>
      <w:r w:rsidRPr="0067747B">
        <w:rPr>
          <w:rFonts w:ascii="Times New Roman" w:hAnsi="Times New Roman" w:cs="Times New Roman"/>
          <w:sz w:val="28"/>
          <w:szCs w:val="28"/>
          <w:lang w:val="en-US"/>
        </w:rPr>
        <w:t>Carreefour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>» полагается в равной степени и на свой органический рост, и на франшизу, немецкая сеть «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Metro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ash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arry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>» и французская сеть «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Auchan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>» - исключительно на органический рост, а голландская сеть «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Ahold</w:t>
      </w:r>
      <w:r w:rsidRPr="0067747B">
        <w:rPr>
          <w:rFonts w:ascii="Times New Roman" w:hAnsi="Times New Roman" w:cs="Times New Roman"/>
          <w:sz w:val="28"/>
          <w:szCs w:val="28"/>
        </w:rPr>
        <w:t>» поглощает местные компании или создает совместные предприятия, английская сеть «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Tesco</w:t>
      </w:r>
      <w:r w:rsidRPr="0067747B">
        <w:rPr>
          <w:rFonts w:ascii="Times New Roman" w:hAnsi="Times New Roman" w:cs="Times New Roman"/>
          <w:sz w:val="28"/>
          <w:szCs w:val="28"/>
        </w:rPr>
        <w:t>» использует смесь подходов.</w:t>
      </w:r>
    </w:p>
    <w:p w:rsidR="002D65A3" w:rsidRPr="0067747B" w:rsidRDefault="00071BB9" w:rsidP="002D65A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Style w:val="longtext"/>
          <w:rFonts w:ascii="Times New Roman" w:hAnsi="Times New Roman" w:cs="Times New Roman"/>
          <w:sz w:val="28"/>
          <w:szCs w:val="28"/>
        </w:rPr>
        <w:t>В России два</w:t>
      </w:r>
      <w:r w:rsidR="002D65A3" w:rsidRPr="0067747B">
        <w:rPr>
          <w:rStyle w:val="longtext"/>
          <w:rFonts w:ascii="Times New Roman" w:hAnsi="Times New Roman" w:cs="Times New Roman"/>
          <w:sz w:val="28"/>
          <w:szCs w:val="28"/>
        </w:rPr>
        <w:t xml:space="preserve"> крупнейших международных </w:t>
      </w:r>
      <w:proofErr w:type="spellStart"/>
      <w:r w:rsidR="002D65A3" w:rsidRPr="0067747B">
        <w:rPr>
          <w:rStyle w:val="longtext"/>
          <w:rFonts w:ascii="Times New Roman" w:hAnsi="Times New Roman" w:cs="Times New Roman"/>
          <w:sz w:val="28"/>
          <w:szCs w:val="28"/>
        </w:rPr>
        <w:t>ритейлера</w:t>
      </w:r>
      <w:proofErr w:type="spellEnd"/>
      <w:r w:rsidR="002D65A3" w:rsidRPr="0067747B">
        <w:rPr>
          <w:rStyle w:val="longtext"/>
          <w:rFonts w:ascii="Times New Roman" w:hAnsi="Times New Roman" w:cs="Times New Roman"/>
          <w:sz w:val="28"/>
          <w:szCs w:val="28"/>
        </w:rPr>
        <w:t xml:space="preserve"> - </w:t>
      </w:r>
      <w:r w:rsidR="002D65A3" w:rsidRPr="006774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65A3" w:rsidRPr="0067747B">
        <w:rPr>
          <w:rFonts w:ascii="Times New Roman" w:hAnsi="Times New Roman" w:cs="Times New Roman"/>
          <w:sz w:val="28"/>
          <w:szCs w:val="28"/>
        </w:rPr>
        <w:t>Metro</w:t>
      </w:r>
      <w:proofErr w:type="spellEnd"/>
      <w:r w:rsidR="002D65A3"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="002D65A3" w:rsidRPr="0067747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2D65A3" w:rsidRPr="0067747B">
        <w:rPr>
          <w:rFonts w:ascii="Times New Roman" w:hAnsi="Times New Roman" w:cs="Times New Roman"/>
          <w:sz w:val="28"/>
          <w:szCs w:val="28"/>
        </w:rPr>
        <w:t>ash</w:t>
      </w:r>
      <w:proofErr w:type="spellEnd"/>
      <w:r w:rsidR="002D65A3" w:rsidRPr="00677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5A3" w:rsidRPr="0067747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D65A3"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="002D65A3" w:rsidRPr="0067747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2D65A3" w:rsidRPr="0067747B">
        <w:rPr>
          <w:rFonts w:ascii="Times New Roman" w:hAnsi="Times New Roman" w:cs="Times New Roman"/>
          <w:sz w:val="28"/>
          <w:szCs w:val="28"/>
        </w:rPr>
        <w:t>arry</w:t>
      </w:r>
      <w:proofErr w:type="spellEnd"/>
      <w:r w:rsidR="002D65A3" w:rsidRPr="0067747B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2D65A3" w:rsidRPr="0067747B">
        <w:rPr>
          <w:rFonts w:ascii="Times New Roman" w:hAnsi="Times New Roman" w:cs="Times New Roman"/>
          <w:sz w:val="28"/>
          <w:szCs w:val="28"/>
        </w:rPr>
        <w:t>Auchan</w:t>
      </w:r>
      <w:proofErr w:type="spellEnd"/>
      <w:r w:rsidR="002D65A3" w:rsidRPr="0067747B">
        <w:rPr>
          <w:rFonts w:ascii="Times New Roman" w:hAnsi="Times New Roman" w:cs="Times New Roman"/>
          <w:sz w:val="28"/>
          <w:szCs w:val="28"/>
        </w:rPr>
        <w:t xml:space="preserve">» - входят в список крупнейших сетей по объему товарооборота, войдя на рынок и применив стратегию органического роста. </w:t>
      </w:r>
      <w:r w:rsidR="00A10912" w:rsidRPr="0067747B">
        <w:rPr>
          <w:rFonts w:ascii="Times New Roman" w:hAnsi="Times New Roman" w:cs="Times New Roman"/>
          <w:sz w:val="28"/>
          <w:szCs w:val="28"/>
        </w:rPr>
        <w:t>У торговых сетей, как международных, так и российских, есть явные преимущества в конкурентной борьбе.</w:t>
      </w:r>
    </w:p>
    <w:p w:rsidR="00E04DE0" w:rsidRPr="0067747B" w:rsidRDefault="00BF2B87" w:rsidP="00266C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Style w:val="longtext"/>
          <w:rFonts w:ascii="Times New Roman" w:hAnsi="Times New Roman" w:cs="Times New Roman"/>
          <w:sz w:val="28"/>
          <w:szCs w:val="28"/>
        </w:rPr>
        <w:t xml:space="preserve">Можно выделить несколько </w:t>
      </w:r>
      <w:r w:rsidR="00071BB9" w:rsidRPr="0067747B">
        <w:rPr>
          <w:rStyle w:val="longtext"/>
          <w:rFonts w:ascii="Times New Roman" w:hAnsi="Times New Roman" w:cs="Times New Roman"/>
          <w:b/>
          <w:sz w:val="28"/>
          <w:szCs w:val="28"/>
        </w:rPr>
        <w:t>конкурентных преимуществ</w:t>
      </w:r>
      <w:r w:rsidRPr="0067747B">
        <w:rPr>
          <w:rStyle w:val="longtext"/>
          <w:rFonts w:ascii="Times New Roman" w:hAnsi="Times New Roman" w:cs="Times New Roman"/>
          <w:sz w:val="28"/>
          <w:szCs w:val="28"/>
        </w:rPr>
        <w:t xml:space="preserve"> торговых сетей перед независимыми </w:t>
      </w:r>
      <w:proofErr w:type="spellStart"/>
      <w:r w:rsidRPr="0067747B">
        <w:rPr>
          <w:rStyle w:val="longtext"/>
          <w:rFonts w:ascii="Times New Roman" w:hAnsi="Times New Roman" w:cs="Times New Roman"/>
          <w:sz w:val="28"/>
          <w:szCs w:val="28"/>
        </w:rPr>
        <w:t>ритейлерами</w:t>
      </w:r>
      <w:proofErr w:type="spellEnd"/>
      <w:r w:rsidR="00266C86" w:rsidRPr="0067747B">
        <w:rPr>
          <w:rStyle w:val="longtext"/>
          <w:rFonts w:ascii="Times New Roman" w:hAnsi="Times New Roman" w:cs="Times New Roman"/>
          <w:sz w:val="28"/>
          <w:szCs w:val="28"/>
        </w:rPr>
        <w:t>:</w:t>
      </w:r>
    </w:p>
    <w:p w:rsidR="00CE6353" w:rsidRPr="0067747B" w:rsidRDefault="007C19BC" w:rsidP="007C19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>1.</w:t>
      </w:r>
      <w:r w:rsidR="00CE6353" w:rsidRPr="0067747B">
        <w:rPr>
          <w:rFonts w:ascii="Times New Roman" w:hAnsi="Times New Roman" w:cs="Times New Roman"/>
          <w:sz w:val="28"/>
          <w:szCs w:val="28"/>
        </w:rPr>
        <w:t xml:space="preserve"> консолидированные закупки</w:t>
      </w:r>
      <w:r w:rsidR="003C621E" w:rsidRPr="0067747B">
        <w:rPr>
          <w:rFonts w:ascii="Times New Roman" w:hAnsi="Times New Roman" w:cs="Times New Roman"/>
          <w:sz w:val="28"/>
          <w:szCs w:val="28"/>
        </w:rPr>
        <w:t xml:space="preserve">. Закупки на </w:t>
      </w:r>
      <w:r w:rsidR="00CE6353" w:rsidRPr="0067747B">
        <w:rPr>
          <w:rFonts w:ascii="Times New Roman" w:hAnsi="Times New Roman" w:cs="Times New Roman"/>
          <w:sz w:val="28"/>
          <w:szCs w:val="28"/>
        </w:rPr>
        <w:t>распределительный центр</w:t>
      </w:r>
      <w:r w:rsidR="003C621E" w:rsidRPr="0067747B">
        <w:rPr>
          <w:rFonts w:ascii="Times New Roman" w:hAnsi="Times New Roman" w:cs="Times New Roman"/>
          <w:sz w:val="28"/>
          <w:szCs w:val="28"/>
        </w:rPr>
        <w:t xml:space="preserve"> (</w:t>
      </w:r>
      <w:r w:rsidR="00CE6353" w:rsidRPr="0067747B">
        <w:rPr>
          <w:rFonts w:ascii="Times New Roman" w:hAnsi="Times New Roman" w:cs="Times New Roman"/>
          <w:sz w:val="28"/>
          <w:szCs w:val="28"/>
        </w:rPr>
        <w:t>центральный склад</w:t>
      </w:r>
      <w:r w:rsidR="003C621E" w:rsidRPr="0067747B">
        <w:rPr>
          <w:rFonts w:ascii="Times New Roman" w:hAnsi="Times New Roman" w:cs="Times New Roman"/>
          <w:sz w:val="28"/>
          <w:szCs w:val="28"/>
        </w:rPr>
        <w:t xml:space="preserve">) </w:t>
      </w:r>
      <w:r w:rsidR="00CE6353" w:rsidRPr="0067747B">
        <w:rPr>
          <w:rFonts w:ascii="Times New Roman" w:hAnsi="Times New Roman" w:cs="Times New Roman"/>
          <w:sz w:val="28"/>
          <w:szCs w:val="28"/>
        </w:rPr>
        <w:t>снижают риск недопоставок со стороны поставщиков</w:t>
      </w:r>
      <w:r w:rsidR="003C621E" w:rsidRPr="0067747B">
        <w:rPr>
          <w:rFonts w:ascii="Times New Roman" w:hAnsi="Times New Roman" w:cs="Times New Roman"/>
          <w:sz w:val="28"/>
          <w:szCs w:val="28"/>
        </w:rPr>
        <w:t xml:space="preserve"> и главное -</w:t>
      </w:r>
      <w:r w:rsidR="00CE6353" w:rsidRPr="0067747B">
        <w:rPr>
          <w:rFonts w:ascii="Times New Roman" w:hAnsi="Times New Roman" w:cs="Times New Roman"/>
          <w:sz w:val="28"/>
          <w:szCs w:val="28"/>
        </w:rPr>
        <w:t xml:space="preserve"> позволяют получить более низкую цену </w:t>
      </w:r>
      <w:r w:rsidR="003C621E" w:rsidRPr="0067747B">
        <w:rPr>
          <w:rFonts w:ascii="Times New Roman" w:hAnsi="Times New Roman" w:cs="Times New Roman"/>
          <w:sz w:val="28"/>
          <w:szCs w:val="28"/>
        </w:rPr>
        <w:t>от большего объема заказа</w:t>
      </w:r>
      <w:r w:rsidR="00CE6353" w:rsidRPr="0067747B">
        <w:rPr>
          <w:rFonts w:ascii="Times New Roman" w:hAnsi="Times New Roman" w:cs="Times New Roman"/>
          <w:sz w:val="28"/>
          <w:szCs w:val="28"/>
        </w:rPr>
        <w:t>;</w:t>
      </w:r>
    </w:p>
    <w:p w:rsidR="00CE6353" w:rsidRPr="0067747B" w:rsidRDefault="007C19BC" w:rsidP="00CE635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 xml:space="preserve">2. </w:t>
      </w:r>
      <w:r w:rsidR="003C621E" w:rsidRPr="0067747B">
        <w:rPr>
          <w:rFonts w:ascii="Times New Roman" w:hAnsi="Times New Roman" w:cs="Times New Roman"/>
          <w:sz w:val="28"/>
          <w:szCs w:val="28"/>
        </w:rPr>
        <w:t>получение низких входных цен на товары от поставщиков ведет к повышению</w:t>
      </w:r>
      <w:r w:rsidR="00CE6353" w:rsidRPr="0067747B">
        <w:rPr>
          <w:rFonts w:ascii="Times New Roman" w:hAnsi="Times New Roman" w:cs="Times New Roman"/>
          <w:sz w:val="28"/>
          <w:szCs w:val="28"/>
        </w:rPr>
        <w:t xml:space="preserve"> рентабельности торговли;</w:t>
      </w:r>
    </w:p>
    <w:p w:rsidR="00CE6353" w:rsidRPr="0067747B" w:rsidRDefault="007C19BC" w:rsidP="00CE635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 xml:space="preserve">3. </w:t>
      </w:r>
      <w:r w:rsidR="00CE6353" w:rsidRPr="0067747B">
        <w:rPr>
          <w:rFonts w:ascii="Times New Roman" w:hAnsi="Times New Roman" w:cs="Times New Roman"/>
          <w:sz w:val="28"/>
          <w:szCs w:val="28"/>
        </w:rPr>
        <w:t xml:space="preserve">длительный опыт работы </w:t>
      </w:r>
      <w:r w:rsidR="003C621E" w:rsidRPr="0067747B">
        <w:rPr>
          <w:rFonts w:ascii="Times New Roman" w:hAnsi="Times New Roman" w:cs="Times New Roman"/>
          <w:sz w:val="28"/>
          <w:szCs w:val="28"/>
        </w:rPr>
        <w:t>в разных страна</w:t>
      </w:r>
      <w:r w:rsidR="00E9683A" w:rsidRPr="0067747B">
        <w:rPr>
          <w:rFonts w:ascii="Times New Roman" w:hAnsi="Times New Roman" w:cs="Times New Roman"/>
          <w:sz w:val="28"/>
          <w:szCs w:val="28"/>
        </w:rPr>
        <w:t>х</w:t>
      </w:r>
      <w:r w:rsidR="003C621E" w:rsidRPr="0067747B">
        <w:rPr>
          <w:rFonts w:ascii="Times New Roman" w:hAnsi="Times New Roman" w:cs="Times New Roman"/>
          <w:sz w:val="28"/>
          <w:szCs w:val="28"/>
        </w:rPr>
        <w:t xml:space="preserve"> и выстроенные операционные процессы, а также наличие управленцев высшего и среднего звена, которые могут запустить торговлю в новой стране присутствия, имея аналогичный опыт в другой стране;</w:t>
      </w:r>
    </w:p>
    <w:p w:rsidR="00CE6353" w:rsidRPr="0067747B" w:rsidRDefault="007C19BC" w:rsidP="007C19B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E6353" w:rsidRPr="0067747B">
        <w:rPr>
          <w:rFonts w:ascii="Times New Roman" w:hAnsi="Times New Roman" w:cs="Times New Roman"/>
          <w:sz w:val="28"/>
          <w:szCs w:val="28"/>
        </w:rPr>
        <w:t>наличие финансовых ресурсов, в том числе для покупки действующих национальных сетей и быстрого освоения рынка;</w:t>
      </w:r>
    </w:p>
    <w:p w:rsidR="00CE6353" w:rsidRPr="0067747B" w:rsidRDefault="007C19BC" w:rsidP="00CE635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 xml:space="preserve">5. </w:t>
      </w:r>
      <w:r w:rsidR="005136F9" w:rsidRPr="0067747B">
        <w:rPr>
          <w:rFonts w:ascii="Times New Roman" w:hAnsi="Times New Roman" w:cs="Times New Roman"/>
          <w:sz w:val="28"/>
          <w:szCs w:val="28"/>
        </w:rPr>
        <w:t>наличие и</w:t>
      </w:r>
      <w:r w:rsidR="00CE6353" w:rsidRPr="0067747B">
        <w:rPr>
          <w:rFonts w:ascii="Times New Roman" w:hAnsi="Times New Roman" w:cs="Times New Roman"/>
          <w:sz w:val="28"/>
          <w:szCs w:val="28"/>
        </w:rPr>
        <w:t>звестно</w:t>
      </w:r>
      <w:r w:rsidR="005136F9" w:rsidRPr="0067747B">
        <w:rPr>
          <w:rFonts w:ascii="Times New Roman" w:hAnsi="Times New Roman" w:cs="Times New Roman"/>
          <w:sz w:val="28"/>
          <w:szCs w:val="28"/>
        </w:rPr>
        <w:t>го</w:t>
      </w:r>
      <w:r w:rsidR="00CE6353" w:rsidRPr="0067747B">
        <w:rPr>
          <w:rFonts w:ascii="Times New Roman" w:hAnsi="Times New Roman" w:cs="Times New Roman"/>
          <w:sz w:val="28"/>
          <w:szCs w:val="28"/>
        </w:rPr>
        <w:t xml:space="preserve"> им</w:t>
      </w:r>
      <w:r w:rsidR="005136F9" w:rsidRPr="0067747B">
        <w:rPr>
          <w:rFonts w:ascii="Times New Roman" w:hAnsi="Times New Roman" w:cs="Times New Roman"/>
          <w:sz w:val="28"/>
          <w:szCs w:val="28"/>
        </w:rPr>
        <w:t>ени</w:t>
      </w:r>
      <w:r w:rsidR="00CE6353" w:rsidRPr="0067747B">
        <w:rPr>
          <w:rFonts w:ascii="Times New Roman" w:hAnsi="Times New Roman" w:cs="Times New Roman"/>
          <w:sz w:val="28"/>
          <w:szCs w:val="28"/>
        </w:rPr>
        <w:t xml:space="preserve"> торговой сети</w:t>
      </w:r>
      <w:r w:rsidR="005136F9" w:rsidRPr="0067747B">
        <w:rPr>
          <w:rFonts w:ascii="Times New Roman" w:hAnsi="Times New Roman" w:cs="Times New Roman"/>
          <w:sz w:val="28"/>
          <w:szCs w:val="28"/>
        </w:rPr>
        <w:t xml:space="preserve">, которое позволяет </w:t>
      </w:r>
      <w:r w:rsidR="00CE6353" w:rsidRPr="0067747B">
        <w:rPr>
          <w:rFonts w:ascii="Times New Roman" w:hAnsi="Times New Roman" w:cs="Times New Roman"/>
          <w:sz w:val="28"/>
          <w:szCs w:val="28"/>
        </w:rPr>
        <w:t xml:space="preserve">заключать с поставщиками максимально выгодные контракты и </w:t>
      </w:r>
      <w:r w:rsidR="005136F9" w:rsidRPr="0067747B">
        <w:rPr>
          <w:rFonts w:ascii="Times New Roman" w:hAnsi="Times New Roman" w:cs="Times New Roman"/>
          <w:sz w:val="28"/>
          <w:szCs w:val="28"/>
        </w:rPr>
        <w:t>способствует быстрому привлечению покупательского потока.</w:t>
      </w:r>
    </w:p>
    <w:p w:rsidR="00266C86" w:rsidRPr="0067747B" w:rsidRDefault="00390422" w:rsidP="00A10912">
      <w:pPr>
        <w:spacing w:after="0" w:line="360" w:lineRule="auto"/>
        <w:ind w:firstLine="540"/>
        <w:jc w:val="center"/>
        <w:rPr>
          <w:rStyle w:val="longtext"/>
          <w:rFonts w:ascii="Times New Roman" w:hAnsi="Times New Roman" w:cs="Times New Roman"/>
          <w:sz w:val="28"/>
          <w:szCs w:val="28"/>
        </w:rPr>
      </w:pPr>
      <w:r w:rsidRPr="0067747B">
        <w:rPr>
          <w:rStyle w:val="longtext"/>
          <w:rFonts w:ascii="Times New Roman" w:hAnsi="Times New Roman" w:cs="Times New Roman"/>
          <w:b/>
          <w:sz w:val="28"/>
          <w:szCs w:val="28"/>
        </w:rPr>
        <w:t xml:space="preserve">Влияние кризиса в России на стратегию развития форматов </w:t>
      </w:r>
      <w:proofErr w:type="spellStart"/>
      <w:r w:rsidRPr="0067747B">
        <w:rPr>
          <w:rStyle w:val="longtext"/>
          <w:rFonts w:ascii="Times New Roman" w:hAnsi="Times New Roman" w:cs="Times New Roman"/>
          <w:b/>
          <w:sz w:val="28"/>
          <w:szCs w:val="28"/>
        </w:rPr>
        <w:t>ритейлеров</w:t>
      </w:r>
      <w:proofErr w:type="spellEnd"/>
    </w:p>
    <w:p w:rsidR="00390422" w:rsidRPr="0067747B" w:rsidRDefault="00390422" w:rsidP="00390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 xml:space="preserve">В кризисный период в России особую роль получает формат торговли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дискаунтер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(рису</w:t>
      </w:r>
      <w:r w:rsidR="00071BB9" w:rsidRPr="0067747B">
        <w:rPr>
          <w:rFonts w:ascii="Times New Roman" w:hAnsi="Times New Roman" w:cs="Times New Roman"/>
          <w:sz w:val="28"/>
          <w:szCs w:val="28"/>
        </w:rPr>
        <w:t>нок 5): треть покупателей в последнее время переключилась именно на данный формат с гипермаркетов и супермаркетов</w:t>
      </w:r>
      <w:r w:rsidRPr="0067747B">
        <w:rPr>
          <w:rFonts w:ascii="Times New Roman" w:hAnsi="Times New Roman" w:cs="Times New Roman"/>
          <w:sz w:val="28"/>
          <w:szCs w:val="28"/>
        </w:rPr>
        <w:t>. Это также подтверждается тем, что при падающем тренде оборота розничной торговли в стране в сети</w:t>
      </w:r>
      <w:r w:rsidR="00E84901" w:rsidRPr="00677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901" w:rsidRPr="0067747B">
        <w:rPr>
          <w:rFonts w:ascii="Times New Roman" w:hAnsi="Times New Roman" w:cs="Times New Roman"/>
          <w:sz w:val="28"/>
          <w:szCs w:val="28"/>
        </w:rPr>
        <w:t>дискаунтеров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«Пятерочка» в первом полугодии 2016 года вырос как средний чек (на 12,7%), так и трафик (на 3,6%). [7] </w:t>
      </w:r>
    </w:p>
    <w:p w:rsidR="00390422" w:rsidRPr="0067747B" w:rsidRDefault="00390422" w:rsidP="003904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E4522" wp14:editId="43AF048A">
            <wp:extent cx="5857240" cy="210484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0422" w:rsidRPr="0067747B" w:rsidRDefault="00390422" w:rsidP="003904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>Рисунок 5 – Предпочтения форматов покупателями в России (данные на март 2016 года) [7]</w:t>
      </w:r>
    </w:p>
    <w:p w:rsidR="00390422" w:rsidRPr="0067747B" w:rsidRDefault="00E84901" w:rsidP="002E575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 xml:space="preserve">По данным компании «X5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Retail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», фактором успеха в кризисный период является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мультиформатная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стратегия.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Дискаунтер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«Пятерочка» является в настоящее время локомотивом роста, супермаркет «Перекресток» ориентирован на более обеспеченную публику</w:t>
      </w:r>
      <w:r w:rsidR="006C684D" w:rsidRPr="0067747B">
        <w:rPr>
          <w:rFonts w:ascii="Times New Roman" w:hAnsi="Times New Roman" w:cs="Times New Roman"/>
          <w:sz w:val="28"/>
          <w:szCs w:val="28"/>
        </w:rPr>
        <w:t>, на данный формат кризис оказывает наиболее пагубное влияние</w:t>
      </w:r>
      <w:r w:rsidRPr="0067747B">
        <w:rPr>
          <w:rFonts w:ascii="Times New Roman" w:hAnsi="Times New Roman" w:cs="Times New Roman"/>
          <w:sz w:val="28"/>
          <w:szCs w:val="28"/>
        </w:rPr>
        <w:t>, а гипермаркет «Карусель»</w:t>
      </w:r>
      <w:r w:rsidR="006C684D" w:rsidRPr="0067747B">
        <w:rPr>
          <w:rFonts w:ascii="Times New Roman" w:hAnsi="Times New Roman" w:cs="Times New Roman"/>
          <w:sz w:val="28"/>
          <w:szCs w:val="28"/>
        </w:rPr>
        <w:t xml:space="preserve"> имеет стабильно маленькую долю в обороте сети, но наивысший средний чек.</w:t>
      </w:r>
      <w:r w:rsidR="00D75A6D" w:rsidRPr="00677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55" w:rsidRPr="0067747B" w:rsidRDefault="00D07C60" w:rsidP="002E575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47B">
        <w:rPr>
          <w:rFonts w:ascii="Times New Roman" w:hAnsi="Times New Roman" w:cs="Times New Roman"/>
          <w:sz w:val="28"/>
          <w:szCs w:val="28"/>
        </w:rPr>
        <w:lastRenderedPageBreak/>
        <w:t>Мультиформатность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2E5755" w:rsidRPr="0067747B">
        <w:rPr>
          <w:rFonts w:ascii="Times New Roman" w:hAnsi="Times New Roman" w:cs="Times New Roman"/>
          <w:sz w:val="28"/>
          <w:szCs w:val="28"/>
        </w:rPr>
        <w:t xml:space="preserve">такая стратегия торговой сети, при которой ее магазины функционируют в нескольких форматах: </w:t>
      </w:r>
      <w:r w:rsidRPr="0067747B">
        <w:rPr>
          <w:rFonts w:ascii="Times New Roman" w:hAnsi="Times New Roman" w:cs="Times New Roman"/>
          <w:sz w:val="28"/>
          <w:szCs w:val="28"/>
        </w:rPr>
        <w:t xml:space="preserve">гипермаркет, супермаркет,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дискаунтер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и других. </w:t>
      </w:r>
    </w:p>
    <w:p w:rsidR="002E5755" w:rsidRPr="0067747B" w:rsidRDefault="002E5755" w:rsidP="00D07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>Еще одним примером является р</w:t>
      </w:r>
      <w:r w:rsidR="00D07C60" w:rsidRPr="0067747B">
        <w:rPr>
          <w:rFonts w:ascii="Times New Roman" w:hAnsi="Times New Roman" w:cs="Times New Roman"/>
          <w:sz w:val="28"/>
          <w:szCs w:val="28"/>
        </w:rPr>
        <w:t>оссийская торговая сеть «Лента», работающая в формат</w:t>
      </w:r>
      <w:r w:rsidRPr="0067747B">
        <w:rPr>
          <w:rFonts w:ascii="Times New Roman" w:hAnsi="Times New Roman" w:cs="Times New Roman"/>
          <w:sz w:val="28"/>
          <w:szCs w:val="28"/>
        </w:rPr>
        <w:t>ах гипермаркет,</w:t>
      </w:r>
      <w:r w:rsidR="00D07C60" w:rsidRPr="0067747B">
        <w:rPr>
          <w:rFonts w:ascii="Times New Roman" w:hAnsi="Times New Roman" w:cs="Times New Roman"/>
          <w:sz w:val="28"/>
          <w:szCs w:val="28"/>
        </w:rPr>
        <w:t xml:space="preserve"> «</w:t>
      </w:r>
      <w:r w:rsidR="00D07C60" w:rsidRPr="0067747B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="00D07C60"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="00D07C60" w:rsidRPr="0067747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D07C60"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="00D07C60" w:rsidRPr="0067747B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="00D07C60" w:rsidRPr="0067747B">
        <w:rPr>
          <w:rFonts w:ascii="Times New Roman" w:hAnsi="Times New Roman" w:cs="Times New Roman"/>
          <w:sz w:val="28"/>
          <w:szCs w:val="28"/>
        </w:rPr>
        <w:t xml:space="preserve">», </w:t>
      </w:r>
      <w:r w:rsidRPr="0067747B">
        <w:rPr>
          <w:rFonts w:ascii="Times New Roman" w:hAnsi="Times New Roman" w:cs="Times New Roman"/>
          <w:sz w:val="28"/>
          <w:szCs w:val="28"/>
        </w:rPr>
        <w:t xml:space="preserve">а </w:t>
      </w:r>
      <w:r w:rsidR="00D07C60" w:rsidRPr="006774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07C60" w:rsidRPr="0067747B">
        <w:rPr>
          <w:rFonts w:ascii="Times New Roman" w:hAnsi="Times New Roman" w:cs="Times New Roman"/>
          <w:sz w:val="28"/>
          <w:szCs w:val="28"/>
        </w:rPr>
        <w:t xml:space="preserve"> 2013 года </w:t>
      </w:r>
      <w:r w:rsidRPr="0067747B">
        <w:rPr>
          <w:rFonts w:ascii="Times New Roman" w:hAnsi="Times New Roman" w:cs="Times New Roman"/>
          <w:sz w:val="28"/>
          <w:szCs w:val="28"/>
        </w:rPr>
        <w:t>и в</w:t>
      </w:r>
      <w:r w:rsidR="00D07C60" w:rsidRPr="0067747B">
        <w:rPr>
          <w:rFonts w:ascii="Times New Roman" w:hAnsi="Times New Roman" w:cs="Times New Roman"/>
          <w:sz w:val="28"/>
          <w:szCs w:val="28"/>
        </w:rPr>
        <w:t xml:space="preserve"> формат</w:t>
      </w:r>
      <w:r w:rsidRPr="0067747B">
        <w:rPr>
          <w:rFonts w:ascii="Times New Roman" w:hAnsi="Times New Roman" w:cs="Times New Roman"/>
          <w:sz w:val="28"/>
          <w:szCs w:val="28"/>
        </w:rPr>
        <w:t>е</w:t>
      </w:r>
      <w:r w:rsidR="00D07C60" w:rsidRPr="0067747B">
        <w:rPr>
          <w:rFonts w:ascii="Times New Roman" w:hAnsi="Times New Roman" w:cs="Times New Roman"/>
          <w:sz w:val="28"/>
          <w:szCs w:val="28"/>
        </w:rPr>
        <w:t xml:space="preserve"> супермаркет. </w:t>
      </w:r>
    </w:p>
    <w:p w:rsidR="002E5755" w:rsidRPr="0067747B" w:rsidRDefault="00D07C60" w:rsidP="00D07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 xml:space="preserve">Российская сеть «Магнит» </w:t>
      </w:r>
      <w:r w:rsidR="006948A7" w:rsidRPr="0067747B">
        <w:rPr>
          <w:rFonts w:ascii="Times New Roman" w:hAnsi="Times New Roman" w:cs="Times New Roman"/>
          <w:sz w:val="28"/>
          <w:szCs w:val="28"/>
        </w:rPr>
        <w:t>на </w:t>
      </w:r>
      <w:r w:rsidR="002E5755" w:rsidRPr="0067747B">
        <w:rPr>
          <w:rFonts w:ascii="Times New Roman" w:hAnsi="Times New Roman" w:cs="Times New Roman"/>
          <w:sz w:val="28"/>
          <w:szCs w:val="28"/>
        </w:rPr>
        <w:t>текущий момент включает</w:t>
      </w:r>
      <w:r w:rsidR="006948A7" w:rsidRPr="0067747B">
        <w:rPr>
          <w:rFonts w:ascii="Times New Roman" w:hAnsi="Times New Roman" w:cs="Times New Roman"/>
          <w:sz w:val="28"/>
          <w:szCs w:val="28"/>
        </w:rPr>
        <w:t xml:space="preserve"> 13 021 магазинов, из них: 9 955 магазинов в формате «магазин у дома», 230 гипермаркетов, 174 магазина «Магнит Семейный» и 2 662 магазина «Магнит </w:t>
      </w:r>
      <w:proofErr w:type="spellStart"/>
      <w:r w:rsidR="006948A7" w:rsidRPr="0067747B">
        <w:rPr>
          <w:rFonts w:ascii="Times New Roman" w:hAnsi="Times New Roman" w:cs="Times New Roman"/>
          <w:sz w:val="28"/>
          <w:szCs w:val="28"/>
        </w:rPr>
        <w:t>Косметик</w:t>
      </w:r>
      <w:proofErr w:type="spellEnd"/>
      <w:r w:rsidR="006948A7" w:rsidRPr="0067747B">
        <w:rPr>
          <w:rFonts w:ascii="Times New Roman" w:hAnsi="Times New Roman" w:cs="Times New Roman"/>
          <w:sz w:val="28"/>
          <w:szCs w:val="28"/>
        </w:rPr>
        <w:t>»</w:t>
      </w:r>
      <w:r w:rsidR="002E5755" w:rsidRPr="0067747B">
        <w:rPr>
          <w:rFonts w:ascii="Times New Roman" w:hAnsi="Times New Roman" w:cs="Times New Roman"/>
          <w:sz w:val="28"/>
          <w:szCs w:val="28"/>
        </w:rPr>
        <w:t>.</w:t>
      </w:r>
    </w:p>
    <w:p w:rsidR="002E5755" w:rsidRPr="0067747B" w:rsidRDefault="006948A7" w:rsidP="00D07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>Торговая сеть «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» также начала развивать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мультиформатность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и в 2015 году запустила интернет-магазин и начала открывать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дискаунтеры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«Да!» помимо имеющихся гипермаркетов и супермаркетов. </w:t>
      </w:r>
    </w:p>
    <w:p w:rsidR="00D07C60" w:rsidRPr="0067747B" w:rsidRDefault="00D07C60" w:rsidP="00D07C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>Немецкая сеть «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Metro</w:t>
      </w:r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cash</w:t>
      </w:r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carry</w:t>
      </w:r>
      <w:r w:rsidRPr="0067747B">
        <w:rPr>
          <w:rFonts w:ascii="Times New Roman" w:hAnsi="Times New Roman" w:cs="Times New Roman"/>
          <w:sz w:val="28"/>
          <w:szCs w:val="28"/>
        </w:rPr>
        <w:t>» с 2012 года развивает формат «мини-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м</w:t>
      </w:r>
      <w:r w:rsidR="006C684D" w:rsidRPr="0067747B">
        <w:rPr>
          <w:rFonts w:ascii="Times New Roman" w:hAnsi="Times New Roman" w:cs="Times New Roman"/>
          <w:sz w:val="28"/>
          <w:szCs w:val="28"/>
        </w:rPr>
        <w:t>аркет</w:t>
      </w:r>
      <w:proofErr w:type="spellEnd"/>
      <w:r w:rsidR="006C684D" w:rsidRPr="0067747B">
        <w:rPr>
          <w:rFonts w:ascii="Times New Roman" w:hAnsi="Times New Roman" w:cs="Times New Roman"/>
          <w:sz w:val="28"/>
          <w:szCs w:val="28"/>
        </w:rPr>
        <w:t>» по системе франчайзинга.</w:t>
      </w:r>
    </w:p>
    <w:p w:rsidR="00071BB9" w:rsidRPr="0067747B" w:rsidRDefault="00817FD0" w:rsidP="00260F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>Итак, в</w:t>
      </w:r>
      <w:r w:rsidR="00B72B8D" w:rsidRPr="0067747B">
        <w:rPr>
          <w:rFonts w:ascii="Times New Roman" w:hAnsi="Times New Roman" w:cs="Times New Roman"/>
          <w:sz w:val="28"/>
          <w:szCs w:val="28"/>
        </w:rPr>
        <w:t xml:space="preserve"> данной статье </w:t>
      </w:r>
      <w:r w:rsidR="00071BB9" w:rsidRPr="0067747B">
        <w:rPr>
          <w:rFonts w:ascii="Times New Roman" w:hAnsi="Times New Roman" w:cs="Times New Roman"/>
          <w:sz w:val="28"/>
          <w:szCs w:val="28"/>
        </w:rPr>
        <w:t xml:space="preserve">проанализировано текущее состояние ритейла в России в условиях кризиса, </w:t>
      </w:r>
      <w:r w:rsidR="00B72B8D" w:rsidRPr="0067747B">
        <w:rPr>
          <w:rFonts w:ascii="Times New Roman" w:hAnsi="Times New Roman" w:cs="Times New Roman"/>
          <w:sz w:val="28"/>
          <w:szCs w:val="28"/>
        </w:rPr>
        <w:t>выделен</w:t>
      </w:r>
      <w:r w:rsidR="00071BB9" w:rsidRPr="0067747B">
        <w:rPr>
          <w:rFonts w:ascii="Times New Roman" w:hAnsi="Times New Roman" w:cs="Times New Roman"/>
          <w:sz w:val="28"/>
          <w:szCs w:val="28"/>
        </w:rPr>
        <w:t xml:space="preserve">а тенденция </w:t>
      </w:r>
      <w:r w:rsidR="00B72B8D" w:rsidRPr="0067747B">
        <w:rPr>
          <w:rFonts w:ascii="Times New Roman" w:hAnsi="Times New Roman" w:cs="Times New Roman"/>
          <w:sz w:val="28"/>
          <w:szCs w:val="28"/>
        </w:rPr>
        <w:t xml:space="preserve">– консолидация </w:t>
      </w:r>
      <w:r w:rsidR="00D07C60" w:rsidRPr="0067747B">
        <w:rPr>
          <w:rFonts w:ascii="Times New Roman" w:hAnsi="Times New Roman" w:cs="Times New Roman"/>
          <w:sz w:val="28"/>
          <w:szCs w:val="28"/>
        </w:rPr>
        <w:t>розничной торговли</w:t>
      </w:r>
      <w:r w:rsidR="00071BB9" w:rsidRPr="0067747B">
        <w:rPr>
          <w:rFonts w:ascii="Times New Roman" w:hAnsi="Times New Roman" w:cs="Times New Roman"/>
          <w:sz w:val="28"/>
          <w:szCs w:val="28"/>
        </w:rPr>
        <w:t xml:space="preserve">. Кроме этого отмечены конкурентные преимущества торговых сетей, этапы и пути завоевания рынка. На основе изучения покупательских предпочтений и динамики торговли сделан вывод о росте популярности формата </w:t>
      </w:r>
      <w:proofErr w:type="spellStart"/>
      <w:r w:rsidR="00071BB9" w:rsidRPr="0067747B">
        <w:rPr>
          <w:rFonts w:ascii="Times New Roman" w:hAnsi="Times New Roman" w:cs="Times New Roman"/>
          <w:sz w:val="28"/>
          <w:szCs w:val="28"/>
        </w:rPr>
        <w:t>дискаунтер</w:t>
      </w:r>
      <w:proofErr w:type="spellEnd"/>
      <w:r w:rsidR="00071BB9" w:rsidRPr="0067747B">
        <w:rPr>
          <w:rFonts w:ascii="Times New Roman" w:hAnsi="Times New Roman" w:cs="Times New Roman"/>
          <w:sz w:val="28"/>
          <w:szCs w:val="28"/>
        </w:rPr>
        <w:t xml:space="preserve"> и использовании </w:t>
      </w:r>
      <w:proofErr w:type="spellStart"/>
      <w:r w:rsidR="00071BB9" w:rsidRPr="0067747B">
        <w:rPr>
          <w:rFonts w:ascii="Times New Roman" w:hAnsi="Times New Roman" w:cs="Times New Roman"/>
          <w:sz w:val="28"/>
          <w:szCs w:val="28"/>
        </w:rPr>
        <w:t>ритейлерами</w:t>
      </w:r>
      <w:proofErr w:type="spellEnd"/>
      <w:r w:rsidR="00071BB9" w:rsidRPr="0067747B">
        <w:rPr>
          <w:rFonts w:ascii="Times New Roman" w:hAnsi="Times New Roman" w:cs="Times New Roman"/>
          <w:sz w:val="28"/>
          <w:szCs w:val="28"/>
        </w:rPr>
        <w:t xml:space="preserve"> стратегии </w:t>
      </w:r>
      <w:proofErr w:type="spellStart"/>
      <w:r w:rsidR="00071BB9" w:rsidRPr="0067747B">
        <w:rPr>
          <w:rFonts w:ascii="Times New Roman" w:hAnsi="Times New Roman" w:cs="Times New Roman"/>
          <w:sz w:val="28"/>
          <w:szCs w:val="28"/>
        </w:rPr>
        <w:t>мультиформатности</w:t>
      </w:r>
      <w:proofErr w:type="spellEnd"/>
      <w:r w:rsidR="00071BB9" w:rsidRPr="006774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BB9" w:rsidRPr="0067747B" w:rsidRDefault="00071BB9" w:rsidP="00260F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 xml:space="preserve">В рамках рассмотрения стратегии </w:t>
      </w:r>
      <w:proofErr w:type="spellStart"/>
      <w:r w:rsidRPr="0067747B">
        <w:rPr>
          <w:rFonts w:ascii="Times New Roman" w:hAnsi="Times New Roman" w:cs="Times New Roman"/>
          <w:sz w:val="28"/>
          <w:szCs w:val="28"/>
        </w:rPr>
        <w:t>мультиформатности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отдельного изучения требует проблема развития электронной торговли в России и мире. Данной теме будут посвящены следующие публикации автора.</w:t>
      </w:r>
    </w:p>
    <w:p w:rsidR="003450A0" w:rsidRPr="0067747B" w:rsidRDefault="003450A0" w:rsidP="00601E1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473B1" w:rsidRPr="0067747B" w:rsidRDefault="007473B1" w:rsidP="001F1D44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>Федеральный закон «О внесении изменений в Федеральный закон «Об основах государственного регулирования торговой деятельности в Российской Федерации» и Кодекс Российской Федерации об административных правонарушениях» от 24.06.2016 г.</w:t>
      </w:r>
    </w:p>
    <w:p w:rsidR="00D21C41" w:rsidRPr="0067747B" w:rsidRDefault="003450A0" w:rsidP="001F1D44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Министерства экономики и развития [Электронный ресурс] – Режим доступа: </w:t>
      </w:r>
      <w:hyperlink r:id="rId12" w:history="1">
        <w:r w:rsidRPr="0067747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7747B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r w:rsidRPr="0067747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7747B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67747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economy</w:t>
        </w:r>
        <w:r w:rsidRPr="0067747B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747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7747B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747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7747B">
        <w:rPr>
          <w:rFonts w:ascii="Times New Roman" w:hAnsi="Times New Roman" w:cs="Times New Roman"/>
          <w:sz w:val="28"/>
          <w:szCs w:val="28"/>
        </w:rPr>
        <w:t xml:space="preserve"> (</w:t>
      </w:r>
      <w:r w:rsidR="00F8129D" w:rsidRPr="0067747B">
        <w:rPr>
          <w:rFonts w:ascii="Times New Roman" w:hAnsi="Times New Roman" w:cs="Times New Roman"/>
          <w:sz w:val="28"/>
          <w:szCs w:val="28"/>
        </w:rPr>
        <w:t xml:space="preserve">дата обращения </w:t>
      </w:r>
      <w:r w:rsidRPr="0067747B">
        <w:rPr>
          <w:rFonts w:ascii="Times New Roman" w:hAnsi="Times New Roman" w:cs="Times New Roman"/>
          <w:sz w:val="28"/>
          <w:szCs w:val="28"/>
        </w:rPr>
        <w:t>13.0</w:t>
      </w:r>
      <w:r w:rsidR="001F1D44" w:rsidRPr="0067747B">
        <w:rPr>
          <w:rFonts w:ascii="Times New Roman" w:hAnsi="Times New Roman" w:cs="Times New Roman"/>
          <w:sz w:val="28"/>
          <w:szCs w:val="28"/>
        </w:rPr>
        <w:t>7</w:t>
      </w:r>
      <w:r w:rsidRPr="0067747B">
        <w:rPr>
          <w:rFonts w:ascii="Times New Roman" w:hAnsi="Times New Roman" w:cs="Times New Roman"/>
          <w:sz w:val="28"/>
          <w:szCs w:val="28"/>
        </w:rPr>
        <w:t>.2016)</w:t>
      </w:r>
    </w:p>
    <w:p w:rsidR="003450A0" w:rsidRPr="0067747B" w:rsidRDefault="003450A0" w:rsidP="001F1D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 xml:space="preserve">Официальный сайт Федеральной службы государственной статистики [Электронный ресурс] – Режим доступа: </w:t>
      </w:r>
      <w:hyperlink r:id="rId13" w:history="1">
        <w:r w:rsidRPr="0067747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7747B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r w:rsidRPr="0067747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7747B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747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gks</w:t>
        </w:r>
        <w:proofErr w:type="spellEnd"/>
        <w:r w:rsidRPr="0067747B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747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7747B">
        <w:rPr>
          <w:rFonts w:ascii="Times New Roman" w:hAnsi="Times New Roman" w:cs="Times New Roman"/>
          <w:sz w:val="28"/>
          <w:szCs w:val="28"/>
        </w:rPr>
        <w:t xml:space="preserve"> (</w:t>
      </w:r>
      <w:r w:rsidR="00167FED" w:rsidRPr="0067747B">
        <w:rPr>
          <w:rFonts w:ascii="Times New Roman" w:hAnsi="Times New Roman" w:cs="Times New Roman"/>
          <w:sz w:val="28"/>
          <w:szCs w:val="28"/>
        </w:rPr>
        <w:t xml:space="preserve">дата обращения </w:t>
      </w:r>
      <w:r w:rsidRPr="0067747B">
        <w:rPr>
          <w:rFonts w:ascii="Times New Roman" w:hAnsi="Times New Roman" w:cs="Times New Roman"/>
          <w:sz w:val="28"/>
          <w:szCs w:val="28"/>
        </w:rPr>
        <w:t>13.0</w:t>
      </w:r>
      <w:r w:rsidR="00167FED" w:rsidRPr="0067747B">
        <w:rPr>
          <w:rFonts w:ascii="Times New Roman" w:hAnsi="Times New Roman" w:cs="Times New Roman"/>
          <w:sz w:val="28"/>
          <w:szCs w:val="28"/>
        </w:rPr>
        <w:t>7</w:t>
      </w:r>
      <w:r w:rsidRPr="0067747B">
        <w:rPr>
          <w:rFonts w:ascii="Times New Roman" w:hAnsi="Times New Roman" w:cs="Times New Roman"/>
          <w:sz w:val="28"/>
          <w:szCs w:val="28"/>
        </w:rPr>
        <w:t>.2016)</w:t>
      </w:r>
    </w:p>
    <w:p w:rsidR="003839BA" w:rsidRPr="0067747B" w:rsidRDefault="007473B1" w:rsidP="00383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 xml:space="preserve">Сценарные условия, основные параметры прогноза социально-экономического развития Российской федерации и предельные уровни цен (тарифов) на услуги компаний инфраструктурного сектора на 2017 год и на плановый период 2018 и 2019 годов. Москва, апрель 2016. Министерство экономического развития Российской федерации [Электронный ресурс] – Режим доступа: </w:t>
      </w:r>
      <w:hyperlink r:id="rId14" w:history="1">
        <w:r w:rsidRPr="0067747B">
          <w:rPr>
            <w:rStyle w:val="Hyperlink"/>
            <w:rFonts w:ascii="Times New Roman" w:hAnsi="Times New Roman" w:cs="Times New Roman"/>
            <w:sz w:val="28"/>
            <w:szCs w:val="28"/>
          </w:rPr>
          <w:t>http://economy.gov.ru/wps/wcm/connect/d8297656-48da-4d60-aec3-1d3d27ee908e/%D0%A1%D1%86%D0%B5%D0%BD%D0%B0%D1%80%D0%BD%D1%8B%D0%B5+%D1%83%D1%81%D0%BB%D0%BE%D0%B2%D0%B8%D1%8F2017_2019.pdf?MOD=AJPERES&amp;CACHEID=d8297656-48da-4d60-aec3-1d3d27ee908e</w:t>
        </w:r>
      </w:hyperlink>
      <w:r w:rsidRPr="0067747B">
        <w:rPr>
          <w:rFonts w:ascii="Times New Roman" w:hAnsi="Times New Roman" w:cs="Times New Roman"/>
          <w:sz w:val="28"/>
          <w:szCs w:val="28"/>
        </w:rPr>
        <w:t xml:space="preserve"> (дата обращения 08.08.2016)</w:t>
      </w:r>
    </w:p>
    <w:p w:rsidR="003839BA" w:rsidRPr="0067747B" w:rsidRDefault="003839BA" w:rsidP="00383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67747B">
        <w:rPr>
          <w:rStyle w:val="Strong"/>
          <w:rFonts w:ascii="Times New Roman" w:hAnsi="Times New Roman" w:cs="Times New Roman"/>
          <w:b w:val="0"/>
          <w:sz w:val="28"/>
          <w:szCs w:val="28"/>
        </w:rPr>
        <w:t>Горюнов М.А.</w:t>
      </w:r>
      <w:r w:rsidRPr="0067747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7747B">
        <w:rPr>
          <w:rFonts w:ascii="Times New Roman" w:hAnsi="Times New Roman" w:cs="Times New Roman"/>
          <w:sz w:val="28"/>
          <w:szCs w:val="28"/>
        </w:rPr>
        <w:t xml:space="preserve">Особенности становления и сценарии дальнейшего развития сетевой розничной торговли в России». / М.А. </w:t>
      </w:r>
      <w:r w:rsidRPr="0067747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Горюнов </w:t>
      </w:r>
      <w:r w:rsidRPr="0067747B">
        <w:rPr>
          <w:rFonts w:ascii="Times New Roman" w:hAnsi="Times New Roman" w:cs="Times New Roman"/>
          <w:sz w:val="28"/>
          <w:szCs w:val="28"/>
        </w:rPr>
        <w:t xml:space="preserve">// </w:t>
      </w:r>
      <w:r w:rsidRPr="006774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Российское предпринимательство. – 2007. -  № 10 </w:t>
      </w:r>
      <w:proofErr w:type="spellStart"/>
      <w:r w:rsidRPr="0067747B">
        <w:rPr>
          <w:rStyle w:val="Emphasis"/>
          <w:rFonts w:ascii="Times New Roman" w:hAnsi="Times New Roman" w:cs="Times New Roman"/>
          <w:i w:val="0"/>
          <w:sz w:val="28"/>
          <w:szCs w:val="28"/>
        </w:rPr>
        <w:t>Вып</w:t>
      </w:r>
      <w:proofErr w:type="spellEnd"/>
      <w:r w:rsidRPr="0067747B">
        <w:rPr>
          <w:rStyle w:val="Emphasis"/>
          <w:rFonts w:ascii="Times New Roman" w:hAnsi="Times New Roman" w:cs="Times New Roman"/>
          <w:i w:val="0"/>
          <w:sz w:val="28"/>
          <w:szCs w:val="28"/>
        </w:rPr>
        <w:t>. 2 (100). - С. 163-168.</w:t>
      </w:r>
    </w:p>
    <w:p w:rsidR="003839BA" w:rsidRPr="0067747B" w:rsidRDefault="003839BA" w:rsidP="00383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67747B">
        <w:rPr>
          <w:rStyle w:val="Strong"/>
          <w:rFonts w:ascii="Times New Roman" w:hAnsi="Times New Roman" w:cs="Times New Roman"/>
          <w:b w:val="0"/>
          <w:sz w:val="28"/>
          <w:szCs w:val="28"/>
        </w:rPr>
        <w:t>Колмакова Т.Е.</w:t>
      </w:r>
      <w:r w:rsidRPr="0067747B">
        <w:rPr>
          <w:rFonts w:ascii="Times New Roman" w:hAnsi="Times New Roman" w:cs="Times New Roman"/>
          <w:sz w:val="28"/>
          <w:szCs w:val="28"/>
        </w:rPr>
        <w:t xml:space="preserve">, </w:t>
      </w:r>
      <w:r w:rsidRPr="0067747B">
        <w:rPr>
          <w:rStyle w:val="Strong"/>
          <w:rFonts w:ascii="Times New Roman" w:hAnsi="Times New Roman" w:cs="Times New Roman"/>
          <w:b w:val="0"/>
          <w:sz w:val="28"/>
          <w:szCs w:val="28"/>
        </w:rPr>
        <w:t>Воронин В.П.</w:t>
      </w:r>
      <w:r w:rsidRPr="0067747B">
        <w:rPr>
          <w:rFonts w:ascii="Times New Roman" w:hAnsi="Times New Roman" w:cs="Times New Roman"/>
          <w:sz w:val="28"/>
          <w:szCs w:val="28"/>
        </w:rPr>
        <w:t xml:space="preserve"> «Зарубежные торговые сети в российской экономике»</w:t>
      </w:r>
      <w:r w:rsidRPr="0067747B">
        <w:rPr>
          <w:rFonts w:ascii="Times New Roman" w:hAnsi="Times New Roman" w:cs="Times New Roman"/>
          <w:i/>
          <w:sz w:val="28"/>
          <w:szCs w:val="28"/>
        </w:rPr>
        <w:t>.</w:t>
      </w:r>
      <w:r w:rsidRPr="006774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/ Т.Е</w:t>
      </w:r>
      <w:r w:rsidRPr="0067747B">
        <w:rPr>
          <w:rStyle w:val="Emphasis"/>
          <w:rFonts w:ascii="Times New Roman" w:hAnsi="Times New Roman" w:cs="Times New Roman"/>
          <w:sz w:val="28"/>
          <w:szCs w:val="28"/>
        </w:rPr>
        <w:t xml:space="preserve">. </w:t>
      </w:r>
      <w:r w:rsidRPr="0067747B">
        <w:rPr>
          <w:rStyle w:val="Strong"/>
          <w:rFonts w:ascii="Times New Roman" w:hAnsi="Times New Roman" w:cs="Times New Roman"/>
          <w:b w:val="0"/>
          <w:sz w:val="28"/>
          <w:szCs w:val="28"/>
        </w:rPr>
        <w:t>Колмакова Т.Е.</w:t>
      </w:r>
      <w:r w:rsidRPr="0067747B">
        <w:rPr>
          <w:rFonts w:ascii="Times New Roman" w:hAnsi="Times New Roman" w:cs="Times New Roman"/>
          <w:sz w:val="28"/>
          <w:szCs w:val="28"/>
        </w:rPr>
        <w:t xml:space="preserve">, В.П. </w:t>
      </w:r>
      <w:r w:rsidRPr="0067747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Воронин </w:t>
      </w:r>
      <w:r w:rsidRPr="0067747B">
        <w:rPr>
          <w:rStyle w:val="Emphasis"/>
          <w:rFonts w:ascii="Times New Roman" w:hAnsi="Times New Roman" w:cs="Times New Roman"/>
          <w:sz w:val="28"/>
          <w:szCs w:val="28"/>
        </w:rPr>
        <w:t xml:space="preserve">// </w:t>
      </w:r>
      <w:r w:rsidRPr="006774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Российское предпринимательство. – 2008. -  № 11 </w:t>
      </w:r>
      <w:proofErr w:type="spellStart"/>
      <w:r w:rsidRPr="0067747B">
        <w:rPr>
          <w:rStyle w:val="Emphasis"/>
          <w:rFonts w:ascii="Times New Roman" w:hAnsi="Times New Roman" w:cs="Times New Roman"/>
          <w:i w:val="0"/>
          <w:sz w:val="28"/>
          <w:szCs w:val="28"/>
        </w:rPr>
        <w:t>Вып</w:t>
      </w:r>
      <w:proofErr w:type="spellEnd"/>
      <w:r w:rsidRPr="0067747B">
        <w:rPr>
          <w:rStyle w:val="Emphasis"/>
          <w:rFonts w:ascii="Times New Roman" w:hAnsi="Times New Roman" w:cs="Times New Roman"/>
          <w:i w:val="0"/>
          <w:sz w:val="28"/>
          <w:szCs w:val="28"/>
        </w:rPr>
        <w:t>. 2 (123). - С. 111-114.</w:t>
      </w:r>
    </w:p>
    <w:p w:rsidR="003450A0" w:rsidRPr="0067747B" w:rsidRDefault="003450A0" w:rsidP="001F1D44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747B">
        <w:rPr>
          <w:rFonts w:ascii="Times New Roman" w:hAnsi="Times New Roman" w:cs="Times New Roman"/>
          <w:sz w:val="28"/>
          <w:szCs w:val="28"/>
        </w:rPr>
        <w:t>Материалы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747B">
        <w:rPr>
          <w:rFonts w:ascii="Times New Roman" w:hAnsi="Times New Roman" w:cs="Times New Roman"/>
          <w:sz w:val="28"/>
          <w:szCs w:val="28"/>
        </w:rPr>
        <w:t>исследовательского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7747B">
        <w:rPr>
          <w:rFonts w:ascii="Times New Roman" w:hAnsi="Times New Roman" w:cs="Times New Roman"/>
          <w:sz w:val="28"/>
          <w:szCs w:val="28"/>
        </w:rPr>
        <w:t>агентства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 xml:space="preserve"> A.C. Nielsen // 2015: the end or beginning of new era?</w:t>
      </w:r>
    </w:p>
    <w:p w:rsidR="003450A0" w:rsidRPr="0067747B" w:rsidRDefault="003450A0" w:rsidP="001F1D44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t xml:space="preserve">Материалы исследовательского агентства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GFK</w:t>
      </w:r>
      <w:r w:rsidRPr="0067747B">
        <w:rPr>
          <w:rFonts w:ascii="Times New Roman" w:hAnsi="Times New Roman" w:cs="Times New Roman"/>
          <w:sz w:val="28"/>
          <w:szCs w:val="28"/>
        </w:rPr>
        <w:t xml:space="preserve"> //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crisis</w:t>
      </w:r>
      <w:r w:rsidRPr="0067747B">
        <w:rPr>
          <w:rFonts w:ascii="Times New Roman" w:hAnsi="Times New Roman" w:cs="Times New Roman"/>
          <w:sz w:val="28"/>
          <w:szCs w:val="28"/>
        </w:rPr>
        <w:t xml:space="preserve"> </w:t>
      </w:r>
      <w:r w:rsidRPr="0067747B">
        <w:rPr>
          <w:rFonts w:ascii="Times New Roman" w:hAnsi="Times New Roman" w:cs="Times New Roman"/>
          <w:sz w:val="28"/>
          <w:szCs w:val="28"/>
          <w:lang w:val="en-US"/>
        </w:rPr>
        <w:t>barometer</w:t>
      </w:r>
      <w:r w:rsidRPr="0067747B">
        <w:rPr>
          <w:rFonts w:ascii="Times New Roman" w:hAnsi="Times New Roman" w:cs="Times New Roman"/>
          <w:sz w:val="28"/>
          <w:szCs w:val="28"/>
        </w:rPr>
        <w:t xml:space="preserve"> (апрель 2015).</w:t>
      </w:r>
    </w:p>
    <w:p w:rsidR="001F01BC" w:rsidRPr="0067747B" w:rsidRDefault="003450A0" w:rsidP="001F01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47B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исследовательского агентства </w:t>
      </w:r>
      <w:proofErr w:type="spellStart"/>
      <w:r w:rsidRPr="0067747B">
        <w:rPr>
          <w:rFonts w:ascii="Times New Roman" w:hAnsi="Times New Roman" w:cs="Times New Roman"/>
          <w:sz w:val="28"/>
          <w:szCs w:val="28"/>
          <w:lang w:val="en-US"/>
        </w:rPr>
        <w:t>InfoLine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// Состояние потребительского рынка РФ и Рейтинг торговых сетей FMCG РФ // Отраслевой обзор </w:t>
      </w:r>
      <w:r w:rsidR="007473B1" w:rsidRPr="0067747B">
        <w:rPr>
          <w:rFonts w:ascii="Times New Roman" w:hAnsi="Times New Roman" w:cs="Times New Roman"/>
          <w:sz w:val="28"/>
          <w:szCs w:val="28"/>
        </w:rPr>
        <w:t>июнь</w:t>
      </w:r>
      <w:r w:rsidRPr="0067747B">
        <w:rPr>
          <w:rFonts w:ascii="Times New Roman" w:hAnsi="Times New Roman" w:cs="Times New Roman"/>
          <w:bCs/>
          <w:sz w:val="28"/>
          <w:szCs w:val="28"/>
        </w:rPr>
        <w:t xml:space="preserve"> 2016 года.</w:t>
      </w:r>
    </w:p>
    <w:p w:rsidR="001F01BC" w:rsidRPr="0067747B" w:rsidRDefault="00963C16" w:rsidP="001F01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47B">
        <w:rPr>
          <w:rFonts w:ascii="Times New Roman" w:hAnsi="Times New Roman" w:cs="Times New Roman"/>
          <w:bCs/>
          <w:sz w:val="28"/>
          <w:szCs w:val="28"/>
        </w:rPr>
        <w:t>Радаев</w:t>
      </w:r>
      <w:proofErr w:type="spellEnd"/>
      <w:r w:rsidRPr="0067747B">
        <w:rPr>
          <w:rFonts w:ascii="Times New Roman" w:hAnsi="Times New Roman" w:cs="Times New Roman"/>
          <w:bCs/>
          <w:sz w:val="28"/>
          <w:szCs w:val="28"/>
        </w:rPr>
        <w:t xml:space="preserve"> В.В. Динамика деловых стратегий российских розничных компаний под воздействием глобальных торговых сетей. </w:t>
      </w:r>
      <w:r w:rsidR="001F01BC" w:rsidRPr="0067747B">
        <w:rPr>
          <w:rFonts w:ascii="Times New Roman" w:hAnsi="Times New Roman" w:cs="Times New Roman"/>
          <w:bCs/>
          <w:sz w:val="28"/>
          <w:szCs w:val="28"/>
        </w:rPr>
        <w:t xml:space="preserve">/ В.В. </w:t>
      </w:r>
      <w:proofErr w:type="spellStart"/>
      <w:r w:rsidR="001F01BC" w:rsidRPr="0067747B">
        <w:rPr>
          <w:rFonts w:ascii="Times New Roman" w:hAnsi="Times New Roman" w:cs="Times New Roman"/>
          <w:bCs/>
          <w:sz w:val="28"/>
          <w:szCs w:val="28"/>
        </w:rPr>
        <w:t>Радаев</w:t>
      </w:r>
      <w:proofErr w:type="spellEnd"/>
      <w:r w:rsidR="001F01BC" w:rsidRPr="0067747B"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="001F01BC" w:rsidRPr="0067747B">
        <w:rPr>
          <w:rFonts w:ascii="Times New Roman" w:hAnsi="Times New Roman" w:cs="Times New Roman"/>
          <w:sz w:val="28"/>
          <w:szCs w:val="28"/>
        </w:rPr>
        <w:t xml:space="preserve">Российский журнал менеджмента </w:t>
      </w:r>
      <w:r w:rsidR="001F01BC" w:rsidRPr="0067747B">
        <w:rPr>
          <w:rFonts w:ascii="Times New Roman" w:hAnsi="Times New Roman" w:cs="Times New Roman"/>
          <w:iCs/>
          <w:sz w:val="28"/>
          <w:szCs w:val="28"/>
        </w:rPr>
        <w:t>Том 3, № 3, 2005. С. 3–26.</w:t>
      </w:r>
    </w:p>
    <w:p w:rsidR="003839BA" w:rsidRPr="0067747B" w:rsidRDefault="003839BA" w:rsidP="00C9065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67747B">
        <w:rPr>
          <w:rStyle w:val="Strong"/>
          <w:rFonts w:ascii="Times New Roman" w:hAnsi="Times New Roman" w:cs="Times New Roman"/>
          <w:b w:val="0"/>
          <w:sz w:val="28"/>
          <w:szCs w:val="28"/>
        </w:rPr>
        <w:t>Садчикова</w:t>
      </w:r>
      <w:proofErr w:type="spellEnd"/>
      <w:r w:rsidRPr="0067747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И.А.</w:t>
      </w:r>
      <w:r w:rsidRPr="0067747B">
        <w:rPr>
          <w:rFonts w:ascii="Times New Roman" w:hAnsi="Times New Roman" w:cs="Times New Roman"/>
          <w:sz w:val="28"/>
          <w:szCs w:val="28"/>
        </w:rPr>
        <w:t xml:space="preserve"> «Новая роль розничных сетей в российской экономике. Бурное развитие розничной сетевой торговли». / И.А. </w:t>
      </w:r>
      <w:proofErr w:type="spellStart"/>
      <w:r w:rsidRPr="0067747B">
        <w:rPr>
          <w:rStyle w:val="Strong"/>
          <w:rFonts w:ascii="Times New Roman" w:hAnsi="Times New Roman" w:cs="Times New Roman"/>
          <w:b w:val="0"/>
          <w:sz w:val="28"/>
          <w:szCs w:val="28"/>
        </w:rPr>
        <w:t>Садчикова</w:t>
      </w:r>
      <w:proofErr w:type="spellEnd"/>
      <w:r w:rsidRPr="0067747B">
        <w:rPr>
          <w:rFonts w:ascii="Times New Roman" w:hAnsi="Times New Roman" w:cs="Times New Roman"/>
          <w:sz w:val="28"/>
          <w:szCs w:val="28"/>
        </w:rPr>
        <w:t xml:space="preserve"> // </w:t>
      </w:r>
      <w:r w:rsidRPr="006774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Российское предпринимательство. – 2008. - № 10 </w:t>
      </w:r>
      <w:proofErr w:type="spellStart"/>
      <w:r w:rsidRPr="0067747B">
        <w:rPr>
          <w:rStyle w:val="Emphasis"/>
          <w:rFonts w:ascii="Times New Roman" w:hAnsi="Times New Roman" w:cs="Times New Roman"/>
          <w:i w:val="0"/>
          <w:sz w:val="28"/>
          <w:szCs w:val="28"/>
        </w:rPr>
        <w:t>Вып</w:t>
      </w:r>
      <w:proofErr w:type="spellEnd"/>
      <w:r w:rsidRPr="0067747B">
        <w:rPr>
          <w:rStyle w:val="Emphasis"/>
          <w:rFonts w:ascii="Times New Roman" w:hAnsi="Times New Roman" w:cs="Times New Roman"/>
          <w:i w:val="0"/>
          <w:sz w:val="28"/>
          <w:szCs w:val="28"/>
        </w:rPr>
        <w:t>. 2 (121</w:t>
      </w:r>
      <w:r w:rsidR="001F01BC" w:rsidRPr="0067747B">
        <w:rPr>
          <w:rStyle w:val="Emphasis"/>
          <w:rFonts w:ascii="Times New Roman" w:hAnsi="Times New Roman" w:cs="Times New Roman"/>
          <w:i w:val="0"/>
          <w:sz w:val="28"/>
          <w:szCs w:val="28"/>
        </w:rPr>
        <w:t>).</w:t>
      </w:r>
      <w:r w:rsidRPr="006774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С. 19-23.</w:t>
      </w:r>
    </w:p>
    <w:sectPr w:rsidR="003839BA" w:rsidRPr="0067747B" w:rsidSect="005F542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671D1"/>
    <w:multiLevelType w:val="hybridMultilevel"/>
    <w:tmpl w:val="35544F1A"/>
    <w:lvl w:ilvl="0" w:tplc="6D12D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90308"/>
    <w:multiLevelType w:val="hybridMultilevel"/>
    <w:tmpl w:val="33A0F708"/>
    <w:lvl w:ilvl="0" w:tplc="0FEE89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D5E41E3"/>
    <w:multiLevelType w:val="hybridMultilevel"/>
    <w:tmpl w:val="AC002786"/>
    <w:lvl w:ilvl="0" w:tplc="041034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9624C73"/>
    <w:multiLevelType w:val="hybridMultilevel"/>
    <w:tmpl w:val="6930DA66"/>
    <w:lvl w:ilvl="0" w:tplc="6D12D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535406"/>
    <w:multiLevelType w:val="hybridMultilevel"/>
    <w:tmpl w:val="35544F1A"/>
    <w:lvl w:ilvl="0" w:tplc="6D12D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695F04"/>
    <w:multiLevelType w:val="hybridMultilevel"/>
    <w:tmpl w:val="6930DA66"/>
    <w:lvl w:ilvl="0" w:tplc="6D12D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796BE1"/>
    <w:multiLevelType w:val="hybridMultilevel"/>
    <w:tmpl w:val="88303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00F06"/>
    <w:multiLevelType w:val="hybridMultilevel"/>
    <w:tmpl w:val="363C1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2C"/>
    <w:rsid w:val="0000799E"/>
    <w:rsid w:val="00024CEC"/>
    <w:rsid w:val="00040045"/>
    <w:rsid w:val="00050775"/>
    <w:rsid w:val="00052146"/>
    <w:rsid w:val="000571A6"/>
    <w:rsid w:val="00064FF8"/>
    <w:rsid w:val="00071BB9"/>
    <w:rsid w:val="00082FF0"/>
    <w:rsid w:val="00095B16"/>
    <w:rsid w:val="000B0AEC"/>
    <w:rsid w:val="000B67A9"/>
    <w:rsid w:val="000C0C19"/>
    <w:rsid w:val="000C58DE"/>
    <w:rsid w:val="000D7FDE"/>
    <w:rsid w:val="000F062B"/>
    <w:rsid w:val="0010391B"/>
    <w:rsid w:val="00120516"/>
    <w:rsid w:val="00126343"/>
    <w:rsid w:val="00167FED"/>
    <w:rsid w:val="001A031F"/>
    <w:rsid w:val="001E0A00"/>
    <w:rsid w:val="001F01BC"/>
    <w:rsid w:val="001F1D44"/>
    <w:rsid w:val="002301EE"/>
    <w:rsid w:val="0023105F"/>
    <w:rsid w:val="00251361"/>
    <w:rsid w:val="00260F82"/>
    <w:rsid w:val="00266C86"/>
    <w:rsid w:val="00270EC1"/>
    <w:rsid w:val="002821D3"/>
    <w:rsid w:val="00295125"/>
    <w:rsid w:val="002D35D0"/>
    <w:rsid w:val="002D65A3"/>
    <w:rsid w:val="002E30EB"/>
    <w:rsid w:val="002E5755"/>
    <w:rsid w:val="003450A0"/>
    <w:rsid w:val="003736C3"/>
    <w:rsid w:val="003839BA"/>
    <w:rsid w:val="00390422"/>
    <w:rsid w:val="003C621E"/>
    <w:rsid w:val="003D3934"/>
    <w:rsid w:val="003F667B"/>
    <w:rsid w:val="00411667"/>
    <w:rsid w:val="004240F4"/>
    <w:rsid w:val="0045745A"/>
    <w:rsid w:val="0048224D"/>
    <w:rsid w:val="0048712D"/>
    <w:rsid w:val="004B6998"/>
    <w:rsid w:val="004E2C47"/>
    <w:rsid w:val="005136F9"/>
    <w:rsid w:val="00513DC0"/>
    <w:rsid w:val="005150AB"/>
    <w:rsid w:val="00523D5A"/>
    <w:rsid w:val="005304DC"/>
    <w:rsid w:val="005D0B2E"/>
    <w:rsid w:val="005E3258"/>
    <w:rsid w:val="005F542C"/>
    <w:rsid w:val="00601E16"/>
    <w:rsid w:val="00603799"/>
    <w:rsid w:val="00630E13"/>
    <w:rsid w:val="0067747B"/>
    <w:rsid w:val="006818B0"/>
    <w:rsid w:val="006943FB"/>
    <w:rsid w:val="006948A7"/>
    <w:rsid w:val="00696DDC"/>
    <w:rsid w:val="006C684D"/>
    <w:rsid w:val="007241DC"/>
    <w:rsid w:val="007473B1"/>
    <w:rsid w:val="00753EEF"/>
    <w:rsid w:val="00781761"/>
    <w:rsid w:val="007C19BC"/>
    <w:rsid w:val="007C22F4"/>
    <w:rsid w:val="00806570"/>
    <w:rsid w:val="00817FD0"/>
    <w:rsid w:val="00826156"/>
    <w:rsid w:val="00873BD2"/>
    <w:rsid w:val="00874D8C"/>
    <w:rsid w:val="0088405B"/>
    <w:rsid w:val="00897ACC"/>
    <w:rsid w:val="008B6977"/>
    <w:rsid w:val="00903686"/>
    <w:rsid w:val="00932F38"/>
    <w:rsid w:val="00963B03"/>
    <w:rsid w:val="00963C16"/>
    <w:rsid w:val="00A04A15"/>
    <w:rsid w:val="00A10912"/>
    <w:rsid w:val="00A2687A"/>
    <w:rsid w:val="00A6587B"/>
    <w:rsid w:val="00A70B2F"/>
    <w:rsid w:val="00AD5405"/>
    <w:rsid w:val="00AF041A"/>
    <w:rsid w:val="00AF2FFD"/>
    <w:rsid w:val="00B34F2B"/>
    <w:rsid w:val="00B56A32"/>
    <w:rsid w:val="00B72B8D"/>
    <w:rsid w:val="00B755C6"/>
    <w:rsid w:val="00B83CD9"/>
    <w:rsid w:val="00BB1310"/>
    <w:rsid w:val="00BB2CF5"/>
    <w:rsid w:val="00BB748D"/>
    <w:rsid w:val="00BC6BBC"/>
    <w:rsid w:val="00BD64FA"/>
    <w:rsid w:val="00BE456D"/>
    <w:rsid w:val="00BF2B87"/>
    <w:rsid w:val="00C006D2"/>
    <w:rsid w:val="00C12A4E"/>
    <w:rsid w:val="00C27707"/>
    <w:rsid w:val="00C76D37"/>
    <w:rsid w:val="00C878E9"/>
    <w:rsid w:val="00C90AAA"/>
    <w:rsid w:val="00C967F1"/>
    <w:rsid w:val="00CC111D"/>
    <w:rsid w:val="00CC6C0E"/>
    <w:rsid w:val="00CD417D"/>
    <w:rsid w:val="00CE6353"/>
    <w:rsid w:val="00D00A54"/>
    <w:rsid w:val="00D07C60"/>
    <w:rsid w:val="00D21C41"/>
    <w:rsid w:val="00D3466D"/>
    <w:rsid w:val="00D5295A"/>
    <w:rsid w:val="00D75A6D"/>
    <w:rsid w:val="00D91D2A"/>
    <w:rsid w:val="00D9720C"/>
    <w:rsid w:val="00DC5521"/>
    <w:rsid w:val="00E04DE0"/>
    <w:rsid w:val="00E21EE4"/>
    <w:rsid w:val="00E30D2C"/>
    <w:rsid w:val="00E55A3C"/>
    <w:rsid w:val="00E75C1C"/>
    <w:rsid w:val="00E84901"/>
    <w:rsid w:val="00E956E7"/>
    <w:rsid w:val="00E9683A"/>
    <w:rsid w:val="00ED77BF"/>
    <w:rsid w:val="00F02F33"/>
    <w:rsid w:val="00F5031B"/>
    <w:rsid w:val="00F8129D"/>
    <w:rsid w:val="00FA57FC"/>
    <w:rsid w:val="00FB219A"/>
    <w:rsid w:val="00FC06B8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D15330B-3FB6-4358-856F-D896AC9F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0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0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391B"/>
    <w:rPr>
      <w:color w:val="800080" w:themeColor="followedHyperlink"/>
      <w:u w:val="single"/>
    </w:rPr>
  </w:style>
  <w:style w:type="character" w:customStyle="1" w:styleId="longtext">
    <w:name w:val="long_text"/>
    <w:basedOn w:val="DefaultParagraphFont"/>
    <w:rsid w:val="00260F82"/>
  </w:style>
  <w:style w:type="paragraph" w:styleId="NormalWeb">
    <w:name w:val="Normal (Web)"/>
    <w:basedOn w:val="Normal"/>
    <w:uiPriority w:val="99"/>
    <w:rsid w:val="0026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qFormat/>
    <w:rsid w:val="003839BA"/>
    <w:rPr>
      <w:b/>
      <w:bCs/>
    </w:rPr>
  </w:style>
  <w:style w:type="character" w:styleId="Emphasis">
    <w:name w:val="Emphasis"/>
    <w:basedOn w:val="DefaultParagraphFont"/>
    <w:qFormat/>
    <w:rsid w:val="003839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www.gks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www.economy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atyana_podsipanona@yahoo.com" TargetMode="External"/><Relationship Id="rId11" Type="http://schemas.openxmlformats.org/officeDocument/2006/relationships/chart" Target="charts/chart5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://economy.gov.ru/wps/wcm/connect/d8297656-48da-4d60-aec3-1d3d27ee908e/%D0%A1%D1%86%D0%B5%D0%BD%D0%B0%D1%80%D0%BD%D1%8B%D0%B5+%D1%83%D1%81%D0%BB%D0%BE%D0%B2%D0%B8%D1%8F2017_2019.pdf?MOD=AJPERES&amp;CACHEID=d8297656-48da-4d60-aec3-1d3d27ee908e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opendar\Desktop\Book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Sheet1!$C$28</c:f>
              <c:strCache>
                <c:ptCount val="1"/>
                <c:pt idx="0">
                  <c:v>Динамика оборота розничной торговли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7.83101367003554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3.3949151792030847E-3"/>
                  <c:y val="0.1116626481646967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4.0877000947034635E-2"/>
                  <c:y val="6.585003962299144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Sheet1!$B$29:$B$38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 прогноз</c:v>
                </c:pt>
                <c:pt idx="9">
                  <c:v>2017 прогноз</c:v>
                </c:pt>
              </c:strCache>
            </c:strRef>
          </c:cat>
          <c:val>
            <c:numRef>
              <c:f>Sheet1!$C$29:$C$38</c:f>
              <c:numCache>
                <c:formatCode>0.0%</c:formatCode>
                <c:ptCount val="10"/>
                <c:pt idx="0">
                  <c:v>0.28000000000000003</c:v>
                </c:pt>
                <c:pt idx="1">
                  <c:v>0.05</c:v>
                </c:pt>
                <c:pt idx="2">
                  <c:v>0.13</c:v>
                </c:pt>
                <c:pt idx="3">
                  <c:v>0.16</c:v>
                </c:pt>
                <c:pt idx="4">
                  <c:v>0.12</c:v>
                </c:pt>
                <c:pt idx="5">
                  <c:v>0.11</c:v>
                </c:pt>
                <c:pt idx="6">
                  <c:v>0.11</c:v>
                </c:pt>
                <c:pt idx="7">
                  <c:v>-0.1</c:v>
                </c:pt>
                <c:pt idx="8">
                  <c:v>-2.7E-2</c:v>
                </c:pt>
                <c:pt idx="9">
                  <c:v>1.0999999999999999E-2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3682464"/>
        <c:axId val="443688736"/>
      </c:barChart>
      <c:lineChart>
        <c:grouping val="standard"/>
        <c:varyColors val="0"/>
        <c:ser>
          <c:idx val="1"/>
          <c:order val="1"/>
          <c:tx>
            <c:strRef>
              <c:f>Sheet1!$D$28</c:f>
              <c:strCache>
                <c:ptCount val="1"/>
                <c:pt idx="0">
                  <c:v>Динамика реального дохода насаления</c:v>
                </c:pt>
              </c:strCache>
            </c:strRef>
          </c:tx>
          <c:spPr>
            <a:ln w="12700" cap="flat" cmpd="sng" algn="ctr">
              <a:solidFill>
                <a:schemeClr val="tx1"/>
              </a:solidFill>
              <a:prstDash val="solid"/>
              <a:miter lim="800000"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3.2034828642182323E-2"/>
                  <c:y val="4.1215861421239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0337396122476039E-2"/>
                  <c:y val="5.35806198476116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0337396122476039E-2"/>
                  <c:y val="6.59453782739835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2879267906710176E-2"/>
                  <c:y val="5.35806198476116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1873505724758243E-2"/>
                  <c:y val="3.7094275279115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0337396122476039E-2"/>
                  <c:y val="1.23647584263718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tx1"/>
              </a:solidFill>
              <a:ln w="12700" cap="flat" cmpd="sng" algn="ctr">
                <a:solidFill>
                  <a:schemeClr val="tx1"/>
                </a:solidFill>
                <a:prstDash val="solid"/>
                <a:miter lim="800000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Sheet1!$B$29:$B$38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 прогноз</c:v>
                </c:pt>
                <c:pt idx="9">
                  <c:v>2017 прогноз</c:v>
                </c:pt>
              </c:strCache>
            </c:strRef>
          </c:cat>
          <c:val>
            <c:numRef>
              <c:f>Sheet1!$D$29:$D$38</c:f>
              <c:numCache>
                <c:formatCode>0.0%</c:formatCode>
                <c:ptCount val="10"/>
                <c:pt idx="0">
                  <c:v>2.4E-2</c:v>
                </c:pt>
                <c:pt idx="1">
                  <c:v>0.03</c:v>
                </c:pt>
                <c:pt idx="2">
                  <c:v>5.8999999999999997E-2</c:v>
                </c:pt>
                <c:pt idx="3">
                  <c:v>5.0000000000000001E-3</c:v>
                </c:pt>
                <c:pt idx="4">
                  <c:v>4.5999999999999999E-2</c:v>
                </c:pt>
                <c:pt idx="5">
                  <c:v>5.1999999999999998E-2</c:v>
                </c:pt>
                <c:pt idx="6">
                  <c:v>-0.01</c:v>
                </c:pt>
                <c:pt idx="7">
                  <c:v>-0.04</c:v>
                </c:pt>
                <c:pt idx="8">
                  <c:v>-2.8000000000000001E-2</c:v>
                </c:pt>
                <c:pt idx="9">
                  <c:v>7.0000000000000001E-3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Sheet1!$E$28</c:f>
              <c:strCache>
                <c:ptCount val="1"/>
                <c:pt idx="0">
                  <c:v>Уровень безработицы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dLbls>
            <c:dLbl>
              <c:idx val="9"/>
              <c:layout>
                <c:manualLayout>
                  <c:x val="-3.7728311356705686E-2"/>
                  <c:y val="-3.2972689136991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ellipse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Sheet1!$B$29:$B$38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 прогноз</c:v>
                </c:pt>
                <c:pt idx="9">
                  <c:v>2017 прогноз</c:v>
                </c:pt>
              </c:strCache>
            </c:strRef>
          </c:cat>
          <c:val>
            <c:numRef>
              <c:f>Sheet1!$E$29:$E$38</c:f>
              <c:numCache>
                <c:formatCode>0.0%</c:formatCode>
                <c:ptCount val="10"/>
                <c:pt idx="0">
                  <c:v>6.2E-2</c:v>
                </c:pt>
                <c:pt idx="1">
                  <c:v>8.3000000000000004E-2</c:v>
                </c:pt>
                <c:pt idx="2">
                  <c:v>7.2999999999999995E-2</c:v>
                </c:pt>
                <c:pt idx="3">
                  <c:v>6.5000000000000002E-2</c:v>
                </c:pt>
                <c:pt idx="4">
                  <c:v>0.05</c:v>
                </c:pt>
                <c:pt idx="5">
                  <c:v>5.5E-2</c:v>
                </c:pt>
                <c:pt idx="6">
                  <c:v>5.5E-2</c:v>
                </c:pt>
                <c:pt idx="7">
                  <c:v>5.8000000000000003E-2</c:v>
                </c:pt>
                <c:pt idx="8">
                  <c:v>6.5000000000000002E-2</c:v>
                </c:pt>
                <c:pt idx="9">
                  <c:v>4.9000000000000002E-2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3682464"/>
        <c:axId val="443688736"/>
      </c:lineChart>
      <c:catAx>
        <c:axId val="44368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3688736"/>
        <c:crosses val="autoZero"/>
        <c:auto val="1"/>
        <c:lblAlgn val="ctr"/>
        <c:lblOffset val="100"/>
        <c:noMultiLvlLbl val="0"/>
      </c:catAx>
      <c:valAx>
        <c:axId val="443688736"/>
        <c:scaling>
          <c:orientation val="minMax"/>
          <c:min val="-0.1"/>
        </c:scaling>
        <c:delete val="1"/>
        <c:axPos val="l"/>
        <c:numFmt formatCode="0.0%" sourceLinked="1"/>
        <c:majorTickMark val="none"/>
        <c:minorTickMark val="none"/>
        <c:tickLblPos val="nextTo"/>
        <c:crossAx val="44368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Sheet1!$A$71:$A$79</c:f>
              <c:strCache>
                <c:ptCount val="9"/>
                <c:pt idx="0">
                  <c:v>Россия</c:v>
                </c:pt>
                <c:pt idx="1">
                  <c:v>Португалия</c:v>
                </c:pt>
                <c:pt idx="2">
                  <c:v>Чехия</c:v>
                </c:pt>
                <c:pt idx="3">
                  <c:v>США</c:v>
                </c:pt>
                <c:pt idx="4">
                  <c:v>Швеция</c:v>
                </c:pt>
                <c:pt idx="5">
                  <c:v>Швейцария</c:v>
                </c:pt>
                <c:pt idx="6">
                  <c:v>Словения</c:v>
                </c:pt>
                <c:pt idx="7">
                  <c:v>Германия</c:v>
                </c:pt>
                <c:pt idx="8">
                  <c:v>Норвегия</c:v>
                </c:pt>
              </c:strCache>
            </c:strRef>
          </c:cat>
          <c:val>
            <c:numRef>
              <c:f>Sheet1!$B$71:$B$79</c:f>
              <c:numCache>
                <c:formatCode>0%</c:formatCode>
                <c:ptCount val="9"/>
                <c:pt idx="0">
                  <c:v>0.21</c:v>
                </c:pt>
                <c:pt idx="1">
                  <c:v>0.47</c:v>
                </c:pt>
                <c:pt idx="2">
                  <c:v>0.49</c:v>
                </c:pt>
                <c:pt idx="3">
                  <c:v>0.55000000000000004</c:v>
                </c:pt>
                <c:pt idx="4">
                  <c:v>0.62</c:v>
                </c:pt>
                <c:pt idx="5">
                  <c:v>0.63</c:v>
                </c:pt>
                <c:pt idx="6">
                  <c:v>0.67</c:v>
                </c:pt>
                <c:pt idx="7">
                  <c:v>0.8</c:v>
                </c:pt>
                <c:pt idx="8">
                  <c:v>0.95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3375936"/>
        <c:axId val="313380416"/>
      </c:barChart>
      <c:catAx>
        <c:axId val="31337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3380416"/>
        <c:crosses val="autoZero"/>
        <c:auto val="1"/>
        <c:lblAlgn val="ctr"/>
        <c:lblOffset val="100"/>
        <c:noMultiLvlLbl val="0"/>
      </c:catAx>
      <c:valAx>
        <c:axId val="31338041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1337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solidFill>
              <a:schemeClr val="tx1"/>
            </a:solidFill>
          </c:spPr>
          <c:dPt>
            <c:idx val="0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5.2424431321084868E-2"/>
                  <c:y val="-3.242927967337415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90266841644794"/>
                      <c:h val="0.2055555555555555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3333333333333329E-2"/>
                  <c:y val="-9.259259259259258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527777777777779"/>
                      <c:h val="0.33333333333333331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25"/>
                  <c:y val="-7.407407407407407E-2"/>
                </c:manualLayout>
              </c:layout>
              <c:tx>
                <c:rich>
                  <a:bodyPr/>
                  <a:lstStyle/>
                  <a:p>
                    <a:fld id="{CE56A59F-EA00-490E-A64B-2173314E9368}" type="CATEGORYNAME">
                      <a:rPr lang="ru-RU"/>
                      <a:pPr/>
                      <a:t>[CATEGORY NAME]</a:t>
                    </a:fld>
                    <a:r>
                      <a:rPr lang="ru-RU" baseline="0"/>
                      <a:t>
</a:t>
                    </a:r>
                    <a:fld id="{E3E1D1B6-CADB-42BB-ADA0-A4C90FF82A3E}" type="PERCENTAGE">
                      <a:rPr lang="ru-RU" baseline="0"/>
                      <a:pPr/>
                      <a:t>[PERCENTAGE]</a:t>
                    </a:fld>
                    <a:r>
                      <a:rPr lang="ru-RU" baseline="0"/>
                      <a:t>*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152777777777777"/>
                      <c:h val="0.3333333333333333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6.4296150481189848E-2"/>
                  <c:y val="6.32323563721201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594444444444446"/>
                      <c:h val="0.33333333333333331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Sheet1!$A$2:$A$6</c:f>
              <c:strCache>
                <c:ptCount val="5"/>
                <c:pt idx="0">
                  <c:v>Традиционная торговля</c:v>
                </c:pt>
                <c:pt idx="1">
                  <c:v>Сетевые объекты современных форматов</c:v>
                </c:pt>
                <c:pt idx="2">
                  <c:v>Сетевые объекты ТОП-7 сетей</c:v>
                </c:pt>
                <c:pt idx="3">
                  <c:v>Несетевые объекты современных форматов</c:v>
                </c:pt>
                <c:pt idx="4">
                  <c:v>Рынки</c:v>
                </c:pt>
              </c:strCache>
            </c:strRef>
          </c:cat>
          <c:val>
            <c:numRef>
              <c:f>Sheet1!$B$2:$B$6</c:f>
              <c:numCache>
                <c:formatCode>0.0%</c:formatCode>
                <c:ptCount val="5"/>
                <c:pt idx="0">
                  <c:v>0.28799999999999998</c:v>
                </c:pt>
                <c:pt idx="1">
                  <c:v>0.254</c:v>
                </c:pt>
                <c:pt idx="2">
                  <c:v>0.22600000000000001</c:v>
                </c:pt>
                <c:pt idx="3">
                  <c:v>0.16500000000000001</c:v>
                </c:pt>
                <c:pt idx="4">
                  <c:v>6.7000000000000004E-2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5.0925925925925923E-2"/>
          <c:w val="0.55833333333333335"/>
          <c:h val="0.8981481481481481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Sheet1!$G$2</c:f>
              <c:strCache>
                <c:ptCount val="1"/>
                <c:pt idx="0">
                  <c:v>О'Кей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31537817471392687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Sheet1!$H$2</c:f>
              <c:numCache>
                <c:formatCode>0.00%</c:formatCode>
                <c:ptCount val="1"/>
                <c:pt idx="0">
                  <c:v>1.2E-2</c:v>
                </c:pt>
              </c:numCache>
            </c:numRef>
          </c:val>
        </c:ser>
        <c:ser>
          <c:idx val="1"/>
          <c:order val="1"/>
          <c:tx>
            <c:strRef>
              <c:f>Sheet1!$G$3</c:f>
              <c:strCache>
                <c:ptCount val="1"/>
                <c:pt idx="0">
                  <c:v>Metro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31537817471392687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Sheet1!$H$3</c:f>
              <c:numCache>
                <c:formatCode>0.00%</c:formatCode>
                <c:ptCount val="1"/>
                <c:pt idx="0">
                  <c:v>1.6E-2</c:v>
                </c:pt>
              </c:numCache>
            </c:numRef>
          </c:val>
        </c:ser>
        <c:ser>
          <c:idx val="2"/>
          <c:order val="2"/>
          <c:tx>
            <c:strRef>
              <c:f>Sheet1!$G$4</c:f>
              <c:strCache>
                <c:ptCount val="1"/>
                <c:pt idx="0">
                  <c:v>Лента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31816913201228009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Sheet1!$H$4</c:f>
              <c:numCache>
                <c:formatCode>0.00%</c:formatCode>
                <c:ptCount val="1"/>
                <c:pt idx="0">
                  <c:v>1.9E-2</c:v>
                </c:pt>
              </c:numCache>
            </c:numRef>
          </c:val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Дикси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32933296120569355"/>
                  <c:y val="8.6244070720137983E-3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Sheet1!$H$5</c:f>
              <c:numCache>
                <c:formatCode>0.00%</c:formatCode>
                <c:ptCount val="1"/>
                <c:pt idx="0">
                  <c:v>2.1999999999999999E-2</c:v>
                </c:pt>
              </c:numCache>
            </c:numRef>
          </c:val>
        </c:ser>
        <c:ser>
          <c:idx val="4"/>
          <c:order val="4"/>
          <c:tx>
            <c:strRef>
              <c:f>Sheet1!$G$6</c:f>
              <c:strCache>
                <c:ptCount val="1"/>
                <c:pt idx="0">
                  <c:v>Auchan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28467764443204019"/>
                  <c:y val="-7.9056151563384177E-17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Sheet1!$H$6</c:f>
              <c:numCache>
                <c:formatCode>0.00%</c:formatCode>
                <c:ptCount val="1"/>
                <c:pt idx="0">
                  <c:v>2.7E-2</c:v>
                </c:pt>
              </c:numCache>
            </c:numRef>
          </c:val>
        </c:ser>
        <c:ser>
          <c:idx val="5"/>
          <c:order val="5"/>
          <c:tx>
            <c:strRef>
              <c:f>Sheet1!$G$7</c:f>
              <c:strCache>
                <c:ptCount val="1"/>
                <c:pt idx="0">
                  <c:v>X5 Retail Group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30142338822216019"/>
                  <c:y val="-7.9056151563384177E-17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Sheet1!$H$7</c:f>
              <c:numCache>
                <c:formatCode>0.00%</c:formatCode>
                <c:ptCount val="1"/>
                <c:pt idx="0">
                  <c:v>6.4000000000000001E-2</c:v>
                </c:pt>
              </c:numCache>
            </c:numRef>
          </c:val>
        </c:ser>
        <c:ser>
          <c:idx val="6"/>
          <c:order val="6"/>
          <c:tx>
            <c:strRef>
              <c:f>Sheet1!$G$8</c:f>
              <c:strCache>
                <c:ptCount val="1"/>
                <c:pt idx="0">
                  <c:v>Тандер (Магнит)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29863254080401547"/>
                  <c:y val="-4.3122035360069191E-3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40217694669269"/>
                      <c:h val="0.17652022151823518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Sheet1!$H$8</c:f>
              <c:numCache>
                <c:formatCode>0.00%</c:formatCode>
                <c:ptCount val="1"/>
                <c:pt idx="0">
                  <c:v>6.8000000000000005E-2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312501864"/>
        <c:axId val="312501472"/>
      </c:barChart>
      <c:catAx>
        <c:axId val="3125018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12501472"/>
        <c:crosses val="autoZero"/>
        <c:auto val="1"/>
        <c:lblAlgn val="ctr"/>
        <c:lblOffset val="100"/>
        <c:noMultiLvlLbl val="0"/>
      </c:catAx>
      <c:valAx>
        <c:axId val="31250147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312501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9345186470078058"/>
          <c:y val="6.234540215676708E-2"/>
          <c:w val="0.55367120019089511"/>
          <c:h val="0.7386732535065514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Стали покупать больше, чем 3 мес. назад</c:v>
                </c:pt>
              </c:strCache>
            </c:strRef>
          </c:tx>
          <c:spPr>
            <a:pattFill prst="dk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7.2420036210018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9514310494362534E-2"/>
                  <c:y val="6.6385033192516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009540329575022E-2"/>
                  <c:y val="7.2420036210018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7.8455039227519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1682567215958368E-3"/>
                  <c:y val="7.2420511407106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Sheet1!$B$2:$B$6</c:f>
              <c:strCache>
                <c:ptCount val="5"/>
                <c:pt idx="0">
                  <c:v>Дискаунтеры</c:v>
                </c:pt>
                <c:pt idx="1">
                  <c:v>Гипермаркеты</c:v>
                </c:pt>
                <c:pt idx="2">
                  <c:v>Кэш энд Керри</c:v>
                </c:pt>
                <c:pt idx="3">
                  <c:v>Супермаркеты</c:v>
                </c:pt>
                <c:pt idx="4">
                  <c:v>Магазин фиксированных цен</c:v>
                </c:pt>
              </c:strCache>
            </c:strRef>
          </c:cat>
          <c:val>
            <c:numRef>
              <c:f>Sheet1!$C$2:$C$6</c:f>
              <c:numCache>
                <c:formatCode>0</c:formatCode>
                <c:ptCount val="5"/>
                <c:pt idx="0">
                  <c:v>35</c:v>
                </c:pt>
                <c:pt idx="1">
                  <c:v>18</c:v>
                </c:pt>
                <c:pt idx="2">
                  <c:v>9</c:v>
                </c:pt>
                <c:pt idx="3">
                  <c:v>8</c:v>
                </c:pt>
                <c:pt idx="4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Покупают столько же, сколько 3 мес. назад</c:v>
                </c:pt>
              </c:strCache>
            </c:strRef>
          </c:tx>
          <c:spPr>
            <a:pattFill prst="solid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1.9514310494362693E-2"/>
                  <c:y val="8.4490517442109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187337380745799E-2"/>
                  <c:y val="6.6385508389604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009540329575022E-2"/>
                  <c:y val="7.2420511407106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6730268863833473E-3"/>
                  <c:y val="7.2420036210018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009540329574942E-2"/>
                  <c:y val="6.6385033192516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Sheet1!$B$2:$B$6</c:f>
              <c:strCache>
                <c:ptCount val="5"/>
                <c:pt idx="0">
                  <c:v>Дискаунтеры</c:v>
                </c:pt>
                <c:pt idx="1">
                  <c:v>Гипермаркеты</c:v>
                </c:pt>
                <c:pt idx="2">
                  <c:v>Кэш энд Керри</c:v>
                </c:pt>
                <c:pt idx="3">
                  <c:v>Супермаркеты</c:v>
                </c:pt>
                <c:pt idx="4">
                  <c:v>Магазин фиксированных цен</c:v>
                </c:pt>
              </c:strCache>
            </c:strRef>
          </c:cat>
          <c:val>
            <c:numRef>
              <c:f>Sheet1!$D$2:$D$6</c:f>
              <c:numCache>
                <c:formatCode>0</c:formatCode>
                <c:ptCount val="5"/>
                <c:pt idx="0">
                  <c:v>49</c:v>
                </c:pt>
                <c:pt idx="1">
                  <c:v>49</c:v>
                </c:pt>
                <c:pt idx="2">
                  <c:v>48</c:v>
                </c:pt>
                <c:pt idx="3" formatCode="General">
                  <c:v>48</c:v>
                </c:pt>
                <c:pt idx="4" formatCode="General">
                  <c:v>58</c:v>
                </c:pt>
              </c:numCache>
            </c:numRef>
          </c:val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Стали покупать меньше, чем 3 мес. назад</c:v>
                </c:pt>
              </c:strCache>
            </c:strRef>
          </c:tx>
          <c:spPr>
            <a:pattFill prst="lg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bg1"/>
              </a:solidFill>
            </a:ln>
          </c:spPr>
          <c:invertIfNegative val="0"/>
          <c:dLbls>
            <c:dLbl>
              <c:idx val="0"/>
              <c:layout>
                <c:manualLayout>
                  <c:x val="4.3365134431916736E-3"/>
                  <c:y val="8.449004224502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6730268863831894E-3"/>
                  <c:y val="7.2420036210018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6.6385033192516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346053772766695E-2"/>
                  <c:y val="8.4490992639197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5047701647875109E-3"/>
                  <c:y val="7.2420036210018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Sheet1!$B$2:$B$6</c:f>
              <c:strCache>
                <c:ptCount val="5"/>
                <c:pt idx="0">
                  <c:v>Дискаунтеры</c:v>
                </c:pt>
                <c:pt idx="1">
                  <c:v>Гипермаркеты</c:v>
                </c:pt>
                <c:pt idx="2">
                  <c:v>Кэш энд Керри</c:v>
                </c:pt>
                <c:pt idx="3">
                  <c:v>Супермаркеты</c:v>
                </c:pt>
                <c:pt idx="4">
                  <c:v>Магазин фиксированных цен</c:v>
                </c:pt>
              </c:strCache>
            </c:strRef>
          </c:cat>
          <c:val>
            <c:numRef>
              <c:f>Sheet1!$E$2:$E$6</c:f>
              <c:numCache>
                <c:formatCode>0</c:formatCode>
                <c:ptCount val="5"/>
                <c:pt idx="0">
                  <c:v>17</c:v>
                </c:pt>
                <c:pt idx="1">
                  <c:v>33</c:v>
                </c:pt>
                <c:pt idx="2">
                  <c:v>43</c:v>
                </c:pt>
                <c:pt idx="3">
                  <c:v>44</c:v>
                </c:pt>
                <c:pt idx="4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overlap val="100"/>
        <c:axId val="313197144"/>
        <c:axId val="313197536"/>
      </c:barChart>
      <c:catAx>
        <c:axId val="31319714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ln w="88900">
            <a:solidFill>
              <a:schemeClr val="tx2"/>
            </a:solidFill>
          </a:ln>
        </c:spPr>
        <c:crossAx val="313197536"/>
        <c:crosses val="autoZero"/>
        <c:auto val="1"/>
        <c:lblAlgn val="ctr"/>
        <c:lblOffset val="100"/>
        <c:noMultiLvlLbl val="0"/>
      </c:catAx>
      <c:valAx>
        <c:axId val="313197536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one"/>
        <c:crossAx val="3131971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2.5041145659047605E-2"/>
          <c:y val="0.81833711464033099"/>
          <c:w val="0.97148213151586749"/>
          <c:h val="0.15175514044449936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0.37656</cdr:x>
      <cdr:y>0.0164</cdr:y>
    </cdr:from>
    <cdr:to>
      <cdr:x>0.58884</cdr:x>
      <cdr:y>0.19374</cdr:y>
    </cdr:to>
    <cdr:sp macro="" textlink="">
      <cdr:nvSpPr>
        <cdr:cNvPr id="2" name="Oval 1"/>
        <cdr:cNvSpPr/>
      </cdr:nvSpPr>
      <cdr:spPr>
        <a:xfrm xmlns:a="http://schemas.openxmlformats.org/drawingml/2006/main">
          <a:off x="2205602" y="34506"/>
          <a:ext cx="1243375" cy="373199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>
            <a:solidFill>
              <a:schemeClr val="tx1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13</Pages>
  <Words>2802</Words>
  <Characters>15977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Popenkova, Daria</cp:lastModifiedBy>
  <cp:revision>23</cp:revision>
  <dcterms:created xsi:type="dcterms:W3CDTF">2016-08-25T12:33:00Z</dcterms:created>
  <dcterms:modified xsi:type="dcterms:W3CDTF">2016-10-14T10:08:00Z</dcterms:modified>
</cp:coreProperties>
</file>