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D7F063" w14:textId="38EDBC78" w:rsidR="00037D5F" w:rsidRPr="00152A20" w:rsidRDefault="0029475F">
      <w:pPr>
        <w:pStyle w:val="Heading1"/>
        <w:rPr>
          <w:lang w:val="en-GB"/>
        </w:rPr>
      </w:pPr>
      <w:bookmarkStart w:id="0" w:name="_gjdgxs" w:colFirst="0" w:colLast="0"/>
      <w:bookmarkEnd w:id="0"/>
      <w:r w:rsidRPr="0029475F">
        <w:rPr>
          <w:b/>
          <w:lang w:val="en-GB"/>
        </w:rPr>
        <w:t xml:space="preserve">Russia: The institutional landscape of Russian higher education </w:t>
      </w:r>
    </w:p>
    <w:p w14:paraId="702DD9F5" w14:textId="77777777" w:rsidR="00037D5F" w:rsidRPr="00152A20" w:rsidRDefault="008E5AA1">
      <w:pPr>
        <w:rPr>
          <w:lang w:val="en-GB"/>
        </w:rPr>
      </w:pPr>
      <w:proofErr w:type="spellStart"/>
      <w:r w:rsidRPr="00152A20">
        <w:rPr>
          <w:i/>
          <w:lang w:val="en-GB"/>
        </w:rPr>
        <w:t>Daria</w:t>
      </w:r>
      <w:proofErr w:type="spellEnd"/>
      <w:r w:rsidRPr="00152A20">
        <w:rPr>
          <w:i/>
          <w:lang w:val="en-GB"/>
        </w:rPr>
        <w:t xml:space="preserve"> </w:t>
      </w:r>
      <w:proofErr w:type="spellStart"/>
      <w:r w:rsidRPr="00152A20">
        <w:rPr>
          <w:i/>
          <w:lang w:val="en-GB"/>
        </w:rPr>
        <w:t>Platonova</w:t>
      </w:r>
      <w:proofErr w:type="spellEnd"/>
      <w:r w:rsidRPr="00152A20">
        <w:rPr>
          <w:i/>
          <w:lang w:val="en-GB"/>
        </w:rPr>
        <w:t xml:space="preserve">, Dmitry </w:t>
      </w:r>
      <w:proofErr w:type="spellStart"/>
      <w:r w:rsidRPr="00152A20">
        <w:rPr>
          <w:i/>
          <w:lang w:val="en-GB"/>
        </w:rPr>
        <w:t>Semyonov</w:t>
      </w:r>
      <w:proofErr w:type="spellEnd"/>
    </w:p>
    <w:p w14:paraId="2F521825" w14:textId="77777777" w:rsidR="00037D5F" w:rsidRPr="00152A20" w:rsidRDefault="008E5AA1">
      <w:pPr>
        <w:pStyle w:val="Heading1"/>
        <w:rPr>
          <w:lang w:val="en-GB"/>
        </w:rPr>
      </w:pPr>
      <w:bookmarkStart w:id="1" w:name="_1fob9te" w:colFirst="0" w:colLast="0"/>
      <w:bookmarkEnd w:id="1"/>
      <w:r w:rsidRPr="00152A20">
        <w:rPr>
          <w:lang w:val="en-GB"/>
        </w:rPr>
        <w:t>Introduction</w:t>
      </w:r>
    </w:p>
    <w:p w14:paraId="7B751ACE" w14:textId="06040133" w:rsidR="00037D5F" w:rsidRPr="00152A20" w:rsidRDefault="008E5AA1">
      <w:pPr>
        <w:rPr>
          <w:lang w:val="en-GB"/>
        </w:rPr>
      </w:pPr>
      <w:r w:rsidRPr="00152A20">
        <w:rPr>
          <w:lang w:val="en-GB"/>
        </w:rPr>
        <w:t xml:space="preserve">In this chapter we explore changes in the higher education institutional landscape, analysing the case of the largest post-Soviet higher education system. In the </w:t>
      </w:r>
      <w:r w:rsidR="00C50EBA">
        <w:rPr>
          <w:lang w:val="en-GB"/>
        </w:rPr>
        <w:t>p</w:t>
      </w:r>
      <w:r w:rsidRPr="00152A20">
        <w:rPr>
          <w:lang w:val="en-GB"/>
        </w:rPr>
        <w:t xml:space="preserve">ost-Soviet period, Russian higher education (HE) has </w:t>
      </w:r>
      <w:r w:rsidR="002A55A5" w:rsidRPr="00152A20">
        <w:rPr>
          <w:lang w:val="en-GB"/>
        </w:rPr>
        <w:t xml:space="preserve">expanded </w:t>
      </w:r>
      <w:r w:rsidRPr="00152A20">
        <w:rPr>
          <w:lang w:val="en-GB"/>
        </w:rPr>
        <w:t xml:space="preserve">tremendously. </w:t>
      </w:r>
      <w:r w:rsidR="002443F8">
        <w:rPr>
          <w:lang w:val="en-GB"/>
        </w:rPr>
        <w:t>D</w:t>
      </w:r>
      <w:r w:rsidRPr="00152A20">
        <w:rPr>
          <w:lang w:val="en-GB"/>
        </w:rPr>
        <w:t xml:space="preserve">ramatic growth </w:t>
      </w:r>
      <w:r w:rsidR="002A55A5">
        <w:rPr>
          <w:lang w:val="en-GB"/>
        </w:rPr>
        <w:t>in</w:t>
      </w:r>
      <w:r w:rsidRPr="00152A20">
        <w:rPr>
          <w:lang w:val="en-GB"/>
        </w:rPr>
        <w:t xml:space="preserve"> the number of students and institutions has been facilitated by the introduction of </w:t>
      </w:r>
      <w:r w:rsidR="00A93CC6" w:rsidRPr="00152A20">
        <w:rPr>
          <w:lang w:val="en-GB"/>
        </w:rPr>
        <w:t xml:space="preserve">additional </w:t>
      </w:r>
      <w:r w:rsidRPr="00152A20">
        <w:rPr>
          <w:lang w:val="en-GB"/>
        </w:rPr>
        <w:t>tuition</w:t>
      </w:r>
      <w:r w:rsidR="002A55A5">
        <w:rPr>
          <w:lang w:val="en-GB"/>
        </w:rPr>
        <w:t>-</w:t>
      </w:r>
      <w:r w:rsidR="00CB46B0" w:rsidRPr="00152A20">
        <w:rPr>
          <w:lang w:val="en-GB"/>
        </w:rPr>
        <w:t>paying</w:t>
      </w:r>
      <w:r w:rsidR="002A55A5">
        <w:rPr>
          <w:lang w:val="en-GB"/>
        </w:rPr>
        <w:t xml:space="preserve"> </w:t>
      </w:r>
      <w:r w:rsidR="00CB46B0" w:rsidRPr="00152A20">
        <w:rPr>
          <w:lang w:val="en-GB"/>
        </w:rPr>
        <w:t>track</w:t>
      </w:r>
      <w:r w:rsidR="002A55A5">
        <w:rPr>
          <w:lang w:val="en-GB"/>
        </w:rPr>
        <w:t>s</w:t>
      </w:r>
      <w:r w:rsidRPr="00152A20">
        <w:rPr>
          <w:lang w:val="en-GB"/>
        </w:rPr>
        <w:t xml:space="preserve"> in the public a</w:t>
      </w:r>
      <w:r w:rsidR="002A55A5">
        <w:rPr>
          <w:lang w:val="en-GB"/>
        </w:rPr>
        <w:t>s well as</w:t>
      </w:r>
      <w:r w:rsidRPr="00152A20">
        <w:rPr>
          <w:lang w:val="en-GB"/>
        </w:rPr>
        <w:t xml:space="preserve"> the new private higher education sector. </w:t>
      </w:r>
      <w:r w:rsidR="002443F8">
        <w:rPr>
          <w:lang w:val="en-GB"/>
        </w:rPr>
        <w:t>S</w:t>
      </w:r>
      <w:r w:rsidRPr="00152A20">
        <w:rPr>
          <w:lang w:val="en-GB"/>
        </w:rPr>
        <w:t xml:space="preserve">hifts in social and economic demand for professional fields </w:t>
      </w:r>
      <w:r w:rsidR="002443F8">
        <w:rPr>
          <w:lang w:val="en-GB"/>
        </w:rPr>
        <w:t xml:space="preserve">have </w:t>
      </w:r>
      <w:r w:rsidRPr="00152A20">
        <w:rPr>
          <w:lang w:val="en-GB"/>
        </w:rPr>
        <w:t>affected the disciplinary and organisational structure of higher educational institutions (HEIs).</w:t>
      </w:r>
    </w:p>
    <w:p w14:paraId="56924918" w14:textId="633313D2" w:rsidR="00037D5F" w:rsidRPr="00152A20" w:rsidRDefault="002443F8">
      <w:pPr>
        <w:rPr>
          <w:lang w:val="en-GB"/>
        </w:rPr>
      </w:pPr>
      <w:r>
        <w:rPr>
          <w:lang w:val="en-GB"/>
        </w:rPr>
        <w:t>E</w:t>
      </w:r>
      <w:r w:rsidR="008E5AA1" w:rsidRPr="00152A20">
        <w:rPr>
          <w:lang w:val="en-GB"/>
        </w:rPr>
        <w:t xml:space="preserve">xternal forces (economic, political and social conditions) and higher education policy have been changing during the last decades. In the first part of the transitional period, the state provided limited regulation for the higher education system, but in the 2000s it has regained its role </w:t>
      </w:r>
      <w:r>
        <w:rPr>
          <w:lang w:val="en-GB"/>
        </w:rPr>
        <w:t xml:space="preserve">as </w:t>
      </w:r>
      <w:r w:rsidR="008E5AA1" w:rsidRPr="00152A20">
        <w:rPr>
          <w:lang w:val="en-GB"/>
        </w:rPr>
        <w:t xml:space="preserve">the main agent of change in the design of the higher education system. The variety of institutional types that </w:t>
      </w:r>
      <w:r>
        <w:rPr>
          <w:lang w:val="en-GB"/>
        </w:rPr>
        <w:t xml:space="preserve">have </w:t>
      </w:r>
      <w:r w:rsidR="008E5AA1" w:rsidRPr="00152A20">
        <w:rPr>
          <w:lang w:val="en-GB"/>
        </w:rPr>
        <w:t xml:space="preserve">evolved in Russian higher education illustrates the consequences of </w:t>
      </w:r>
      <w:proofErr w:type="spellStart"/>
      <w:r w:rsidR="008E5AA1" w:rsidRPr="00152A20">
        <w:rPr>
          <w:lang w:val="en-GB"/>
        </w:rPr>
        <w:t>massification</w:t>
      </w:r>
      <w:proofErr w:type="spellEnd"/>
      <w:r w:rsidR="008E5AA1" w:rsidRPr="00152A20">
        <w:rPr>
          <w:lang w:val="en-GB"/>
        </w:rPr>
        <w:t xml:space="preserve"> and </w:t>
      </w:r>
      <w:proofErr w:type="spellStart"/>
      <w:r w:rsidR="008E5AA1" w:rsidRPr="00152A20">
        <w:rPr>
          <w:lang w:val="en-GB"/>
        </w:rPr>
        <w:t>marketi</w:t>
      </w:r>
      <w:r>
        <w:rPr>
          <w:lang w:val="en-GB"/>
        </w:rPr>
        <w:t>s</w:t>
      </w:r>
      <w:r w:rsidR="008E5AA1" w:rsidRPr="00152A20">
        <w:rPr>
          <w:lang w:val="en-GB"/>
        </w:rPr>
        <w:t>ation</w:t>
      </w:r>
      <w:proofErr w:type="spellEnd"/>
      <w:r w:rsidR="008E5AA1" w:rsidRPr="00152A20">
        <w:rPr>
          <w:lang w:val="en-GB"/>
        </w:rPr>
        <w:t xml:space="preserve">, such as a new “demand absorbing” segment of the higher education system and institutional programme drift. Also, the governmental role in shaping the landscape </w:t>
      </w:r>
      <w:r>
        <w:rPr>
          <w:lang w:val="en-GB"/>
        </w:rPr>
        <w:t>has been reflected in</w:t>
      </w:r>
      <w:r w:rsidR="008E5AA1" w:rsidRPr="00152A20">
        <w:rPr>
          <w:lang w:val="en-GB"/>
        </w:rPr>
        <w:t xml:space="preserve"> attempts to increase vertical diversity (e.g. the excellence initiative) on the one hand, and to restrain it by closing down lower-tier institutions on the other.</w:t>
      </w:r>
    </w:p>
    <w:p w14:paraId="450B0C17" w14:textId="3FC7F5A2" w:rsidR="00037D5F" w:rsidRPr="00152A20" w:rsidRDefault="008E5AA1">
      <w:pPr>
        <w:spacing w:before="200"/>
        <w:rPr>
          <w:lang w:val="en-GB"/>
        </w:rPr>
      </w:pPr>
      <w:r w:rsidRPr="00152A20">
        <w:rPr>
          <w:lang w:val="en-GB"/>
        </w:rPr>
        <w:t xml:space="preserve">The first part of the chapter presents a brief description of the HE landscape by the time of independence as the starting point of post-Soviet transformations. In the second part we will discuss the key socio-economic changes and major trends in higher education </w:t>
      </w:r>
      <w:r w:rsidR="002443F8">
        <w:rPr>
          <w:lang w:val="en-GB"/>
        </w:rPr>
        <w:t xml:space="preserve">including </w:t>
      </w:r>
      <w:proofErr w:type="spellStart"/>
      <w:r w:rsidRPr="00152A20">
        <w:rPr>
          <w:lang w:val="en-GB"/>
        </w:rPr>
        <w:t>massification</w:t>
      </w:r>
      <w:proofErr w:type="spellEnd"/>
      <w:r w:rsidRPr="00152A20">
        <w:rPr>
          <w:lang w:val="en-GB"/>
        </w:rPr>
        <w:t xml:space="preserve">, privatisation of costs and changes in the subject mix </w:t>
      </w:r>
      <w:r w:rsidR="002443F8">
        <w:rPr>
          <w:lang w:val="en-GB"/>
        </w:rPr>
        <w:t>at</w:t>
      </w:r>
      <w:r w:rsidRPr="00152A20">
        <w:rPr>
          <w:lang w:val="en-GB"/>
        </w:rPr>
        <w:t xml:space="preserve"> HEIs. The key HE policy changes that affected the institutional landscape since independence are discussed in the next part. In the final part we present the results of an analysis of the recent HE landscape. </w:t>
      </w:r>
    </w:p>
    <w:p w14:paraId="53DB972F" w14:textId="77777777" w:rsidR="00037D5F" w:rsidRPr="00152A20" w:rsidRDefault="008E5AA1">
      <w:pPr>
        <w:pStyle w:val="Heading1"/>
        <w:rPr>
          <w:lang w:val="en-GB"/>
        </w:rPr>
      </w:pPr>
      <w:r w:rsidRPr="00152A20">
        <w:rPr>
          <w:lang w:val="en-GB"/>
        </w:rPr>
        <w:lastRenderedPageBreak/>
        <w:t>The Higher Education Landscape in Soviet Russia</w:t>
      </w:r>
    </w:p>
    <w:p w14:paraId="2A43D532" w14:textId="01759D47" w:rsidR="00037D5F" w:rsidRPr="00152A20" w:rsidRDefault="008E5AA1">
      <w:pPr>
        <w:spacing w:before="200"/>
        <w:rPr>
          <w:lang w:val="en-GB"/>
        </w:rPr>
      </w:pPr>
      <w:r w:rsidRPr="00152A20">
        <w:rPr>
          <w:lang w:val="en-GB"/>
        </w:rPr>
        <w:t xml:space="preserve">In the last decades of the USSR, Russian higher education played a major role in the whole Soviet 'machinery'. The Russian Soviet Federative Socialist Republic (RSFSR) was a part of the </w:t>
      </w:r>
      <w:r w:rsidR="00B21CBA" w:rsidRPr="00152A20">
        <w:rPr>
          <w:lang w:val="en-GB"/>
        </w:rPr>
        <w:t>Soviet Union (</w:t>
      </w:r>
      <w:r w:rsidRPr="00152A20">
        <w:rPr>
          <w:lang w:val="en-GB"/>
        </w:rPr>
        <w:t>USSR</w:t>
      </w:r>
      <w:r w:rsidR="00B21CBA" w:rsidRPr="00152A20">
        <w:rPr>
          <w:lang w:val="en-GB"/>
        </w:rPr>
        <w:t>)</w:t>
      </w:r>
      <w:r w:rsidRPr="00152A20">
        <w:rPr>
          <w:lang w:val="en-GB"/>
        </w:rPr>
        <w:t xml:space="preserve">, and the Union spent about 39% of expenditure on higher education </w:t>
      </w:r>
      <w:r w:rsidR="002443F8">
        <w:rPr>
          <w:lang w:val="en-GB"/>
        </w:rPr>
        <w:t>i</w:t>
      </w:r>
      <w:r w:rsidRPr="00152A20">
        <w:rPr>
          <w:lang w:val="en-GB"/>
        </w:rPr>
        <w:t>n its largest republic. Th</w:t>
      </w:r>
      <w:r w:rsidR="002443F8">
        <w:rPr>
          <w:lang w:val="en-GB"/>
        </w:rPr>
        <w:t>is</w:t>
      </w:r>
      <w:r w:rsidRPr="00152A20">
        <w:rPr>
          <w:lang w:val="en-GB"/>
        </w:rPr>
        <w:t xml:space="preserve"> </w:t>
      </w:r>
      <w:r w:rsidR="002443F8" w:rsidRPr="00152A20">
        <w:rPr>
          <w:lang w:val="en-GB"/>
        </w:rPr>
        <w:t xml:space="preserve">higher education </w:t>
      </w:r>
      <w:r w:rsidRPr="00152A20">
        <w:rPr>
          <w:lang w:val="en-GB"/>
        </w:rPr>
        <w:t>expenditure</w:t>
      </w:r>
      <w:r w:rsidR="002443F8">
        <w:rPr>
          <w:lang w:val="en-GB"/>
        </w:rPr>
        <w:t xml:space="preserve"> represented </w:t>
      </w:r>
      <w:r w:rsidRPr="00152A20">
        <w:rPr>
          <w:lang w:val="en-GB"/>
        </w:rPr>
        <w:t xml:space="preserve">17% of all </w:t>
      </w:r>
      <w:r w:rsidR="002443F8" w:rsidRPr="00152A20">
        <w:rPr>
          <w:lang w:val="en-GB"/>
        </w:rPr>
        <w:t xml:space="preserve">education </w:t>
      </w:r>
      <w:r w:rsidRPr="00152A20">
        <w:rPr>
          <w:lang w:val="en-GB"/>
        </w:rPr>
        <w:t>expenditure in Soviet Russia</w:t>
      </w:r>
      <w:r w:rsidR="00B21CBA" w:rsidRPr="00152A20">
        <w:rPr>
          <w:lang w:val="en-GB"/>
        </w:rPr>
        <w:t xml:space="preserve"> (compared to 10% for the Soviet </w:t>
      </w:r>
      <w:r w:rsidR="00B21CBA" w:rsidRPr="0029475F">
        <w:rPr>
          <w:lang w:val="en-GB"/>
        </w:rPr>
        <w:t>Union</w:t>
      </w:r>
      <w:r w:rsidR="002443F8" w:rsidRPr="0029475F">
        <w:rPr>
          <w:shd w:val="clear" w:color="auto" w:fill="FFF5BF"/>
          <w:lang w:val="en-GB"/>
        </w:rPr>
        <w:t xml:space="preserve">, </w:t>
      </w:r>
      <w:r w:rsidR="00C50EBA" w:rsidRPr="0029475F">
        <w:rPr>
          <w:shd w:val="clear" w:color="auto" w:fill="FFF5BF"/>
          <w:lang w:val="en-GB"/>
        </w:rPr>
        <w:t>T</w:t>
      </w:r>
      <w:r w:rsidRPr="0029475F">
        <w:rPr>
          <w:shd w:val="clear" w:color="auto" w:fill="FFF5BF"/>
          <w:lang w:val="en-GB"/>
        </w:rPr>
        <w:t>able 1).</w:t>
      </w:r>
    </w:p>
    <w:p w14:paraId="0756A0F4" w14:textId="048F2AD9" w:rsidR="00037D5F" w:rsidRPr="00152A20" w:rsidRDefault="008E5AA1">
      <w:pPr>
        <w:spacing w:before="200"/>
        <w:rPr>
          <w:lang w:val="en-GB"/>
        </w:rPr>
      </w:pPr>
      <w:r w:rsidRPr="00152A20">
        <w:rPr>
          <w:lang w:val="en-GB"/>
        </w:rPr>
        <w:t>In contra</w:t>
      </w:r>
      <w:r w:rsidR="002443F8">
        <w:rPr>
          <w:lang w:val="en-GB"/>
        </w:rPr>
        <w:t>st</w:t>
      </w:r>
      <w:r w:rsidRPr="00152A20">
        <w:rPr>
          <w:lang w:val="en-GB"/>
        </w:rPr>
        <w:t xml:space="preserve"> to </w:t>
      </w:r>
      <w:r w:rsidR="002443F8" w:rsidRPr="00152A20">
        <w:rPr>
          <w:lang w:val="en-GB"/>
        </w:rPr>
        <w:t xml:space="preserve">higher education </w:t>
      </w:r>
      <w:r w:rsidRPr="00152A20">
        <w:rPr>
          <w:lang w:val="en-GB"/>
        </w:rPr>
        <w:t>trends in Western</w:t>
      </w:r>
      <w:r w:rsidR="00EF3FDE" w:rsidRPr="00152A20">
        <w:rPr>
          <w:lang w:val="en-GB"/>
        </w:rPr>
        <w:t xml:space="preserve"> Europe and North America</w:t>
      </w:r>
      <w:r w:rsidRPr="00152A20">
        <w:rPr>
          <w:lang w:val="en-GB"/>
        </w:rPr>
        <w:t xml:space="preserve">, during </w:t>
      </w:r>
      <w:r w:rsidR="00B21CBA" w:rsidRPr="00152A20">
        <w:rPr>
          <w:lang w:val="en-GB"/>
        </w:rPr>
        <w:t xml:space="preserve">the </w:t>
      </w:r>
      <w:r w:rsidRPr="00152A20">
        <w:rPr>
          <w:lang w:val="en-GB"/>
        </w:rPr>
        <w:t>last decade of Soviet Russia enrolment decreas</w:t>
      </w:r>
      <w:r w:rsidR="002443F8">
        <w:rPr>
          <w:lang w:val="en-GB"/>
        </w:rPr>
        <w:t>ed</w:t>
      </w:r>
      <w:r w:rsidRPr="00152A20">
        <w:rPr>
          <w:lang w:val="en-GB"/>
        </w:rPr>
        <w:t xml:space="preserve"> (</w:t>
      </w:r>
      <w:r w:rsidR="002443F8">
        <w:rPr>
          <w:lang w:val="en-GB"/>
        </w:rPr>
        <w:t xml:space="preserve">by </w:t>
      </w:r>
      <w:r w:rsidRPr="00152A20">
        <w:rPr>
          <w:lang w:val="en-GB"/>
        </w:rPr>
        <w:t>about 6% in 1980-1990). The number of students per 10</w:t>
      </w:r>
      <w:r w:rsidR="00B21CBA" w:rsidRPr="00152A20">
        <w:rPr>
          <w:lang w:val="en-GB"/>
        </w:rPr>
        <w:t>,000 inhabitants</w:t>
      </w:r>
      <w:r w:rsidRPr="00152A20">
        <w:rPr>
          <w:lang w:val="en-GB"/>
        </w:rPr>
        <w:t xml:space="preserve"> </w:t>
      </w:r>
      <w:r w:rsidR="002443F8">
        <w:rPr>
          <w:lang w:val="en-GB"/>
        </w:rPr>
        <w:t xml:space="preserve">also </w:t>
      </w:r>
      <w:r w:rsidRPr="00152A20">
        <w:rPr>
          <w:lang w:val="en-GB"/>
        </w:rPr>
        <w:t>dropped by 13</w:t>
      </w:r>
      <w:r w:rsidR="00C50EBA">
        <w:rPr>
          <w:lang w:val="en-GB"/>
        </w:rPr>
        <w:t>.</w:t>
      </w:r>
      <w:r w:rsidRPr="00152A20">
        <w:rPr>
          <w:lang w:val="en-GB"/>
        </w:rPr>
        <w:t>2% (</w:t>
      </w:r>
      <w:r w:rsidR="00DC444D" w:rsidRPr="00152A20">
        <w:rPr>
          <w:lang w:val="en-GB"/>
        </w:rPr>
        <w:t>Statistical Book on Higher Education</w:t>
      </w:r>
      <w:r w:rsidR="00CB46B0" w:rsidRPr="00152A20">
        <w:rPr>
          <w:lang w:val="en-GB"/>
        </w:rPr>
        <w:t xml:space="preserve"> </w:t>
      </w:r>
      <w:r w:rsidRPr="00152A20">
        <w:rPr>
          <w:lang w:val="en-GB"/>
        </w:rPr>
        <w:t xml:space="preserve">1992, 166). </w:t>
      </w:r>
    </w:p>
    <w:p w14:paraId="2169768D" w14:textId="0F38DD7A" w:rsidR="00037D5F" w:rsidRPr="00152A20" w:rsidRDefault="008E5AA1">
      <w:pPr>
        <w:spacing w:before="200"/>
        <w:rPr>
          <w:lang w:val="en-GB"/>
        </w:rPr>
      </w:pPr>
      <w:r w:rsidRPr="0029475F">
        <w:rPr>
          <w:i/>
          <w:shd w:val="clear" w:color="auto" w:fill="FFF5BF"/>
          <w:lang w:val="en-GB"/>
        </w:rPr>
        <w:t>Table 1</w:t>
      </w:r>
      <w:r w:rsidR="003378D8" w:rsidRPr="0029475F">
        <w:rPr>
          <w:i/>
          <w:shd w:val="clear" w:color="auto" w:fill="FFF5BF"/>
          <w:lang w:val="en-GB"/>
        </w:rPr>
        <w:t>.</w:t>
      </w:r>
      <w:r w:rsidRPr="0029475F">
        <w:rPr>
          <w:i/>
          <w:lang w:val="en-GB"/>
        </w:rPr>
        <w:t xml:space="preserve"> Expenditure</w:t>
      </w:r>
      <w:r w:rsidRPr="00152A20">
        <w:rPr>
          <w:i/>
          <w:lang w:val="en-GB"/>
        </w:rPr>
        <w:t xml:space="preserve"> on education (total and higher education) in the USSR and Russian SFSR in 198</w:t>
      </w:r>
      <w:r w:rsidR="002C0300">
        <w:rPr>
          <w:i/>
          <w:lang w:val="en-GB"/>
        </w:rPr>
        <w:t xml:space="preserve">1 and </w:t>
      </w:r>
      <w:r w:rsidRPr="00152A20">
        <w:rPr>
          <w:i/>
          <w:lang w:val="en-GB"/>
        </w:rPr>
        <w:t>1987</w:t>
      </w:r>
      <w:r w:rsidR="000F5960">
        <w:rPr>
          <w:i/>
          <w:lang w:val="en-GB"/>
        </w:rPr>
        <w:t xml:space="preserve"> (</w:t>
      </w:r>
      <w:r w:rsidR="00B21CBA" w:rsidRPr="00152A20">
        <w:rPr>
          <w:i/>
          <w:lang w:val="en-GB"/>
        </w:rPr>
        <w:t xml:space="preserve">in </w:t>
      </w:r>
      <w:r w:rsidRPr="00152A20">
        <w:rPr>
          <w:i/>
          <w:lang w:val="en-GB"/>
        </w:rPr>
        <w:t xml:space="preserve">billion </w:t>
      </w:r>
      <w:proofErr w:type="spellStart"/>
      <w:r w:rsidRPr="00152A20">
        <w:rPr>
          <w:i/>
          <w:lang w:val="en-GB"/>
        </w:rPr>
        <w:t>rubles</w:t>
      </w:r>
      <w:proofErr w:type="spellEnd"/>
      <w:r w:rsidRPr="00152A20">
        <w:rPr>
          <w:i/>
          <w:lang w:val="en-GB"/>
        </w:rPr>
        <w:t xml:space="preserve"> and %</w:t>
      </w:r>
      <w:r w:rsidR="000F5960">
        <w:rPr>
          <w:i/>
          <w:lang w:val="en-GB"/>
        </w:rPr>
        <w:t>)</w:t>
      </w:r>
    </w:p>
    <w:tbl>
      <w:tblPr>
        <w:tblStyle w:val="a"/>
        <w:tblW w:w="9570" w:type="dxa"/>
        <w:jc w:val="center"/>
        <w:tblLayout w:type="fixed"/>
        <w:tblLook w:val="0400" w:firstRow="0" w:lastRow="0" w:firstColumn="0" w:lastColumn="0" w:noHBand="0" w:noVBand="1"/>
      </w:tblPr>
      <w:tblGrid>
        <w:gridCol w:w="1185"/>
        <w:gridCol w:w="5970"/>
        <w:gridCol w:w="1215"/>
        <w:gridCol w:w="1200"/>
      </w:tblGrid>
      <w:tr w:rsidR="00037D5F" w:rsidRPr="00152A20" w14:paraId="0FF611F7" w14:textId="77777777">
        <w:trPr>
          <w:trHeight w:val="320"/>
          <w:jc w:val="center"/>
        </w:trPr>
        <w:tc>
          <w:tcPr>
            <w:tcW w:w="7155" w:type="dxa"/>
            <w:gridSpan w:val="2"/>
            <w:tcBorders>
              <w:top w:val="single" w:sz="4" w:space="0" w:color="000000"/>
              <w:left w:val="single" w:sz="4" w:space="0" w:color="000000"/>
              <w:bottom w:val="single" w:sz="4" w:space="0" w:color="000000"/>
              <w:right w:val="single" w:sz="4" w:space="0" w:color="000000"/>
            </w:tcBorders>
            <w:vAlign w:val="center"/>
          </w:tcPr>
          <w:p w14:paraId="65F5C4C1" w14:textId="77777777" w:rsidR="00037D5F" w:rsidRPr="00152A20" w:rsidRDefault="00B21CBA">
            <w:pPr>
              <w:spacing w:after="0" w:line="240" w:lineRule="auto"/>
              <w:contextualSpacing w:val="0"/>
              <w:jc w:val="center"/>
              <w:rPr>
                <w:lang w:val="en-GB"/>
              </w:rPr>
            </w:pPr>
            <w:r w:rsidRPr="00152A20">
              <w:rPr>
                <w:lang w:val="en-GB"/>
              </w:rPr>
              <w:t>Y</w:t>
            </w:r>
            <w:r w:rsidR="008E5AA1" w:rsidRPr="00152A20">
              <w:rPr>
                <w:lang w:val="en-GB"/>
              </w:rPr>
              <w:t>ear</w:t>
            </w:r>
          </w:p>
        </w:tc>
        <w:tc>
          <w:tcPr>
            <w:tcW w:w="1215" w:type="dxa"/>
            <w:tcBorders>
              <w:top w:val="single" w:sz="4" w:space="0" w:color="000000"/>
              <w:left w:val="nil"/>
              <w:bottom w:val="single" w:sz="4" w:space="0" w:color="000000"/>
              <w:right w:val="single" w:sz="4" w:space="0" w:color="000000"/>
            </w:tcBorders>
            <w:vAlign w:val="center"/>
          </w:tcPr>
          <w:p w14:paraId="208A0F89" w14:textId="77777777" w:rsidR="00037D5F" w:rsidRPr="00152A20" w:rsidRDefault="008E5AA1">
            <w:pPr>
              <w:spacing w:after="0" w:line="240" w:lineRule="auto"/>
              <w:contextualSpacing w:val="0"/>
              <w:jc w:val="center"/>
              <w:rPr>
                <w:lang w:val="en-GB"/>
              </w:rPr>
            </w:pPr>
            <w:r w:rsidRPr="00152A20">
              <w:rPr>
                <w:b/>
                <w:lang w:val="en-GB"/>
              </w:rPr>
              <w:t>1981/82</w:t>
            </w:r>
          </w:p>
        </w:tc>
        <w:tc>
          <w:tcPr>
            <w:tcW w:w="1200" w:type="dxa"/>
            <w:tcBorders>
              <w:top w:val="single" w:sz="4" w:space="0" w:color="000000"/>
              <w:left w:val="nil"/>
              <w:bottom w:val="single" w:sz="4" w:space="0" w:color="000000"/>
              <w:right w:val="single" w:sz="4" w:space="0" w:color="000000"/>
            </w:tcBorders>
            <w:vAlign w:val="center"/>
          </w:tcPr>
          <w:p w14:paraId="6B82B210" w14:textId="77777777" w:rsidR="00037D5F" w:rsidRPr="00152A20" w:rsidRDefault="008E5AA1">
            <w:pPr>
              <w:spacing w:after="0" w:line="240" w:lineRule="auto"/>
              <w:contextualSpacing w:val="0"/>
              <w:jc w:val="center"/>
              <w:rPr>
                <w:lang w:val="en-GB"/>
              </w:rPr>
            </w:pPr>
            <w:r w:rsidRPr="00152A20">
              <w:rPr>
                <w:b/>
                <w:lang w:val="en-GB"/>
              </w:rPr>
              <w:t>1987/88</w:t>
            </w:r>
          </w:p>
        </w:tc>
      </w:tr>
      <w:tr w:rsidR="00037D5F" w:rsidRPr="00152A20" w14:paraId="1FA75BA6" w14:textId="77777777">
        <w:trPr>
          <w:trHeight w:val="360"/>
          <w:jc w:val="center"/>
        </w:trPr>
        <w:tc>
          <w:tcPr>
            <w:tcW w:w="1185" w:type="dxa"/>
            <w:vMerge w:val="restart"/>
            <w:tcBorders>
              <w:top w:val="nil"/>
              <w:left w:val="single" w:sz="4" w:space="0" w:color="000000"/>
              <w:bottom w:val="single" w:sz="4" w:space="0" w:color="000000"/>
              <w:right w:val="single" w:sz="4" w:space="0" w:color="000000"/>
            </w:tcBorders>
            <w:vAlign w:val="center"/>
          </w:tcPr>
          <w:p w14:paraId="6E1BF7D6" w14:textId="60325B24" w:rsidR="00037D5F" w:rsidRPr="00152A20" w:rsidRDefault="008E5AA1">
            <w:pPr>
              <w:spacing w:after="0" w:line="240" w:lineRule="auto"/>
              <w:contextualSpacing w:val="0"/>
              <w:jc w:val="center"/>
              <w:rPr>
                <w:lang w:val="en-GB"/>
              </w:rPr>
            </w:pPr>
            <w:r w:rsidRPr="00152A20">
              <w:rPr>
                <w:b/>
                <w:i/>
                <w:sz w:val="22"/>
                <w:szCs w:val="22"/>
                <w:lang w:val="en-GB"/>
              </w:rPr>
              <w:t>USSR</w:t>
            </w:r>
          </w:p>
        </w:tc>
        <w:tc>
          <w:tcPr>
            <w:tcW w:w="5970" w:type="dxa"/>
            <w:tcBorders>
              <w:top w:val="nil"/>
              <w:left w:val="nil"/>
              <w:bottom w:val="single" w:sz="4" w:space="0" w:color="000000"/>
              <w:right w:val="single" w:sz="4" w:space="0" w:color="000000"/>
            </w:tcBorders>
            <w:vAlign w:val="center"/>
          </w:tcPr>
          <w:p w14:paraId="41FFB50B" w14:textId="77777777" w:rsidR="00037D5F" w:rsidRPr="00152A20" w:rsidRDefault="008E5AA1">
            <w:pPr>
              <w:spacing w:after="0" w:line="240" w:lineRule="auto"/>
              <w:contextualSpacing w:val="0"/>
              <w:jc w:val="left"/>
              <w:rPr>
                <w:lang w:val="en-GB"/>
              </w:rPr>
            </w:pPr>
            <w:r w:rsidRPr="00152A20">
              <w:rPr>
                <w:lang w:val="en-GB"/>
              </w:rPr>
              <w:t xml:space="preserve">expenditure on education (total), billion </w:t>
            </w:r>
            <w:proofErr w:type="spellStart"/>
            <w:r w:rsidRPr="00152A20">
              <w:rPr>
                <w:lang w:val="en-GB"/>
              </w:rPr>
              <w:t>rubles</w:t>
            </w:r>
            <w:proofErr w:type="spellEnd"/>
          </w:p>
        </w:tc>
        <w:tc>
          <w:tcPr>
            <w:tcW w:w="1215" w:type="dxa"/>
            <w:tcBorders>
              <w:top w:val="nil"/>
              <w:left w:val="nil"/>
              <w:bottom w:val="single" w:sz="4" w:space="0" w:color="000000"/>
              <w:right w:val="single" w:sz="4" w:space="0" w:color="000000"/>
            </w:tcBorders>
            <w:vAlign w:val="center"/>
          </w:tcPr>
          <w:p w14:paraId="09D13AD8" w14:textId="77777777" w:rsidR="00037D5F" w:rsidRPr="00152A20" w:rsidRDefault="008E5AA1">
            <w:pPr>
              <w:spacing w:after="0" w:line="240" w:lineRule="auto"/>
              <w:contextualSpacing w:val="0"/>
              <w:jc w:val="center"/>
              <w:rPr>
                <w:lang w:val="en-GB"/>
              </w:rPr>
            </w:pPr>
            <w:r w:rsidRPr="00152A20">
              <w:rPr>
                <w:lang w:val="en-GB"/>
              </w:rPr>
              <w:t>31.9</w:t>
            </w:r>
          </w:p>
        </w:tc>
        <w:tc>
          <w:tcPr>
            <w:tcW w:w="1200" w:type="dxa"/>
            <w:tcBorders>
              <w:top w:val="nil"/>
              <w:left w:val="nil"/>
              <w:bottom w:val="single" w:sz="4" w:space="0" w:color="000000"/>
              <w:right w:val="single" w:sz="4" w:space="0" w:color="000000"/>
            </w:tcBorders>
            <w:vAlign w:val="center"/>
          </w:tcPr>
          <w:p w14:paraId="3ACB2DC3" w14:textId="77777777" w:rsidR="00037D5F" w:rsidRPr="00152A20" w:rsidRDefault="008E5AA1">
            <w:pPr>
              <w:spacing w:after="0" w:line="240" w:lineRule="auto"/>
              <w:contextualSpacing w:val="0"/>
              <w:jc w:val="center"/>
              <w:rPr>
                <w:lang w:val="en-GB"/>
              </w:rPr>
            </w:pPr>
            <w:r w:rsidRPr="00152A20">
              <w:rPr>
                <w:lang w:val="en-GB"/>
              </w:rPr>
              <w:t>42.5</w:t>
            </w:r>
          </w:p>
        </w:tc>
      </w:tr>
      <w:tr w:rsidR="00037D5F" w:rsidRPr="00152A20" w14:paraId="657CE900" w14:textId="77777777">
        <w:trPr>
          <w:trHeight w:val="380"/>
          <w:jc w:val="center"/>
        </w:trPr>
        <w:tc>
          <w:tcPr>
            <w:tcW w:w="1185" w:type="dxa"/>
            <w:vMerge/>
            <w:tcBorders>
              <w:top w:val="nil"/>
              <w:left w:val="single" w:sz="4" w:space="0" w:color="000000"/>
              <w:bottom w:val="single" w:sz="4" w:space="0" w:color="000000"/>
              <w:right w:val="single" w:sz="4" w:space="0" w:color="000000"/>
            </w:tcBorders>
            <w:vAlign w:val="center"/>
          </w:tcPr>
          <w:p w14:paraId="72739F8E" w14:textId="77777777" w:rsidR="00037D5F" w:rsidRPr="00152A20" w:rsidRDefault="00037D5F">
            <w:pPr>
              <w:spacing w:after="0" w:line="240" w:lineRule="auto"/>
              <w:contextualSpacing w:val="0"/>
              <w:jc w:val="center"/>
              <w:rPr>
                <w:lang w:val="en-GB"/>
              </w:rPr>
            </w:pPr>
          </w:p>
        </w:tc>
        <w:tc>
          <w:tcPr>
            <w:tcW w:w="5970" w:type="dxa"/>
            <w:tcBorders>
              <w:top w:val="nil"/>
              <w:left w:val="nil"/>
              <w:bottom w:val="single" w:sz="4" w:space="0" w:color="000000"/>
              <w:right w:val="single" w:sz="4" w:space="0" w:color="000000"/>
            </w:tcBorders>
            <w:vAlign w:val="center"/>
          </w:tcPr>
          <w:p w14:paraId="58BD09E3" w14:textId="77777777" w:rsidR="00037D5F" w:rsidRPr="00152A20" w:rsidRDefault="008E5AA1">
            <w:pPr>
              <w:spacing w:after="0" w:line="240" w:lineRule="auto"/>
              <w:contextualSpacing w:val="0"/>
              <w:jc w:val="left"/>
              <w:rPr>
                <w:lang w:val="en-GB"/>
              </w:rPr>
            </w:pPr>
            <w:r w:rsidRPr="00152A20">
              <w:rPr>
                <w:lang w:val="en-GB"/>
              </w:rPr>
              <w:t xml:space="preserve">expenditure on higher education, billion </w:t>
            </w:r>
            <w:proofErr w:type="spellStart"/>
            <w:r w:rsidRPr="00152A20">
              <w:rPr>
                <w:lang w:val="en-GB"/>
              </w:rPr>
              <w:t>rubles</w:t>
            </w:r>
            <w:proofErr w:type="spellEnd"/>
          </w:p>
        </w:tc>
        <w:tc>
          <w:tcPr>
            <w:tcW w:w="1215" w:type="dxa"/>
            <w:tcBorders>
              <w:top w:val="nil"/>
              <w:left w:val="nil"/>
              <w:bottom w:val="single" w:sz="4" w:space="0" w:color="000000"/>
              <w:right w:val="single" w:sz="4" w:space="0" w:color="000000"/>
            </w:tcBorders>
            <w:vAlign w:val="center"/>
          </w:tcPr>
          <w:p w14:paraId="67313AAE" w14:textId="06DF6BE4" w:rsidR="00037D5F" w:rsidRPr="00152A20" w:rsidRDefault="008E5AA1">
            <w:pPr>
              <w:spacing w:after="0" w:line="240" w:lineRule="auto"/>
              <w:contextualSpacing w:val="0"/>
              <w:jc w:val="center"/>
              <w:rPr>
                <w:lang w:val="en-GB"/>
              </w:rPr>
            </w:pPr>
            <w:r w:rsidRPr="00152A20">
              <w:rPr>
                <w:lang w:val="en-GB"/>
              </w:rPr>
              <w:t>3</w:t>
            </w:r>
            <w:r w:rsidR="00C50EBA">
              <w:rPr>
                <w:lang w:val="en-GB"/>
              </w:rPr>
              <w:t>.</w:t>
            </w:r>
            <w:r w:rsidRPr="00152A20">
              <w:rPr>
                <w:lang w:val="en-GB"/>
              </w:rPr>
              <w:t>86</w:t>
            </w:r>
          </w:p>
        </w:tc>
        <w:tc>
          <w:tcPr>
            <w:tcW w:w="1200" w:type="dxa"/>
            <w:tcBorders>
              <w:top w:val="nil"/>
              <w:left w:val="nil"/>
              <w:bottom w:val="single" w:sz="4" w:space="0" w:color="000000"/>
              <w:right w:val="single" w:sz="4" w:space="0" w:color="000000"/>
            </w:tcBorders>
            <w:vAlign w:val="center"/>
          </w:tcPr>
          <w:p w14:paraId="66A510A8" w14:textId="443ACE50" w:rsidR="00037D5F" w:rsidRPr="00152A20" w:rsidRDefault="008E5AA1">
            <w:pPr>
              <w:spacing w:after="0" w:line="240" w:lineRule="auto"/>
              <w:contextualSpacing w:val="0"/>
              <w:jc w:val="center"/>
              <w:rPr>
                <w:lang w:val="en-GB"/>
              </w:rPr>
            </w:pPr>
            <w:r w:rsidRPr="00152A20">
              <w:rPr>
                <w:lang w:val="en-GB"/>
              </w:rPr>
              <w:t>4</w:t>
            </w:r>
            <w:r w:rsidR="00C50EBA">
              <w:rPr>
                <w:lang w:val="en-GB"/>
              </w:rPr>
              <w:t>.</w:t>
            </w:r>
            <w:r w:rsidRPr="00152A20">
              <w:rPr>
                <w:lang w:val="en-GB"/>
              </w:rPr>
              <w:t>17</w:t>
            </w:r>
          </w:p>
        </w:tc>
      </w:tr>
      <w:tr w:rsidR="00037D5F" w:rsidRPr="00152A20" w14:paraId="1AF7E4D1" w14:textId="77777777">
        <w:trPr>
          <w:trHeight w:val="560"/>
          <w:jc w:val="center"/>
        </w:trPr>
        <w:tc>
          <w:tcPr>
            <w:tcW w:w="1185" w:type="dxa"/>
            <w:vMerge/>
            <w:tcBorders>
              <w:top w:val="nil"/>
              <w:left w:val="single" w:sz="4" w:space="0" w:color="000000"/>
              <w:bottom w:val="single" w:sz="4" w:space="0" w:color="000000"/>
              <w:right w:val="single" w:sz="4" w:space="0" w:color="000000"/>
            </w:tcBorders>
            <w:vAlign w:val="center"/>
          </w:tcPr>
          <w:p w14:paraId="04039B64" w14:textId="77777777" w:rsidR="00037D5F" w:rsidRPr="00152A20" w:rsidRDefault="00037D5F">
            <w:pPr>
              <w:spacing w:after="0" w:line="240" w:lineRule="auto"/>
              <w:contextualSpacing w:val="0"/>
              <w:jc w:val="center"/>
              <w:rPr>
                <w:lang w:val="en-GB"/>
              </w:rPr>
            </w:pPr>
          </w:p>
        </w:tc>
        <w:tc>
          <w:tcPr>
            <w:tcW w:w="5970" w:type="dxa"/>
            <w:tcBorders>
              <w:top w:val="nil"/>
              <w:left w:val="nil"/>
              <w:bottom w:val="single" w:sz="4" w:space="0" w:color="000000"/>
              <w:right w:val="single" w:sz="4" w:space="0" w:color="000000"/>
            </w:tcBorders>
            <w:shd w:val="clear" w:color="auto" w:fill="F2F2F2"/>
            <w:vAlign w:val="center"/>
          </w:tcPr>
          <w:p w14:paraId="196CFE82" w14:textId="77777777" w:rsidR="00037D5F" w:rsidRPr="00152A20" w:rsidRDefault="008E5AA1">
            <w:pPr>
              <w:spacing w:after="0" w:line="240" w:lineRule="auto"/>
              <w:contextualSpacing w:val="0"/>
              <w:jc w:val="left"/>
              <w:rPr>
                <w:lang w:val="en-GB"/>
              </w:rPr>
            </w:pPr>
            <w:r w:rsidRPr="00152A20">
              <w:rPr>
                <w:lang w:val="en-GB"/>
              </w:rPr>
              <w:t>% of expenditure on higher education in all expenditure on education</w:t>
            </w:r>
          </w:p>
        </w:tc>
        <w:tc>
          <w:tcPr>
            <w:tcW w:w="1215" w:type="dxa"/>
            <w:tcBorders>
              <w:top w:val="nil"/>
              <w:left w:val="nil"/>
              <w:bottom w:val="single" w:sz="4" w:space="0" w:color="000000"/>
              <w:right w:val="single" w:sz="4" w:space="0" w:color="000000"/>
            </w:tcBorders>
            <w:shd w:val="clear" w:color="auto" w:fill="F2F2F2"/>
            <w:vAlign w:val="center"/>
          </w:tcPr>
          <w:p w14:paraId="056C7707" w14:textId="77777777" w:rsidR="00037D5F" w:rsidRPr="00152A20" w:rsidRDefault="008E5AA1">
            <w:pPr>
              <w:spacing w:after="0" w:line="240" w:lineRule="auto"/>
              <w:contextualSpacing w:val="0"/>
              <w:jc w:val="center"/>
              <w:rPr>
                <w:lang w:val="en-GB"/>
              </w:rPr>
            </w:pPr>
            <w:r w:rsidRPr="00152A20">
              <w:rPr>
                <w:lang w:val="en-GB"/>
              </w:rPr>
              <w:t>12%</w:t>
            </w:r>
          </w:p>
        </w:tc>
        <w:tc>
          <w:tcPr>
            <w:tcW w:w="1200" w:type="dxa"/>
            <w:tcBorders>
              <w:top w:val="nil"/>
              <w:left w:val="nil"/>
              <w:bottom w:val="single" w:sz="4" w:space="0" w:color="000000"/>
              <w:right w:val="single" w:sz="4" w:space="0" w:color="000000"/>
            </w:tcBorders>
            <w:shd w:val="clear" w:color="auto" w:fill="F2F2F2"/>
            <w:vAlign w:val="center"/>
          </w:tcPr>
          <w:p w14:paraId="2D1F0B0E" w14:textId="77777777" w:rsidR="00037D5F" w:rsidRPr="00152A20" w:rsidRDefault="008E5AA1">
            <w:pPr>
              <w:spacing w:after="0" w:line="240" w:lineRule="auto"/>
              <w:contextualSpacing w:val="0"/>
              <w:jc w:val="center"/>
              <w:rPr>
                <w:lang w:val="en-GB"/>
              </w:rPr>
            </w:pPr>
            <w:r w:rsidRPr="00152A20">
              <w:rPr>
                <w:lang w:val="en-GB"/>
              </w:rPr>
              <w:t>10%</w:t>
            </w:r>
          </w:p>
        </w:tc>
      </w:tr>
      <w:tr w:rsidR="00037D5F" w:rsidRPr="00152A20" w14:paraId="08BF3CCB" w14:textId="77777777">
        <w:trPr>
          <w:trHeight w:val="420"/>
          <w:jc w:val="center"/>
        </w:trPr>
        <w:tc>
          <w:tcPr>
            <w:tcW w:w="1185" w:type="dxa"/>
            <w:vMerge w:val="restart"/>
            <w:tcBorders>
              <w:top w:val="nil"/>
              <w:left w:val="single" w:sz="4" w:space="0" w:color="000000"/>
              <w:bottom w:val="single" w:sz="4" w:space="0" w:color="000000"/>
              <w:right w:val="single" w:sz="4" w:space="0" w:color="000000"/>
            </w:tcBorders>
            <w:vAlign w:val="center"/>
          </w:tcPr>
          <w:p w14:paraId="3311D967" w14:textId="77777777" w:rsidR="00037D5F" w:rsidRPr="00152A20" w:rsidRDefault="008E5AA1">
            <w:pPr>
              <w:spacing w:after="0" w:line="240" w:lineRule="auto"/>
              <w:contextualSpacing w:val="0"/>
              <w:jc w:val="center"/>
              <w:rPr>
                <w:lang w:val="en-GB"/>
              </w:rPr>
            </w:pPr>
            <w:r w:rsidRPr="00152A20">
              <w:rPr>
                <w:b/>
                <w:i/>
                <w:sz w:val="22"/>
                <w:szCs w:val="22"/>
                <w:lang w:val="en-GB"/>
              </w:rPr>
              <w:t>Russian SFSR</w:t>
            </w:r>
          </w:p>
        </w:tc>
        <w:tc>
          <w:tcPr>
            <w:tcW w:w="5970" w:type="dxa"/>
            <w:tcBorders>
              <w:top w:val="nil"/>
              <w:left w:val="nil"/>
              <w:bottom w:val="single" w:sz="4" w:space="0" w:color="000000"/>
              <w:right w:val="single" w:sz="4" w:space="0" w:color="000000"/>
            </w:tcBorders>
            <w:vAlign w:val="center"/>
          </w:tcPr>
          <w:p w14:paraId="4ECE1617" w14:textId="1F09ADA7" w:rsidR="00037D5F" w:rsidRPr="00152A20" w:rsidRDefault="008E5AA1">
            <w:pPr>
              <w:spacing w:after="0" w:line="240" w:lineRule="auto"/>
              <w:contextualSpacing w:val="0"/>
              <w:jc w:val="left"/>
              <w:rPr>
                <w:lang w:val="en-GB"/>
              </w:rPr>
            </w:pPr>
            <w:r w:rsidRPr="00152A20">
              <w:rPr>
                <w:lang w:val="en-GB"/>
              </w:rPr>
              <w:t xml:space="preserve">expenditure on education (total), billion </w:t>
            </w:r>
            <w:proofErr w:type="spellStart"/>
            <w:r w:rsidRPr="00152A20">
              <w:rPr>
                <w:lang w:val="en-GB"/>
              </w:rPr>
              <w:t>rubles</w:t>
            </w:r>
            <w:proofErr w:type="spellEnd"/>
          </w:p>
        </w:tc>
        <w:tc>
          <w:tcPr>
            <w:tcW w:w="1215" w:type="dxa"/>
            <w:tcBorders>
              <w:top w:val="nil"/>
              <w:left w:val="nil"/>
              <w:bottom w:val="single" w:sz="4" w:space="0" w:color="000000"/>
              <w:right w:val="single" w:sz="4" w:space="0" w:color="000000"/>
            </w:tcBorders>
            <w:vAlign w:val="center"/>
          </w:tcPr>
          <w:p w14:paraId="533249BE" w14:textId="5157AA4C" w:rsidR="00037D5F" w:rsidRPr="00152A20" w:rsidRDefault="008E5AA1">
            <w:pPr>
              <w:spacing w:after="0" w:line="240" w:lineRule="auto"/>
              <w:contextualSpacing w:val="0"/>
              <w:jc w:val="center"/>
              <w:rPr>
                <w:lang w:val="en-GB"/>
              </w:rPr>
            </w:pPr>
            <w:r w:rsidRPr="00152A20">
              <w:rPr>
                <w:lang w:val="en-GB"/>
              </w:rPr>
              <w:t>7</w:t>
            </w:r>
            <w:r w:rsidR="00C50EBA">
              <w:rPr>
                <w:lang w:val="en-GB"/>
              </w:rPr>
              <w:t>.</w:t>
            </w:r>
            <w:r w:rsidRPr="00152A20">
              <w:rPr>
                <w:lang w:val="en-GB"/>
              </w:rPr>
              <w:t>2</w:t>
            </w:r>
          </w:p>
        </w:tc>
        <w:tc>
          <w:tcPr>
            <w:tcW w:w="1200" w:type="dxa"/>
            <w:tcBorders>
              <w:top w:val="nil"/>
              <w:left w:val="nil"/>
              <w:bottom w:val="single" w:sz="4" w:space="0" w:color="000000"/>
              <w:right w:val="single" w:sz="4" w:space="0" w:color="000000"/>
            </w:tcBorders>
            <w:vAlign w:val="center"/>
          </w:tcPr>
          <w:p w14:paraId="4B43F29D" w14:textId="2B2CFC27" w:rsidR="00037D5F" w:rsidRPr="00152A20" w:rsidRDefault="008E5AA1">
            <w:pPr>
              <w:spacing w:after="0" w:line="240" w:lineRule="auto"/>
              <w:contextualSpacing w:val="0"/>
              <w:jc w:val="center"/>
              <w:rPr>
                <w:lang w:val="en-GB"/>
              </w:rPr>
            </w:pPr>
            <w:r w:rsidRPr="00152A20">
              <w:rPr>
                <w:lang w:val="en-GB"/>
              </w:rPr>
              <w:t>9</w:t>
            </w:r>
            <w:r w:rsidR="00E226B7">
              <w:rPr>
                <w:lang w:val="en-GB"/>
              </w:rPr>
              <w:t>.</w:t>
            </w:r>
            <w:r w:rsidRPr="00152A20">
              <w:rPr>
                <w:lang w:val="en-GB"/>
              </w:rPr>
              <w:t>9</w:t>
            </w:r>
          </w:p>
        </w:tc>
      </w:tr>
      <w:tr w:rsidR="00037D5F" w:rsidRPr="00152A20" w14:paraId="0A97A3F9" w14:textId="77777777">
        <w:trPr>
          <w:trHeight w:val="400"/>
          <w:jc w:val="center"/>
        </w:trPr>
        <w:tc>
          <w:tcPr>
            <w:tcW w:w="1185" w:type="dxa"/>
            <w:vMerge/>
            <w:tcBorders>
              <w:top w:val="nil"/>
              <w:left w:val="single" w:sz="4" w:space="0" w:color="000000"/>
              <w:bottom w:val="single" w:sz="4" w:space="0" w:color="000000"/>
              <w:right w:val="single" w:sz="4" w:space="0" w:color="000000"/>
            </w:tcBorders>
            <w:vAlign w:val="center"/>
          </w:tcPr>
          <w:p w14:paraId="2B8BDD5D" w14:textId="77777777" w:rsidR="00037D5F" w:rsidRPr="00152A20" w:rsidRDefault="00037D5F">
            <w:pPr>
              <w:spacing w:after="0" w:line="240" w:lineRule="auto"/>
              <w:contextualSpacing w:val="0"/>
              <w:jc w:val="center"/>
              <w:rPr>
                <w:lang w:val="en-GB"/>
              </w:rPr>
            </w:pPr>
          </w:p>
        </w:tc>
        <w:tc>
          <w:tcPr>
            <w:tcW w:w="5970" w:type="dxa"/>
            <w:tcBorders>
              <w:top w:val="nil"/>
              <w:left w:val="nil"/>
              <w:bottom w:val="single" w:sz="4" w:space="0" w:color="000000"/>
              <w:right w:val="single" w:sz="4" w:space="0" w:color="000000"/>
            </w:tcBorders>
            <w:vAlign w:val="center"/>
          </w:tcPr>
          <w:p w14:paraId="2FB7F34E" w14:textId="77777777" w:rsidR="00037D5F" w:rsidRPr="00152A20" w:rsidRDefault="008E5AA1">
            <w:pPr>
              <w:spacing w:after="0" w:line="240" w:lineRule="auto"/>
              <w:contextualSpacing w:val="0"/>
              <w:jc w:val="left"/>
              <w:rPr>
                <w:lang w:val="en-GB"/>
              </w:rPr>
            </w:pPr>
            <w:r w:rsidRPr="00152A20">
              <w:rPr>
                <w:lang w:val="en-GB"/>
              </w:rPr>
              <w:t xml:space="preserve">expenditure on higher education, billion </w:t>
            </w:r>
            <w:proofErr w:type="spellStart"/>
            <w:r w:rsidRPr="00152A20">
              <w:rPr>
                <w:lang w:val="en-GB"/>
              </w:rPr>
              <w:t>rubles</w:t>
            </w:r>
            <w:proofErr w:type="spellEnd"/>
          </w:p>
        </w:tc>
        <w:tc>
          <w:tcPr>
            <w:tcW w:w="1215" w:type="dxa"/>
            <w:tcBorders>
              <w:top w:val="nil"/>
              <w:left w:val="nil"/>
              <w:bottom w:val="single" w:sz="4" w:space="0" w:color="000000"/>
              <w:right w:val="single" w:sz="4" w:space="0" w:color="000000"/>
            </w:tcBorders>
            <w:vAlign w:val="center"/>
          </w:tcPr>
          <w:p w14:paraId="3EFDCBDB" w14:textId="77D23623" w:rsidR="00037D5F" w:rsidRPr="00152A20" w:rsidRDefault="008E5AA1">
            <w:pPr>
              <w:spacing w:after="0" w:line="240" w:lineRule="auto"/>
              <w:contextualSpacing w:val="0"/>
              <w:jc w:val="center"/>
              <w:rPr>
                <w:lang w:val="en-GB"/>
              </w:rPr>
            </w:pPr>
            <w:r w:rsidRPr="00152A20">
              <w:rPr>
                <w:lang w:val="en-GB"/>
              </w:rPr>
              <w:t>1</w:t>
            </w:r>
            <w:r w:rsidR="00C50EBA">
              <w:rPr>
                <w:lang w:val="en-GB"/>
              </w:rPr>
              <w:t>.</w:t>
            </w:r>
            <w:r w:rsidRPr="00152A20">
              <w:rPr>
                <w:lang w:val="en-GB"/>
              </w:rPr>
              <w:t>54</w:t>
            </w:r>
          </w:p>
        </w:tc>
        <w:tc>
          <w:tcPr>
            <w:tcW w:w="1200" w:type="dxa"/>
            <w:tcBorders>
              <w:top w:val="nil"/>
              <w:left w:val="nil"/>
              <w:bottom w:val="single" w:sz="4" w:space="0" w:color="000000"/>
              <w:right w:val="single" w:sz="4" w:space="0" w:color="000000"/>
            </w:tcBorders>
            <w:vAlign w:val="center"/>
          </w:tcPr>
          <w:p w14:paraId="29826634" w14:textId="5673D1FA" w:rsidR="00037D5F" w:rsidRPr="00152A20" w:rsidRDefault="008E5AA1">
            <w:pPr>
              <w:spacing w:after="0" w:line="240" w:lineRule="auto"/>
              <w:contextualSpacing w:val="0"/>
              <w:jc w:val="center"/>
              <w:rPr>
                <w:lang w:val="en-GB"/>
              </w:rPr>
            </w:pPr>
            <w:r w:rsidRPr="00152A20">
              <w:rPr>
                <w:lang w:val="en-GB"/>
              </w:rPr>
              <w:t>1</w:t>
            </w:r>
            <w:r w:rsidR="00C50EBA">
              <w:rPr>
                <w:lang w:val="en-GB"/>
              </w:rPr>
              <w:t>.</w:t>
            </w:r>
            <w:r w:rsidRPr="00152A20">
              <w:rPr>
                <w:lang w:val="en-GB"/>
              </w:rPr>
              <w:t>64</w:t>
            </w:r>
          </w:p>
        </w:tc>
      </w:tr>
      <w:tr w:rsidR="00037D5F" w:rsidRPr="00152A20" w14:paraId="5276438E" w14:textId="77777777">
        <w:trPr>
          <w:trHeight w:val="600"/>
          <w:jc w:val="center"/>
        </w:trPr>
        <w:tc>
          <w:tcPr>
            <w:tcW w:w="1185" w:type="dxa"/>
            <w:vMerge/>
            <w:tcBorders>
              <w:top w:val="nil"/>
              <w:left w:val="single" w:sz="4" w:space="0" w:color="000000"/>
              <w:bottom w:val="single" w:sz="4" w:space="0" w:color="000000"/>
              <w:right w:val="single" w:sz="4" w:space="0" w:color="000000"/>
            </w:tcBorders>
            <w:vAlign w:val="center"/>
          </w:tcPr>
          <w:p w14:paraId="767A3B14" w14:textId="77777777" w:rsidR="00037D5F" w:rsidRPr="00152A20" w:rsidRDefault="00037D5F">
            <w:pPr>
              <w:spacing w:after="0" w:line="240" w:lineRule="auto"/>
              <w:contextualSpacing w:val="0"/>
              <w:jc w:val="center"/>
              <w:rPr>
                <w:lang w:val="en-GB"/>
              </w:rPr>
            </w:pPr>
          </w:p>
        </w:tc>
        <w:tc>
          <w:tcPr>
            <w:tcW w:w="5970" w:type="dxa"/>
            <w:tcBorders>
              <w:top w:val="nil"/>
              <w:left w:val="nil"/>
              <w:bottom w:val="single" w:sz="4" w:space="0" w:color="000000"/>
              <w:right w:val="single" w:sz="4" w:space="0" w:color="000000"/>
            </w:tcBorders>
            <w:shd w:val="clear" w:color="auto" w:fill="F2F2F2"/>
            <w:vAlign w:val="center"/>
          </w:tcPr>
          <w:p w14:paraId="4A39743D" w14:textId="77777777" w:rsidR="00037D5F" w:rsidRPr="00152A20" w:rsidRDefault="008E5AA1">
            <w:pPr>
              <w:spacing w:after="0" w:line="240" w:lineRule="auto"/>
              <w:contextualSpacing w:val="0"/>
              <w:jc w:val="left"/>
              <w:rPr>
                <w:lang w:val="en-GB"/>
              </w:rPr>
            </w:pPr>
            <w:r w:rsidRPr="00152A20">
              <w:rPr>
                <w:lang w:val="en-GB"/>
              </w:rPr>
              <w:t>% of expenditure on higher education in all expenditure on education</w:t>
            </w:r>
          </w:p>
        </w:tc>
        <w:tc>
          <w:tcPr>
            <w:tcW w:w="1215" w:type="dxa"/>
            <w:tcBorders>
              <w:top w:val="nil"/>
              <w:left w:val="nil"/>
              <w:bottom w:val="single" w:sz="4" w:space="0" w:color="000000"/>
              <w:right w:val="single" w:sz="4" w:space="0" w:color="000000"/>
            </w:tcBorders>
            <w:shd w:val="clear" w:color="auto" w:fill="F2F2F2"/>
            <w:vAlign w:val="center"/>
          </w:tcPr>
          <w:p w14:paraId="192D194F" w14:textId="77777777" w:rsidR="00037D5F" w:rsidRPr="00152A20" w:rsidRDefault="008E5AA1">
            <w:pPr>
              <w:spacing w:after="0" w:line="240" w:lineRule="auto"/>
              <w:contextualSpacing w:val="0"/>
              <w:jc w:val="center"/>
              <w:rPr>
                <w:lang w:val="en-GB"/>
              </w:rPr>
            </w:pPr>
            <w:r w:rsidRPr="00152A20">
              <w:rPr>
                <w:lang w:val="en-GB"/>
              </w:rPr>
              <w:t>21%</w:t>
            </w:r>
          </w:p>
        </w:tc>
        <w:tc>
          <w:tcPr>
            <w:tcW w:w="1200" w:type="dxa"/>
            <w:tcBorders>
              <w:top w:val="nil"/>
              <w:left w:val="nil"/>
              <w:bottom w:val="single" w:sz="4" w:space="0" w:color="000000"/>
              <w:right w:val="single" w:sz="4" w:space="0" w:color="000000"/>
            </w:tcBorders>
            <w:shd w:val="clear" w:color="auto" w:fill="F2F2F2"/>
            <w:vAlign w:val="center"/>
          </w:tcPr>
          <w:p w14:paraId="7230BAAC" w14:textId="77777777" w:rsidR="00037D5F" w:rsidRPr="00152A20" w:rsidRDefault="008E5AA1">
            <w:pPr>
              <w:spacing w:after="0" w:line="240" w:lineRule="auto"/>
              <w:contextualSpacing w:val="0"/>
              <w:jc w:val="center"/>
              <w:rPr>
                <w:lang w:val="en-GB"/>
              </w:rPr>
            </w:pPr>
            <w:r w:rsidRPr="00152A20">
              <w:rPr>
                <w:lang w:val="en-GB"/>
              </w:rPr>
              <w:t>17%</w:t>
            </w:r>
          </w:p>
        </w:tc>
      </w:tr>
    </w:tbl>
    <w:p w14:paraId="1E0A8E28" w14:textId="249C1AEF" w:rsidR="00037D5F" w:rsidRPr="00152A20" w:rsidRDefault="008E5AA1">
      <w:pPr>
        <w:spacing w:after="0" w:line="240" w:lineRule="auto"/>
        <w:rPr>
          <w:lang w:val="en-GB"/>
        </w:rPr>
      </w:pPr>
      <w:r w:rsidRPr="00152A20">
        <w:rPr>
          <w:i/>
          <w:lang w:val="en-GB"/>
        </w:rPr>
        <w:t xml:space="preserve">Source: </w:t>
      </w:r>
      <w:r w:rsidR="00DC444D" w:rsidRPr="00152A20">
        <w:rPr>
          <w:lang w:val="en-GB"/>
        </w:rPr>
        <w:t xml:space="preserve">Statistical Book on Higher Education </w:t>
      </w:r>
      <w:r w:rsidRPr="00152A20">
        <w:rPr>
          <w:i/>
          <w:lang w:val="en-GB"/>
        </w:rPr>
        <w:t>1992, 100</w:t>
      </w:r>
    </w:p>
    <w:p w14:paraId="15FC59C5" w14:textId="3DF701CD" w:rsidR="00037D5F" w:rsidRPr="00152A20" w:rsidRDefault="008E5AA1">
      <w:pPr>
        <w:spacing w:before="200"/>
        <w:rPr>
          <w:lang w:val="en-GB"/>
        </w:rPr>
      </w:pPr>
      <w:r w:rsidRPr="00152A20">
        <w:rPr>
          <w:lang w:val="en-GB"/>
        </w:rPr>
        <w:t xml:space="preserve">The federal design was </w:t>
      </w:r>
      <w:r w:rsidR="00565319">
        <w:rPr>
          <w:lang w:val="en-GB"/>
        </w:rPr>
        <w:t xml:space="preserve">a </w:t>
      </w:r>
      <w:r w:rsidRPr="00152A20">
        <w:rPr>
          <w:lang w:val="en-GB"/>
        </w:rPr>
        <w:t xml:space="preserve">distinctive feature of </w:t>
      </w:r>
      <w:r w:rsidR="00B21CBA" w:rsidRPr="00152A20">
        <w:rPr>
          <w:lang w:val="en-GB"/>
        </w:rPr>
        <w:t xml:space="preserve">the </w:t>
      </w:r>
      <w:r w:rsidRPr="00152A20">
        <w:rPr>
          <w:lang w:val="en-GB"/>
        </w:rPr>
        <w:t xml:space="preserve">RSFSR from other Soviet </w:t>
      </w:r>
      <w:r w:rsidR="00B21CBA" w:rsidRPr="00152A20">
        <w:rPr>
          <w:lang w:val="en-GB"/>
        </w:rPr>
        <w:t>r</w:t>
      </w:r>
      <w:r w:rsidRPr="00152A20">
        <w:rPr>
          <w:lang w:val="en-GB"/>
        </w:rPr>
        <w:t>epublics. It consisted of several dozen</w:t>
      </w:r>
      <w:r w:rsidR="00565319">
        <w:rPr>
          <w:lang w:val="en-GB"/>
        </w:rPr>
        <w:t xml:space="preserve"> </w:t>
      </w:r>
      <w:r w:rsidRPr="00152A20">
        <w:rPr>
          <w:lang w:val="en-GB"/>
        </w:rPr>
        <w:t>regions</w:t>
      </w:r>
      <w:r w:rsidR="00565319">
        <w:rPr>
          <w:lang w:val="en-GB"/>
        </w:rPr>
        <w:t xml:space="preserve">, which </w:t>
      </w:r>
      <w:r w:rsidRPr="00152A20">
        <w:rPr>
          <w:lang w:val="en-GB"/>
        </w:rPr>
        <w:t xml:space="preserve">affected </w:t>
      </w:r>
      <w:r w:rsidR="00B21CBA" w:rsidRPr="00152A20">
        <w:rPr>
          <w:lang w:val="en-GB"/>
        </w:rPr>
        <w:t xml:space="preserve">the </w:t>
      </w:r>
      <w:r w:rsidRPr="00152A20">
        <w:rPr>
          <w:lang w:val="en-GB"/>
        </w:rPr>
        <w:t xml:space="preserve">deliberate dispersion of HEIs </w:t>
      </w:r>
      <w:r w:rsidR="00565319" w:rsidRPr="00152A20">
        <w:rPr>
          <w:lang w:val="en-GB"/>
        </w:rPr>
        <w:t>within</w:t>
      </w:r>
      <w:r w:rsidR="00565319">
        <w:rPr>
          <w:lang w:val="en-GB"/>
        </w:rPr>
        <w:t xml:space="preserve"> the </w:t>
      </w:r>
      <w:r w:rsidRPr="00152A20">
        <w:rPr>
          <w:lang w:val="en-GB"/>
        </w:rPr>
        <w:t xml:space="preserve">Russian “subjects of federation” (hereafter </w:t>
      </w:r>
      <w:r w:rsidR="00565319">
        <w:rPr>
          <w:lang w:val="en-GB"/>
        </w:rPr>
        <w:t xml:space="preserve">referred to as </w:t>
      </w:r>
      <w:r w:rsidRPr="00152A20">
        <w:rPr>
          <w:lang w:val="en-GB"/>
        </w:rPr>
        <w:t>regions). Moscow and Saint Petersburg were the two largest regions (</w:t>
      </w:r>
      <w:r w:rsidR="008114C9">
        <w:rPr>
          <w:lang w:val="en-GB"/>
        </w:rPr>
        <w:t xml:space="preserve">they were </w:t>
      </w:r>
      <w:r w:rsidR="00B21CBA" w:rsidRPr="00152A20">
        <w:rPr>
          <w:lang w:val="en-GB"/>
        </w:rPr>
        <w:t>in fact</w:t>
      </w:r>
      <w:r w:rsidRPr="00152A20">
        <w:rPr>
          <w:lang w:val="en-GB"/>
        </w:rPr>
        <w:t xml:space="preserve"> cities with the status of </w:t>
      </w:r>
      <w:r w:rsidR="00E226B7">
        <w:rPr>
          <w:lang w:val="en-GB"/>
        </w:rPr>
        <w:t>r</w:t>
      </w:r>
      <w:r w:rsidRPr="00152A20">
        <w:rPr>
          <w:lang w:val="en-GB"/>
        </w:rPr>
        <w:t>egion</w:t>
      </w:r>
      <w:r w:rsidR="00E226B7">
        <w:rPr>
          <w:lang w:val="en-GB"/>
        </w:rPr>
        <w:t>s</w:t>
      </w:r>
      <w:r w:rsidRPr="00152A20">
        <w:rPr>
          <w:lang w:val="en-GB"/>
        </w:rPr>
        <w:t>)</w:t>
      </w:r>
      <w:r w:rsidR="008114C9">
        <w:rPr>
          <w:lang w:val="en-GB"/>
        </w:rPr>
        <w:t xml:space="preserve"> and </w:t>
      </w:r>
      <w:r w:rsidRPr="00152A20">
        <w:rPr>
          <w:lang w:val="en-GB"/>
        </w:rPr>
        <w:t>accumulated more than 28% of students (528</w:t>
      </w:r>
      <w:r w:rsidR="00E226B7">
        <w:rPr>
          <w:lang w:val="en-GB"/>
        </w:rPr>
        <w:t>.</w:t>
      </w:r>
      <w:r w:rsidRPr="00152A20">
        <w:rPr>
          <w:lang w:val="en-GB"/>
        </w:rPr>
        <w:t>7 and 272</w:t>
      </w:r>
      <w:r w:rsidR="00E226B7">
        <w:rPr>
          <w:lang w:val="en-GB"/>
        </w:rPr>
        <w:t>.</w:t>
      </w:r>
      <w:r w:rsidRPr="00152A20">
        <w:rPr>
          <w:lang w:val="en-GB"/>
        </w:rPr>
        <w:t xml:space="preserve">9 thousand students </w:t>
      </w:r>
      <w:r w:rsidR="00B21CBA" w:rsidRPr="00152A20">
        <w:rPr>
          <w:lang w:val="en-GB"/>
        </w:rPr>
        <w:t>respectively</w:t>
      </w:r>
      <w:r w:rsidRPr="00152A20">
        <w:rPr>
          <w:lang w:val="en-GB"/>
        </w:rPr>
        <w:t xml:space="preserve">) in 82 HEIs in Moscow and 41 in Saint Petersburg.  </w:t>
      </w:r>
    </w:p>
    <w:p w14:paraId="0D0C87C0" w14:textId="5AD547CB" w:rsidR="00037D5F" w:rsidRPr="00152A20" w:rsidRDefault="008E5AA1">
      <w:pPr>
        <w:spacing w:before="200"/>
        <w:rPr>
          <w:lang w:val="en-GB"/>
        </w:rPr>
      </w:pPr>
      <w:r w:rsidRPr="00152A20">
        <w:rPr>
          <w:lang w:val="en-GB"/>
        </w:rPr>
        <w:t>Each region had a least one HEI</w:t>
      </w:r>
      <w:r w:rsidR="00565319">
        <w:rPr>
          <w:lang w:val="en-GB"/>
        </w:rPr>
        <w:t>,</w:t>
      </w:r>
      <w:r w:rsidRPr="00152A20">
        <w:rPr>
          <w:lang w:val="en-GB"/>
        </w:rPr>
        <w:t xml:space="preserve"> but often more. The regular set consisted of a comprehensive university, a polytechnic institution, a pedagogical </w:t>
      </w:r>
      <w:r w:rsidR="00565319">
        <w:rPr>
          <w:lang w:val="en-GB"/>
        </w:rPr>
        <w:t>institution</w:t>
      </w:r>
      <w:r w:rsidRPr="00152A20">
        <w:rPr>
          <w:lang w:val="en-GB"/>
        </w:rPr>
        <w:t>, and a speciali</w:t>
      </w:r>
      <w:r w:rsidR="00565319">
        <w:rPr>
          <w:lang w:val="en-GB"/>
        </w:rPr>
        <w:t>s</w:t>
      </w:r>
      <w:r w:rsidRPr="00152A20">
        <w:rPr>
          <w:lang w:val="en-GB"/>
        </w:rPr>
        <w:t xml:space="preserve">ed HEI (described below). This ‘package’ varied according to the size of </w:t>
      </w:r>
      <w:r w:rsidR="00B21CBA" w:rsidRPr="00152A20">
        <w:rPr>
          <w:lang w:val="en-GB"/>
        </w:rPr>
        <w:t xml:space="preserve">the </w:t>
      </w:r>
      <w:r w:rsidRPr="00152A20">
        <w:rPr>
          <w:lang w:val="en-GB"/>
        </w:rPr>
        <w:t xml:space="preserve">population and </w:t>
      </w:r>
      <w:r w:rsidR="00B21CBA" w:rsidRPr="00152A20">
        <w:rPr>
          <w:lang w:val="en-GB"/>
        </w:rPr>
        <w:t xml:space="preserve">the </w:t>
      </w:r>
      <w:r w:rsidRPr="00152A20">
        <w:rPr>
          <w:lang w:val="en-GB"/>
        </w:rPr>
        <w:t xml:space="preserve">distribution of </w:t>
      </w:r>
      <w:r w:rsidRPr="00152A20">
        <w:rPr>
          <w:lang w:val="en-GB"/>
        </w:rPr>
        <w:lastRenderedPageBreak/>
        <w:t xml:space="preserve">industries across the regions. By 1990 there was a group of regions with 10-18 HEIs and </w:t>
      </w:r>
      <w:r w:rsidR="00B21CBA" w:rsidRPr="00152A20">
        <w:rPr>
          <w:lang w:val="en-GB"/>
        </w:rPr>
        <w:t xml:space="preserve">a </w:t>
      </w:r>
      <w:r w:rsidRPr="00152A20">
        <w:rPr>
          <w:lang w:val="en-GB"/>
        </w:rPr>
        <w:t>large number of regions with 3-4 HEIs (S</w:t>
      </w:r>
      <w:r w:rsidR="002D51FC" w:rsidRPr="00152A20">
        <w:rPr>
          <w:lang w:val="en-GB"/>
        </w:rPr>
        <w:t xml:space="preserve">tatistical </w:t>
      </w:r>
      <w:r w:rsidR="00565319">
        <w:rPr>
          <w:lang w:val="en-GB"/>
        </w:rPr>
        <w:t>Y</w:t>
      </w:r>
      <w:r w:rsidR="002D51FC" w:rsidRPr="00152A20">
        <w:rPr>
          <w:lang w:val="en-GB"/>
        </w:rPr>
        <w:t>earbook</w:t>
      </w:r>
      <w:r w:rsidR="00565319">
        <w:rPr>
          <w:lang w:val="en-GB"/>
        </w:rPr>
        <w:t xml:space="preserve"> </w:t>
      </w:r>
      <w:r w:rsidRPr="00152A20">
        <w:rPr>
          <w:lang w:val="en-GB"/>
        </w:rPr>
        <w:t>1992, 278-280).</w:t>
      </w:r>
    </w:p>
    <w:p w14:paraId="34C09888" w14:textId="1FDF340F" w:rsidR="00037D5F" w:rsidRPr="00152A20" w:rsidRDefault="008E5AA1">
      <w:pPr>
        <w:spacing w:before="200"/>
        <w:rPr>
          <w:lang w:val="en-GB"/>
        </w:rPr>
      </w:pPr>
      <w:r w:rsidRPr="00152A20">
        <w:rPr>
          <w:lang w:val="en-GB"/>
        </w:rPr>
        <w:t xml:space="preserve">By the end of </w:t>
      </w:r>
      <w:r w:rsidR="00B21CBA" w:rsidRPr="00152A20">
        <w:rPr>
          <w:lang w:val="en-GB"/>
        </w:rPr>
        <w:t xml:space="preserve">the </w:t>
      </w:r>
      <w:r w:rsidRPr="00152A20">
        <w:rPr>
          <w:lang w:val="en-GB"/>
        </w:rPr>
        <w:t>Soviet era</w:t>
      </w:r>
      <w:r w:rsidR="00B21CBA" w:rsidRPr="00152A20">
        <w:rPr>
          <w:lang w:val="en-GB"/>
        </w:rPr>
        <w:t>,</w:t>
      </w:r>
      <w:r w:rsidRPr="00152A20">
        <w:rPr>
          <w:lang w:val="en-GB"/>
        </w:rPr>
        <w:t xml:space="preserve"> 2,825 million students studied in 514 HEIs within Russia. About 58% of </w:t>
      </w:r>
      <w:r w:rsidR="0067245A">
        <w:rPr>
          <w:lang w:val="en-GB"/>
        </w:rPr>
        <w:t xml:space="preserve">the </w:t>
      </w:r>
      <w:r w:rsidRPr="00152A20">
        <w:rPr>
          <w:lang w:val="en-GB"/>
        </w:rPr>
        <w:t xml:space="preserve">student population were full-time, about 10% took evening courses and about 32% studied </w:t>
      </w:r>
      <w:r w:rsidR="0067245A">
        <w:rPr>
          <w:lang w:val="en-GB"/>
        </w:rPr>
        <w:t>in</w:t>
      </w:r>
      <w:r w:rsidRPr="00152A20">
        <w:rPr>
          <w:lang w:val="en-GB"/>
        </w:rPr>
        <w:t xml:space="preserve"> correspondence courses</w:t>
      </w:r>
      <w:r w:rsidRPr="00152A20">
        <w:rPr>
          <w:vertAlign w:val="superscript"/>
          <w:lang w:val="en-GB"/>
        </w:rPr>
        <w:footnoteReference w:id="1"/>
      </w:r>
      <w:r w:rsidRPr="00152A20">
        <w:rPr>
          <w:lang w:val="en-GB"/>
        </w:rPr>
        <w:t xml:space="preserve"> (</w:t>
      </w:r>
      <w:r w:rsidR="002D51FC" w:rsidRPr="00152A20">
        <w:rPr>
          <w:lang w:val="en-GB"/>
        </w:rPr>
        <w:t xml:space="preserve">Statistical </w:t>
      </w:r>
      <w:r w:rsidR="00565319">
        <w:rPr>
          <w:lang w:val="en-GB"/>
        </w:rPr>
        <w:t>B</w:t>
      </w:r>
      <w:r w:rsidR="002D51FC" w:rsidRPr="00152A20">
        <w:rPr>
          <w:lang w:val="en-GB"/>
        </w:rPr>
        <w:t xml:space="preserve">ook on </w:t>
      </w:r>
      <w:r w:rsidRPr="00152A20">
        <w:rPr>
          <w:lang w:val="en-GB"/>
        </w:rPr>
        <w:t>R</w:t>
      </w:r>
      <w:r w:rsidR="002D51FC" w:rsidRPr="00152A20">
        <w:rPr>
          <w:lang w:val="en-GB"/>
        </w:rPr>
        <w:t xml:space="preserve">ussian </w:t>
      </w:r>
      <w:r w:rsidRPr="00152A20">
        <w:rPr>
          <w:lang w:val="en-GB"/>
        </w:rPr>
        <w:t>F</w:t>
      </w:r>
      <w:r w:rsidR="002D51FC" w:rsidRPr="00152A20">
        <w:rPr>
          <w:lang w:val="en-GB"/>
        </w:rPr>
        <w:t>ederation</w:t>
      </w:r>
      <w:r w:rsidRPr="00152A20">
        <w:rPr>
          <w:lang w:val="en-GB"/>
        </w:rPr>
        <w:t xml:space="preserve"> 1993, 276). There were 42 comprehensive universities with 328</w:t>
      </w:r>
      <w:r w:rsidR="00F5246A">
        <w:rPr>
          <w:lang w:val="en-GB"/>
        </w:rPr>
        <w:t>.</w:t>
      </w:r>
      <w:r w:rsidRPr="00152A20">
        <w:rPr>
          <w:lang w:val="en-GB"/>
        </w:rPr>
        <w:t>1 thousand students. Yet, the majority of HEIs were highly speciali</w:t>
      </w:r>
      <w:r w:rsidR="0067245A">
        <w:rPr>
          <w:lang w:val="en-GB"/>
        </w:rPr>
        <w:t>s</w:t>
      </w:r>
      <w:r w:rsidRPr="00152A20">
        <w:rPr>
          <w:lang w:val="en-GB"/>
        </w:rPr>
        <w:t xml:space="preserve">ed and affiliated to </w:t>
      </w:r>
      <w:r w:rsidR="0067245A">
        <w:rPr>
          <w:lang w:val="en-GB"/>
        </w:rPr>
        <w:t xml:space="preserve">a relevant </w:t>
      </w:r>
      <w:r w:rsidRPr="00152A20">
        <w:rPr>
          <w:lang w:val="en-GB"/>
        </w:rPr>
        <w:t>industrial ministry or department.</w:t>
      </w:r>
    </w:p>
    <w:p w14:paraId="5BA873B2" w14:textId="548C5A80" w:rsidR="00037D5F" w:rsidRPr="00152A20" w:rsidRDefault="00F17E6C">
      <w:pPr>
        <w:spacing w:before="200"/>
        <w:rPr>
          <w:lang w:val="en-GB"/>
        </w:rPr>
      </w:pPr>
      <w:r>
        <w:rPr>
          <w:lang w:val="en-GB"/>
        </w:rPr>
        <w:t xml:space="preserve">Thirty-seven per cent </w:t>
      </w:r>
      <w:r w:rsidR="008E5AA1" w:rsidRPr="00152A20">
        <w:rPr>
          <w:lang w:val="en-GB"/>
        </w:rPr>
        <w:t>of all students studied in 135 speciali</w:t>
      </w:r>
      <w:r w:rsidR="002307F8">
        <w:rPr>
          <w:lang w:val="en-GB"/>
        </w:rPr>
        <w:t>s</w:t>
      </w:r>
      <w:r w:rsidR="008E5AA1" w:rsidRPr="00152A20">
        <w:rPr>
          <w:lang w:val="en-GB"/>
        </w:rPr>
        <w:t xml:space="preserve">ed industrial HEIs (the largest group of HEIs), </w:t>
      </w:r>
      <w:r>
        <w:rPr>
          <w:lang w:val="en-GB"/>
        </w:rPr>
        <w:t xml:space="preserve">with </w:t>
      </w:r>
      <w:r w:rsidR="008E5AA1" w:rsidRPr="00152A20">
        <w:rPr>
          <w:lang w:val="en-GB"/>
        </w:rPr>
        <w:t>26% in 9</w:t>
      </w:r>
      <w:r w:rsidR="00622A21" w:rsidRPr="00152A20">
        <w:rPr>
          <w:rFonts w:ascii="Times New Roman" w:hAnsi="Times New Roman" w:cs="Times New Roman"/>
          <w:lang w:val="en-GB"/>
        </w:rPr>
        <w:t>4</w:t>
      </w:r>
      <w:r w:rsidR="008E5AA1" w:rsidRPr="00152A20">
        <w:rPr>
          <w:lang w:val="en-GB"/>
        </w:rPr>
        <w:t xml:space="preserve"> pedagogical HEIs (the second speciali</w:t>
      </w:r>
      <w:r w:rsidR="002307F8">
        <w:rPr>
          <w:lang w:val="en-GB"/>
        </w:rPr>
        <w:t>s</w:t>
      </w:r>
      <w:r w:rsidR="008E5AA1" w:rsidRPr="00152A20">
        <w:rPr>
          <w:lang w:val="en-GB"/>
        </w:rPr>
        <w:t xml:space="preserve">ed); most of </w:t>
      </w:r>
      <w:r w:rsidR="00955356" w:rsidRPr="00152A20">
        <w:rPr>
          <w:lang w:val="en-GB"/>
        </w:rPr>
        <w:t xml:space="preserve">the </w:t>
      </w:r>
      <w:r w:rsidR="008E5AA1" w:rsidRPr="00152A20">
        <w:rPr>
          <w:lang w:val="en-GB"/>
        </w:rPr>
        <w:t>other</w:t>
      </w:r>
      <w:r w:rsidR="00955356" w:rsidRPr="00152A20">
        <w:rPr>
          <w:lang w:val="en-GB"/>
        </w:rPr>
        <w:t xml:space="preserve"> HEI</w:t>
      </w:r>
      <w:r w:rsidR="008E5AA1" w:rsidRPr="00152A20">
        <w:rPr>
          <w:lang w:val="en-GB"/>
        </w:rPr>
        <w:t xml:space="preserve">s were </w:t>
      </w:r>
      <w:r w:rsidR="00955356" w:rsidRPr="00152A20">
        <w:rPr>
          <w:lang w:val="en-GB"/>
        </w:rPr>
        <w:t>small</w:t>
      </w:r>
      <w:r w:rsidR="008E5AA1" w:rsidRPr="00152A20">
        <w:rPr>
          <w:lang w:val="en-GB"/>
        </w:rPr>
        <w:t xml:space="preserve"> institutes </w:t>
      </w:r>
      <w:r w:rsidR="008E5AA1" w:rsidRPr="00152A20">
        <w:rPr>
          <w:shd w:val="clear" w:color="auto" w:fill="FFF5BF"/>
          <w:lang w:val="en-GB"/>
        </w:rPr>
        <w:t xml:space="preserve">(see </w:t>
      </w:r>
      <w:r w:rsidR="002307F8">
        <w:rPr>
          <w:shd w:val="clear" w:color="auto" w:fill="FFF5BF"/>
          <w:lang w:val="en-GB"/>
        </w:rPr>
        <w:t>T</w:t>
      </w:r>
      <w:r w:rsidR="008E5AA1" w:rsidRPr="00152A20">
        <w:rPr>
          <w:shd w:val="clear" w:color="auto" w:fill="FFF5BF"/>
          <w:lang w:val="en-GB"/>
        </w:rPr>
        <w:t>able 2)</w:t>
      </w:r>
      <w:r w:rsidR="008E5AA1" w:rsidRPr="00152A20">
        <w:rPr>
          <w:lang w:val="en-GB"/>
        </w:rPr>
        <w:t>.</w:t>
      </w:r>
    </w:p>
    <w:p w14:paraId="686B48C8" w14:textId="2778D04B" w:rsidR="00037D5F" w:rsidRPr="00152A20" w:rsidRDefault="008E5AA1">
      <w:pPr>
        <w:spacing w:after="0" w:line="240" w:lineRule="auto"/>
        <w:rPr>
          <w:lang w:val="en-GB"/>
        </w:rPr>
      </w:pPr>
      <w:r w:rsidRPr="00152A20">
        <w:rPr>
          <w:i/>
          <w:shd w:val="clear" w:color="auto" w:fill="FFF5BF"/>
          <w:lang w:val="en-GB"/>
        </w:rPr>
        <w:t>Table 2</w:t>
      </w:r>
      <w:r w:rsidR="003378D8">
        <w:rPr>
          <w:i/>
          <w:shd w:val="clear" w:color="auto" w:fill="FFF5BF"/>
          <w:lang w:val="en-GB"/>
        </w:rPr>
        <w:t>.</w:t>
      </w:r>
      <w:r w:rsidRPr="00152A20">
        <w:rPr>
          <w:i/>
          <w:lang w:val="en-GB"/>
        </w:rPr>
        <w:t xml:space="preserve"> Number HEIs by type, number of students by form of learning and their shares, 1990</w:t>
      </w:r>
    </w:p>
    <w:p w14:paraId="76D407AE" w14:textId="77777777" w:rsidR="00037D5F" w:rsidRPr="00152A20" w:rsidRDefault="00037D5F">
      <w:pPr>
        <w:spacing w:after="0" w:line="240" w:lineRule="auto"/>
        <w:rPr>
          <w:lang w:val="en-GB"/>
        </w:rPr>
      </w:pPr>
    </w:p>
    <w:tbl>
      <w:tblPr>
        <w:tblStyle w:val="a0"/>
        <w:tblW w:w="9720" w:type="dxa"/>
        <w:tblInd w:w="-63" w:type="dxa"/>
        <w:tblLayout w:type="fixed"/>
        <w:tblLook w:val="0400" w:firstRow="0" w:lastRow="0" w:firstColumn="0" w:lastColumn="0" w:noHBand="0" w:noVBand="1"/>
      </w:tblPr>
      <w:tblGrid>
        <w:gridCol w:w="2700"/>
        <w:gridCol w:w="1065"/>
        <w:gridCol w:w="2070"/>
        <w:gridCol w:w="2070"/>
        <w:gridCol w:w="1815"/>
      </w:tblGrid>
      <w:tr w:rsidR="00037D5F" w:rsidRPr="0029475F" w14:paraId="59C8C097" w14:textId="77777777" w:rsidTr="00E06391">
        <w:trPr>
          <w:trHeight w:val="700"/>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37950C" w14:textId="77777777" w:rsidR="00037D5F" w:rsidRPr="00152A20" w:rsidRDefault="00955356" w:rsidP="00955356">
            <w:pPr>
              <w:spacing w:after="0" w:line="240" w:lineRule="auto"/>
              <w:contextualSpacing w:val="0"/>
              <w:jc w:val="center"/>
              <w:rPr>
                <w:lang w:val="en-GB"/>
              </w:rPr>
            </w:pPr>
            <w:r w:rsidRPr="00152A20">
              <w:rPr>
                <w:sz w:val="22"/>
                <w:szCs w:val="22"/>
                <w:lang w:val="en-GB"/>
              </w:rPr>
              <w:t>Sector</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DCA7F" w14:textId="77777777" w:rsidR="00037D5F" w:rsidRPr="00152A20" w:rsidRDefault="008E5AA1">
            <w:pPr>
              <w:spacing w:after="0" w:line="240" w:lineRule="auto"/>
              <w:contextualSpacing w:val="0"/>
              <w:jc w:val="center"/>
              <w:rPr>
                <w:lang w:val="en-GB"/>
              </w:rPr>
            </w:pPr>
            <w:r w:rsidRPr="00152A20">
              <w:rPr>
                <w:b/>
                <w:sz w:val="22"/>
                <w:szCs w:val="22"/>
                <w:lang w:val="en-GB"/>
              </w:rPr>
              <w:t>Number of HEIs</w:t>
            </w:r>
          </w:p>
        </w:tc>
        <w:tc>
          <w:tcPr>
            <w:tcW w:w="2070" w:type="dxa"/>
            <w:tcBorders>
              <w:top w:val="single" w:sz="4" w:space="0" w:color="000000"/>
              <w:left w:val="nil"/>
              <w:bottom w:val="single" w:sz="4" w:space="0" w:color="000000"/>
              <w:right w:val="single" w:sz="4" w:space="0" w:color="000000"/>
            </w:tcBorders>
            <w:shd w:val="clear" w:color="auto" w:fill="auto"/>
            <w:vAlign w:val="bottom"/>
          </w:tcPr>
          <w:p w14:paraId="732E3B82" w14:textId="77777777" w:rsidR="00037D5F" w:rsidRPr="00152A20" w:rsidRDefault="008E5AA1">
            <w:pPr>
              <w:spacing w:after="0" w:line="240" w:lineRule="auto"/>
              <w:contextualSpacing w:val="0"/>
              <w:jc w:val="left"/>
              <w:rPr>
                <w:lang w:val="en-GB"/>
              </w:rPr>
            </w:pPr>
            <w:r w:rsidRPr="00152A20">
              <w:rPr>
                <w:b/>
                <w:i/>
                <w:sz w:val="22"/>
                <w:szCs w:val="22"/>
                <w:lang w:val="en-GB"/>
              </w:rPr>
              <w:t>Total number of students</w:t>
            </w:r>
          </w:p>
        </w:tc>
        <w:tc>
          <w:tcPr>
            <w:tcW w:w="3885" w:type="dxa"/>
            <w:gridSpan w:val="2"/>
            <w:tcBorders>
              <w:top w:val="single" w:sz="4" w:space="0" w:color="000000"/>
              <w:left w:val="nil"/>
              <w:bottom w:val="single" w:sz="4" w:space="0" w:color="000000"/>
              <w:right w:val="single" w:sz="4" w:space="0" w:color="000000"/>
            </w:tcBorders>
            <w:shd w:val="clear" w:color="auto" w:fill="auto"/>
            <w:vAlign w:val="bottom"/>
          </w:tcPr>
          <w:p w14:paraId="4FADCE1B" w14:textId="77777777" w:rsidR="00037D5F" w:rsidRPr="00152A20" w:rsidRDefault="008E5AA1">
            <w:pPr>
              <w:spacing w:after="0" w:line="240" w:lineRule="auto"/>
              <w:contextualSpacing w:val="0"/>
              <w:jc w:val="center"/>
              <w:rPr>
                <w:lang w:val="en-GB"/>
              </w:rPr>
            </w:pPr>
            <w:r w:rsidRPr="00152A20">
              <w:rPr>
                <w:b/>
                <w:i/>
                <w:sz w:val="22"/>
                <w:szCs w:val="22"/>
                <w:lang w:val="en-GB"/>
              </w:rPr>
              <w:t>Students in evening and correspondence courses</w:t>
            </w:r>
          </w:p>
        </w:tc>
      </w:tr>
      <w:tr w:rsidR="00037D5F" w:rsidRPr="00152A20" w14:paraId="6246167A" w14:textId="77777777" w:rsidTr="00E06391">
        <w:trPr>
          <w:trHeight w:val="840"/>
        </w:trPr>
        <w:tc>
          <w:tcPr>
            <w:tcW w:w="27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5915872" w14:textId="77777777" w:rsidR="00037D5F" w:rsidRPr="00152A20" w:rsidRDefault="00037D5F">
            <w:pPr>
              <w:widowControl w:val="0"/>
              <w:spacing w:after="0" w:line="276" w:lineRule="auto"/>
              <w:contextualSpacing w:val="0"/>
              <w:jc w:val="left"/>
              <w:rPr>
                <w:lang w:val="en-GB"/>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ABCFF" w14:textId="77777777" w:rsidR="00037D5F" w:rsidRPr="00152A20" w:rsidRDefault="00037D5F">
            <w:pPr>
              <w:widowControl w:val="0"/>
              <w:spacing w:after="0" w:line="276" w:lineRule="auto"/>
              <w:contextualSpacing w:val="0"/>
              <w:jc w:val="left"/>
              <w:rPr>
                <w:lang w:val="en-GB"/>
              </w:rPr>
            </w:pPr>
          </w:p>
          <w:p w14:paraId="3531433A" w14:textId="77777777" w:rsidR="00037D5F" w:rsidRPr="00152A20" w:rsidRDefault="00037D5F">
            <w:pPr>
              <w:spacing w:after="0" w:line="240" w:lineRule="auto"/>
              <w:contextualSpacing w:val="0"/>
              <w:jc w:val="left"/>
              <w:rPr>
                <w:lang w:val="en-GB"/>
              </w:rPr>
            </w:pPr>
          </w:p>
          <w:p w14:paraId="3DECD193" w14:textId="77777777" w:rsidR="00037D5F" w:rsidRPr="00152A20" w:rsidRDefault="00037D5F">
            <w:pPr>
              <w:spacing w:after="0" w:line="240" w:lineRule="auto"/>
              <w:contextualSpacing w:val="0"/>
              <w:jc w:val="left"/>
              <w:rPr>
                <w:lang w:val="en-GB"/>
              </w:rPr>
            </w:pPr>
          </w:p>
        </w:tc>
        <w:tc>
          <w:tcPr>
            <w:tcW w:w="2070" w:type="dxa"/>
            <w:tcBorders>
              <w:top w:val="nil"/>
              <w:left w:val="nil"/>
              <w:bottom w:val="single" w:sz="4" w:space="0" w:color="000000"/>
              <w:right w:val="single" w:sz="4" w:space="0" w:color="000000"/>
            </w:tcBorders>
            <w:shd w:val="clear" w:color="auto" w:fill="auto"/>
            <w:vAlign w:val="center"/>
          </w:tcPr>
          <w:p w14:paraId="4130D582" w14:textId="77777777" w:rsidR="00037D5F" w:rsidRPr="00152A20" w:rsidRDefault="008E5AA1">
            <w:pPr>
              <w:spacing w:after="0" w:line="240" w:lineRule="auto"/>
              <w:contextualSpacing w:val="0"/>
              <w:jc w:val="right"/>
              <w:rPr>
                <w:lang w:val="en-GB"/>
              </w:rPr>
            </w:pPr>
            <w:r w:rsidRPr="00152A20">
              <w:rPr>
                <w:b/>
                <w:sz w:val="22"/>
                <w:szCs w:val="22"/>
                <w:lang w:val="en-GB"/>
              </w:rPr>
              <w:t>Number of students, thousand</w:t>
            </w:r>
          </w:p>
        </w:tc>
        <w:tc>
          <w:tcPr>
            <w:tcW w:w="2070" w:type="dxa"/>
            <w:tcBorders>
              <w:top w:val="nil"/>
              <w:left w:val="nil"/>
              <w:bottom w:val="single" w:sz="4" w:space="0" w:color="000000"/>
              <w:right w:val="single" w:sz="4" w:space="0" w:color="000000"/>
            </w:tcBorders>
            <w:shd w:val="clear" w:color="auto" w:fill="auto"/>
            <w:vAlign w:val="center"/>
          </w:tcPr>
          <w:p w14:paraId="097BC5A8" w14:textId="77777777" w:rsidR="00037D5F" w:rsidRPr="00152A20" w:rsidRDefault="008E5AA1">
            <w:pPr>
              <w:spacing w:after="0" w:line="240" w:lineRule="auto"/>
              <w:contextualSpacing w:val="0"/>
              <w:rPr>
                <w:lang w:val="en-GB"/>
              </w:rPr>
            </w:pPr>
            <w:r w:rsidRPr="00152A20">
              <w:rPr>
                <w:b/>
                <w:sz w:val="22"/>
                <w:szCs w:val="22"/>
                <w:lang w:val="en-GB"/>
              </w:rPr>
              <w:t>Number of students, thousand</w:t>
            </w:r>
          </w:p>
        </w:tc>
        <w:tc>
          <w:tcPr>
            <w:tcW w:w="1815" w:type="dxa"/>
            <w:tcBorders>
              <w:top w:val="nil"/>
              <w:left w:val="nil"/>
              <w:bottom w:val="single" w:sz="4" w:space="0" w:color="000000"/>
              <w:right w:val="single" w:sz="4" w:space="0" w:color="000000"/>
            </w:tcBorders>
            <w:shd w:val="clear" w:color="auto" w:fill="auto"/>
            <w:vAlign w:val="center"/>
          </w:tcPr>
          <w:p w14:paraId="6C5A60F2" w14:textId="60DBA762" w:rsidR="00037D5F" w:rsidRPr="00152A20" w:rsidRDefault="008E5AA1">
            <w:pPr>
              <w:spacing w:after="0" w:line="240" w:lineRule="auto"/>
              <w:contextualSpacing w:val="0"/>
              <w:rPr>
                <w:lang w:val="en-GB"/>
              </w:rPr>
            </w:pPr>
            <w:r w:rsidRPr="00152A20">
              <w:rPr>
                <w:b/>
                <w:sz w:val="22"/>
                <w:szCs w:val="22"/>
                <w:lang w:val="en-GB"/>
              </w:rPr>
              <w:t xml:space="preserve">% </w:t>
            </w:r>
            <w:r w:rsidR="002307F8">
              <w:rPr>
                <w:b/>
                <w:sz w:val="22"/>
                <w:szCs w:val="22"/>
                <w:lang w:val="en-GB"/>
              </w:rPr>
              <w:t xml:space="preserve">of </w:t>
            </w:r>
            <w:r w:rsidRPr="00152A20">
              <w:rPr>
                <w:b/>
                <w:sz w:val="22"/>
                <w:szCs w:val="22"/>
                <w:lang w:val="en-GB"/>
              </w:rPr>
              <w:t>total student numbers</w:t>
            </w:r>
          </w:p>
        </w:tc>
      </w:tr>
      <w:tr w:rsidR="00037D5F" w:rsidRPr="00152A20" w14:paraId="354095F9" w14:textId="77777777" w:rsidTr="00E06391">
        <w:trPr>
          <w:trHeight w:val="320"/>
        </w:trPr>
        <w:tc>
          <w:tcPr>
            <w:tcW w:w="2700" w:type="dxa"/>
            <w:tcBorders>
              <w:top w:val="nil"/>
              <w:left w:val="single" w:sz="4" w:space="0" w:color="000000"/>
              <w:bottom w:val="single" w:sz="4" w:space="0" w:color="000000"/>
              <w:right w:val="single" w:sz="4" w:space="0" w:color="000000"/>
            </w:tcBorders>
            <w:shd w:val="clear" w:color="auto" w:fill="auto"/>
            <w:vAlign w:val="center"/>
          </w:tcPr>
          <w:p w14:paraId="35D93C2F" w14:textId="77777777" w:rsidR="00037D5F" w:rsidRPr="00152A20" w:rsidRDefault="008E5AA1">
            <w:pPr>
              <w:spacing w:after="0" w:line="240" w:lineRule="auto"/>
              <w:contextualSpacing w:val="0"/>
              <w:rPr>
                <w:lang w:val="en-GB"/>
              </w:rPr>
            </w:pPr>
            <w:r w:rsidRPr="00152A20">
              <w:rPr>
                <w:sz w:val="22"/>
                <w:szCs w:val="22"/>
                <w:lang w:val="en-GB"/>
              </w:rPr>
              <w:t>Industry</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6A632" w14:textId="77777777" w:rsidR="00037D5F" w:rsidRPr="00152A20" w:rsidRDefault="008E5AA1">
            <w:pPr>
              <w:spacing w:after="0" w:line="240" w:lineRule="auto"/>
              <w:contextualSpacing w:val="0"/>
              <w:jc w:val="right"/>
              <w:rPr>
                <w:lang w:val="en-GB"/>
              </w:rPr>
            </w:pPr>
            <w:r w:rsidRPr="00152A20">
              <w:rPr>
                <w:sz w:val="22"/>
                <w:szCs w:val="22"/>
                <w:lang w:val="en-GB"/>
              </w:rPr>
              <w:t>135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2C52C" w14:textId="77777777" w:rsidR="00037D5F" w:rsidRPr="00152A20" w:rsidRDefault="008E5AA1">
            <w:pPr>
              <w:spacing w:after="0" w:line="240" w:lineRule="auto"/>
              <w:contextualSpacing w:val="0"/>
              <w:jc w:val="right"/>
              <w:rPr>
                <w:lang w:val="en-GB"/>
              </w:rPr>
            </w:pPr>
            <w:r w:rsidRPr="00152A20">
              <w:rPr>
                <w:sz w:val="22"/>
                <w:szCs w:val="22"/>
                <w:lang w:val="en-GB"/>
              </w:rPr>
              <w:t>1</w:t>
            </w:r>
            <w:r w:rsidR="00955356" w:rsidRPr="00152A20">
              <w:rPr>
                <w:sz w:val="22"/>
                <w:szCs w:val="22"/>
                <w:lang w:val="en-GB"/>
              </w:rPr>
              <w:t>,</w:t>
            </w:r>
            <w:r w:rsidRPr="00152A20">
              <w:rPr>
                <w:sz w:val="22"/>
                <w:szCs w:val="22"/>
                <w:lang w:val="en-GB"/>
              </w:rPr>
              <w:t>026</w:t>
            </w:r>
          </w:p>
        </w:tc>
        <w:tc>
          <w:tcPr>
            <w:tcW w:w="2070" w:type="dxa"/>
            <w:tcBorders>
              <w:top w:val="nil"/>
              <w:left w:val="nil"/>
              <w:bottom w:val="single" w:sz="4" w:space="0" w:color="000000"/>
              <w:right w:val="single" w:sz="4" w:space="0" w:color="000000"/>
            </w:tcBorders>
            <w:shd w:val="clear" w:color="auto" w:fill="auto"/>
            <w:vAlign w:val="bottom"/>
          </w:tcPr>
          <w:p w14:paraId="43D3103C" w14:textId="77777777" w:rsidR="00037D5F" w:rsidRPr="00152A20" w:rsidRDefault="008E5AA1">
            <w:pPr>
              <w:spacing w:after="0" w:line="240" w:lineRule="auto"/>
              <w:contextualSpacing w:val="0"/>
              <w:jc w:val="right"/>
              <w:rPr>
                <w:lang w:val="en-GB"/>
              </w:rPr>
            </w:pPr>
            <w:r w:rsidRPr="00152A20">
              <w:rPr>
                <w:sz w:val="22"/>
                <w:szCs w:val="22"/>
                <w:lang w:val="en-GB"/>
              </w:rPr>
              <w:t>406</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22B32E" w14:textId="77777777" w:rsidR="00037D5F" w:rsidRPr="00152A20" w:rsidRDefault="008E5AA1">
            <w:pPr>
              <w:spacing w:after="0" w:line="240" w:lineRule="auto"/>
              <w:contextualSpacing w:val="0"/>
              <w:jc w:val="right"/>
              <w:rPr>
                <w:lang w:val="en-GB"/>
              </w:rPr>
            </w:pPr>
            <w:r w:rsidRPr="00152A20">
              <w:rPr>
                <w:sz w:val="22"/>
                <w:szCs w:val="22"/>
                <w:lang w:val="en-GB"/>
              </w:rPr>
              <w:t>40%</w:t>
            </w:r>
          </w:p>
        </w:tc>
      </w:tr>
      <w:tr w:rsidR="00037D5F" w:rsidRPr="00152A20" w14:paraId="317140F0" w14:textId="77777777" w:rsidTr="00E06391">
        <w:trPr>
          <w:trHeight w:val="320"/>
        </w:trPr>
        <w:tc>
          <w:tcPr>
            <w:tcW w:w="2700" w:type="dxa"/>
            <w:tcBorders>
              <w:top w:val="nil"/>
              <w:left w:val="single" w:sz="4" w:space="0" w:color="000000"/>
              <w:bottom w:val="single" w:sz="4" w:space="0" w:color="000000"/>
              <w:right w:val="single" w:sz="4" w:space="0" w:color="000000"/>
            </w:tcBorders>
            <w:shd w:val="clear" w:color="auto" w:fill="auto"/>
            <w:vAlign w:val="center"/>
          </w:tcPr>
          <w:p w14:paraId="09C63605" w14:textId="77777777" w:rsidR="00037D5F" w:rsidRPr="00152A20" w:rsidRDefault="008E5AA1">
            <w:pPr>
              <w:spacing w:after="0" w:line="240" w:lineRule="auto"/>
              <w:contextualSpacing w:val="0"/>
              <w:rPr>
                <w:lang w:val="en-GB"/>
              </w:rPr>
            </w:pPr>
            <w:r w:rsidRPr="00152A20">
              <w:rPr>
                <w:sz w:val="22"/>
                <w:szCs w:val="22"/>
                <w:lang w:val="en-GB"/>
              </w:rPr>
              <w:t>Construction</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31903" w14:textId="77777777" w:rsidR="00037D5F" w:rsidRPr="00152A20" w:rsidRDefault="008E5AA1">
            <w:pPr>
              <w:spacing w:after="0" w:line="240" w:lineRule="auto"/>
              <w:contextualSpacing w:val="0"/>
              <w:jc w:val="right"/>
              <w:rPr>
                <w:lang w:val="en-GB"/>
              </w:rPr>
            </w:pPr>
            <w:r w:rsidRPr="00152A20">
              <w:rPr>
                <w:sz w:val="22"/>
                <w:szCs w:val="22"/>
                <w:lang w:val="en-GB"/>
              </w:rPr>
              <w:t>21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34E99" w14:textId="77777777" w:rsidR="00037D5F" w:rsidRPr="00152A20" w:rsidRDefault="008E5AA1">
            <w:pPr>
              <w:spacing w:after="0" w:line="240" w:lineRule="auto"/>
              <w:contextualSpacing w:val="0"/>
              <w:jc w:val="right"/>
              <w:rPr>
                <w:lang w:val="en-GB"/>
              </w:rPr>
            </w:pPr>
            <w:r w:rsidRPr="00152A20">
              <w:rPr>
                <w:sz w:val="22"/>
                <w:szCs w:val="22"/>
                <w:lang w:val="en-GB"/>
              </w:rPr>
              <w:t>104</w:t>
            </w:r>
          </w:p>
        </w:tc>
        <w:tc>
          <w:tcPr>
            <w:tcW w:w="2070" w:type="dxa"/>
            <w:tcBorders>
              <w:top w:val="nil"/>
              <w:left w:val="nil"/>
              <w:bottom w:val="single" w:sz="4" w:space="0" w:color="000000"/>
              <w:right w:val="single" w:sz="4" w:space="0" w:color="000000"/>
            </w:tcBorders>
            <w:shd w:val="clear" w:color="auto" w:fill="auto"/>
            <w:vAlign w:val="bottom"/>
          </w:tcPr>
          <w:p w14:paraId="68DB1A7F" w14:textId="77777777" w:rsidR="00037D5F" w:rsidRPr="00152A20" w:rsidRDefault="008E5AA1">
            <w:pPr>
              <w:spacing w:after="0" w:line="240" w:lineRule="auto"/>
              <w:contextualSpacing w:val="0"/>
              <w:jc w:val="right"/>
              <w:rPr>
                <w:lang w:val="en-GB"/>
              </w:rPr>
            </w:pPr>
            <w:r w:rsidRPr="00152A20">
              <w:rPr>
                <w:sz w:val="22"/>
                <w:szCs w:val="22"/>
                <w:lang w:val="en-GB"/>
              </w:rPr>
              <w:t>49</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946EF3" w14:textId="77777777" w:rsidR="00037D5F" w:rsidRPr="00152A20" w:rsidRDefault="008E5AA1">
            <w:pPr>
              <w:spacing w:after="0" w:line="240" w:lineRule="auto"/>
              <w:contextualSpacing w:val="0"/>
              <w:jc w:val="right"/>
              <w:rPr>
                <w:lang w:val="en-GB"/>
              </w:rPr>
            </w:pPr>
            <w:r w:rsidRPr="00152A20">
              <w:rPr>
                <w:sz w:val="22"/>
                <w:szCs w:val="22"/>
                <w:lang w:val="en-GB"/>
              </w:rPr>
              <w:t>47%</w:t>
            </w:r>
          </w:p>
        </w:tc>
      </w:tr>
      <w:tr w:rsidR="00037D5F" w:rsidRPr="00152A20" w14:paraId="5910633B" w14:textId="77777777" w:rsidTr="00E06391">
        <w:trPr>
          <w:trHeight w:val="320"/>
        </w:trPr>
        <w:tc>
          <w:tcPr>
            <w:tcW w:w="2700" w:type="dxa"/>
            <w:tcBorders>
              <w:top w:val="nil"/>
              <w:left w:val="single" w:sz="4" w:space="0" w:color="000000"/>
              <w:bottom w:val="single" w:sz="4" w:space="0" w:color="000000"/>
              <w:right w:val="single" w:sz="4" w:space="0" w:color="000000"/>
            </w:tcBorders>
            <w:shd w:val="clear" w:color="auto" w:fill="auto"/>
            <w:vAlign w:val="center"/>
          </w:tcPr>
          <w:p w14:paraId="60D4F6CD" w14:textId="77777777" w:rsidR="00037D5F" w:rsidRPr="00152A20" w:rsidRDefault="008E5AA1">
            <w:pPr>
              <w:spacing w:after="0" w:line="240" w:lineRule="auto"/>
              <w:contextualSpacing w:val="0"/>
              <w:rPr>
                <w:lang w:val="en-GB"/>
              </w:rPr>
            </w:pPr>
            <w:r w:rsidRPr="00152A20">
              <w:rPr>
                <w:sz w:val="22"/>
                <w:szCs w:val="22"/>
                <w:lang w:val="en-GB"/>
              </w:rPr>
              <w:t>Transport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CF87A" w14:textId="77777777" w:rsidR="00037D5F" w:rsidRPr="00152A20" w:rsidRDefault="008E5AA1">
            <w:pPr>
              <w:spacing w:after="0" w:line="240" w:lineRule="auto"/>
              <w:contextualSpacing w:val="0"/>
              <w:jc w:val="right"/>
              <w:rPr>
                <w:lang w:val="en-GB"/>
              </w:rPr>
            </w:pPr>
            <w:r w:rsidRPr="00152A20">
              <w:rPr>
                <w:sz w:val="22"/>
                <w:szCs w:val="22"/>
                <w:lang w:val="en-GB"/>
              </w:rPr>
              <w:t>23</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550A3" w14:textId="77777777" w:rsidR="00037D5F" w:rsidRPr="00152A20" w:rsidRDefault="008E5AA1">
            <w:pPr>
              <w:spacing w:after="0" w:line="240" w:lineRule="auto"/>
              <w:contextualSpacing w:val="0"/>
              <w:jc w:val="right"/>
              <w:rPr>
                <w:lang w:val="en-GB"/>
              </w:rPr>
            </w:pPr>
            <w:r w:rsidRPr="00152A20">
              <w:rPr>
                <w:sz w:val="22"/>
                <w:szCs w:val="22"/>
                <w:lang w:val="en-GB"/>
              </w:rPr>
              <w:t>143</w:t>
            </w:r>
          </w:p>
        </w:tc>
        <w:tc>
          <w:tcPr>
            <w:tcW w:w="2070" w:type="dxa"/>
            <w:tcBorders>
              <w:top w:val="nil"/>
              <w:left w:val="nil"/>
              <w:bottom w:val="single" w:sz="4" w:space="0" w:color="000000"/>
              <w:right w:val="single" w:sz="4" w:space="0" w:color="000000"/>
            </w:tcBorders>
            <w:shd w:val="clear" w:color="auto" w:fill="auto"/>
            <w:vAlign w:val="bottom"/>
          </w:tcPr>
          <w:p w14:paraId="0A1361C6" w14:textId="77777777" w:rsidR="00037D5F" w:rsidRPr="00152A20" w:rsidRDefault="008E5AA1">
            <w:pPr>
              <w:spacing w:after="0" w:line="240" w:lineRule="auto"/>
              <w:contextualSpacing w:val="0"/>
              <w:jc w:val="right"/>
              <w:rPr>
                <w:lang w:val="en-GB"/>
              </w:rPr>
            </w:pPr>
            <w:r w:rsidRPr="00152A20">
              <w:rPr>
                <w:sz w:val="22"/>
                <w:szCs w:val="22"/>
                <w:lang w:val="en-GB"/>
              </w:rPr>
              <w:t>76</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9A9344" w14:textId="77777777" w:rsidR="00037D5F" w:rsidRPr="00152A20" w:rsidRDefault="008E5AA1">
            <w:pPr>
              <w:spacing w:after="0" w:line="240" w:lineRule="auto"/>
              <w:contextualSpacing w:val="0"/>
              <w:jc w:val="right"/>
              <w:rPr>
                <w:lang w:val="en-GB"/>
              </w:rPr>
            </w:pPr>
            <w:r w:rsidRPr="00152A20">
              <w:rPr>
                <w:sz w:val="22"/>
                <w:szCs w:val="22"/>
                <w:lang w:val="en-GB"/>
              </w:rPr>
              <w:t>53%</w:t>
            </w:r>
          </w:p>
        </w:tc>
      </w:tr>
      <w:tr w:rsidR="00037D5F" w:rsidRPr="00152A20" w14:paraId="276AB152" w14:textId="77777777" w:rsidTr="00E06391">
        <w:trPr>
          <w:trHeight w:val="320"/>
        </w:trPr>
        <w:tc>
          <w:tcPr>
            <w:tcW w:w="2700" w:type="dxa"/>
            <w:tcBorders>
              <w:top w:val="nil"/>
              <w:left w:val="single" w:sz="4" w:space="0" w:color="000000"/>
              <w:bottom w:val="single" w:sz="4" w:space="0" w:color="000000"/>
              <w:right w:val="single" w:sz="4" w:space="0" w:color="000000"/>
            </w:tcBorders>
            <w:shd w:val="clear" w:color="auto" w:fill="auto"/>
            <w:vAlign w:val="center"/>
          </w:tcPr>
          <w:p w14:paraId="64BBABDE" w14:textId="77777777" w:rsidR="00037D5F" w:rsidRPr="00152A20" w:rsidRDefault="008E5AA1">
            <w:pPr>
              <w:spacing w:after="0" w:line="240" w:lineRule="auto"/>
              <w:contextualSpacing w:val="0"/>
              <w:rPr>
                <w:lang w:val="en-GB"/>
              </w:rPr>
            </w:pPr>
            <w:r w:rsidRPr="00152A20">
              <w:rPr>
                <w:sz w:val="22"/>
                <w:szCs w:val="22"/>
                <w:lang w:val="en-GB"/>
              </w:rPr>
              <w:t>Communication</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50E6" w14:textId="77777777" w:rsidR="00037D5F" w:rsidRPr="00152A20" w:rsidRDefault="008E5AA1">
            <w:pPr>
              <w:spacing w:after="0" w:line="240" w:lineRule="auto"/>
              <w:contextualSpacing w:val="0"/>
              <w:jc w:val="right"/>
              <w:rPr>
                <w:lang w:val="en-GB"/>
              </w:rPr>
            </w:pPr>
            <w:r w:rsidRPr="00152A20">
              <w:rPr>
                <w:sz w:val="22"/>
                <w:szCs w:val="22"/>
                <w:lang w:val="en-GB"/>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53497" w14:textId="77777777" w:rsidR="00037D5F" w:rsidRPr="00152A20" w:rsidRDefault="008E5AA1">
            <w:pPr>
              <w:spacing w:after="0" w:line="240" w:lineRule="auto"/>
              <w:contextualSpacing w:val="0"/>
              <w:jc w:val="right"/>
              <w:rPr>
                <w:lang w:val="en-GB"/>
              </w:rPr>
            </w:pPr>
            <w:r w:rsidRPr="00152A20">
              <w:rPr>
                <w:sz w:val="22"/>
                <w:szCs w:val="22"/>
                <w:lang w:val="en-GB"/>
              </w:rPr>
              <w:t>31</w:t>
            </w:r>
          </w:p>
        </w:tc>
        <w:tc>
          <w:tcPr>
            <w:tcW w:w="2070" w:type="dxa"/>
            <w:tcBorders>
              <w:top w:val="nil"/>
              <w:left w:val="nil"/>
              <w:bottom w:val="single" w:sz="4" w:space="0" w:color="000000"/>
              <w:right w:val="single" w:sz="4" w:space="0" w:color="000000"/>
            </w:tcBorders>
            <w:shd w:val="clear" w:color="auto" w:fill="auto"/>
            <w:vAlign w:val="bottom"/>
          </w:tcPr>
          <w:p w14:paraId="014F3EB4" w14:textId="77777777" w:rsidR="00037D5F" w:rsidRPr="00152A20" w:rsidRDefault="008E5AA1">
            <w:pPr>
              <w:spacing w:after="0" w:line="240" w:lineRule="auto"/>
              <w:contextualSpacing w:val="0"/>
              <w:jc w:val="right"/>
              <w:rPr>
                <w:lang w:val="en-GB"/>
              </w:rPr>
            </w:pPr>
            <w:r w:rsidRPr="00152A20">
              <w:rPr>
                <w:sz w:val="22"/>
                <w:szCs w:val="22"/>
                <w:lang w:val="en-GB"/>
              </w:rPr>
              <w:t>16</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253B8F" w14:textId="77777777" w:rsidR="00037D5F" w:rsidRPr="00152A20" w:rsidRDefault="008E5AA1">
            <w:pPr>
              <w:spacing w:after="0" w:line="240" w:lineRule="auto"/>
              <w:contextualSpacing w:val="0"/>
              <w:jc w:val="right"/>
              <w:rPr>
                <w:lang w:val="en-GB"/>
              </w:rPr>
            </w:pPr>
            <w:r w:rsidRPr="00152A20">
              <w:rPr>
                <w:sz w:val="22"/>
                <w:szCs w:val="22"/>
                <w:lang w:val="en-GB"/>
              </w:rPr>
              <w:t>52%</w:t>
            </w:r>
          </w:p>
        </w:tc>
      </w:tr>
      <w:tr w:rsidR="00037D5F" w:rsidRPr="00152A20" w14:paraId="54E83362" w14:textId="77777777" w:rsidTr="00E06391">
        <w:trPr>
          <w:trHeight w:val="320"/>
        </w:trPr>
        <w:tc>
          <w:tcPr>
            <w:tcW w:w="2700" w:type="dxa"/>
            <w:tcBorders>
              <w:top w:val="nil"/>
              <w:left w:val="single" w:sz="4" w:space="0" w:color="000000"/>
              <w:bottom w:val="single" w:sz="4" w:space="0" w:color="000000"/>
              <w:right w:val="single" w:sz="4" w:space="0" w:color="000000"/>
            </w:tcBorders>
            <w:shd w:val="clear" w:color="auto" w:fill="auto"/>
            <w:vAlign w:val="center"/>
          </w:tcPr>
          <w:p w14:paraId="432169F6" w14:textId="77777777" w:rsidR="00037D5F" w:rsidRPr="00152A20" w:rsidRDefault="008E5AA1">
            <w:pPr>
              <w:spacing w:after="0" w:line="240" w:lineRule="auto"/>
              <w:contextualSpacing w:val="0"/>
              <w:rPr>
                <w:lang w:val="en-GB"/>
              </w:rPr>
            </w:pPr>
            <w:r w:rsidRPr="00152A20">
              <w:rPr>
                <w:sz w:val="22"/>
                <w:szCs w:val="22"/>
                <w:lang w:val="en-GB"/>
              </w:rPr>
              <w:t>Agriculture</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ACDAB" w14:textId="77777777" w:rsidR="00037D5F" w:rsidRPr="00152A20" w:rsidRDefault="008E5AA1">
            <w:pPr>
              <w:spacing w:after="0" w:line="240" w:lineRule="auto"/>
              <w:contextualSpacing w:val="0"/>
              <w:jc w:val="right"/>
              <w:rPr>
                <w:lang w:val="en-GB"/>
              </w:rPr>
            </w:pPr>
            <w:r w:rsidRPr="00152A20">
              <w:rPr>
                <w:sz w:val="22"/>
                <w:szCs w:val="22"/>
                <w:lang w:val="en-GB"/>
              </w:rPr>
              <w:t>60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0805" w14:textId="77777777" w:rsidR="00037D5F" w:rsidRPr="00152A20" w:rsidRDefault="008E5AA1">
            <w:pPr>
              <w:spacing w:after="0" w:line="240" w:lineRule="auto"/>
              <w:contextualSpacing w:val="0"/>
              <w:jc w:val="right"/>
              <w:rPr>
                <w:lang w:val="en-GB"/>
              </w:rPr>
            </w:pPr>
            <w:r w:rsidRPr="00152A20">
              <w:rPr>
                <w:sz w:val="22"/>
                <w:szCs w:val="22"/>
                <w:lang w:val="en-GB"/>
              </w:rPr>
              <w:t>261</w:t>
            </w:r>
          </w:p>
        </w:tc>
        <w:tc>
          <w:tcPr>
            <w:tcW w:w="2070" w:type="dxa"/>
            <w:tcBorders>
              <w:top w:val="nil"/>
              <w:left w:val="nil"/>
              <w:bottom w:val="single" w:sz="4" w:space="0" w:color="000000"/>
              <w:right w:val="single" w:sz="4" w:space="0" w:color="000000"/>
            </w:tcBorders>
            <w:shd w:val="clear" w:color="auto" w:fill="auto"/>
            <w:vAlign w:val="bottom"/>
          </w:tcPr>
          <w:p w14:paraId="00FD54B4" w14:textId="77777777" w:rsidR="00037D5F" w:rsidRPr="00152A20" w:rsidRDefault="008E5AA1">
            <w:pPr>
              <w:spacing w:after="0" w:line="240" w:lineRule="auto"/>
              <w:contextualSpacing w:val="0"/>
              <w:jc w:val="right"/>
              <w:rPr>
                <w:lang w:val="en-GB"/>
              </w:rPr>
            </w:pPr>
            <w:r w:rsidRPr="00152A20">
              <w:rPr>
                <w:sz w:val="22"/>
                <w:szCs w:val="22"/>
                <w:lang w:val="en-GB"/>
              </w:rPr>
              <w:t>119</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A7294D" w14:textId="77777777" w:rsidR="00037D5F" w:rsidRPr="00152A20" w:rsidRDefault="008E5AA1">
            <w:pPr>
              <w:spacing w:after="0" w:line="240" w:lineRule="auto"/>
              <w:contextualSpacing w:val="0"/>
              <w:jc w:val="right"/>
              <w:rPr>
                <w:lang w:val="en-GB"/>
              </w:rPr>
            </w:pPr>
            <w:r w:rsidRPr="00152A20">
              <w:rPr>
                <w:sz w:val="22"/>
                <w:szCs w:val="22"/>
                <w:lang w:val="en-GB"/>
              </w:rPr>
              <w:t>46%</w:t>
            </w:r>
          </w:p>
        </w:tc>
      </w:tr>
      <w:tr w:rsidR="00037D5F" w:rsidRPr="00152A20" w14:paraId="3125CB3F" w14:textId="77777777" w:rsidTr="00E06391">
        <w:trPr>
          <w:trHeight w:val="320"/>
        </w:trPr>
        <w:tc>
          <w:tcPr>
            <w:tcW w:w="2700" w:type="dxa"/>
            <w:tcBorders>
              <w:top w:val="nil"/>
              <w:left w:val="single" w:sz="4" w:space="0" w:color="000000"/>
              <w:bottom w:val="single" w:sz="4" w:space="0" w:color="000000"/>
              <w:right w:val="single" w:sz="4" w:space="0" w:color="000000"/>
            </w:tcBorders>
            <w:shd w:val="clear" w:color="auto" w:fill="auto"/>
            <w:vAlign w:val="center"/>
          </w:tcPr>
          <w:p w14:paraId="6B0815B9" w14:textId="77777777" w:rsidR="00037D5F" w:rsidRPr="00152A20" w:rsidRDefault="008E5AA1">
            <w:pPr>
              <w:spacing w:after="0" w:line="240" w:lineRule="auto"/>
              <w:contextualSpacing w:val="0"/>
              <w:rPr>
                <w:lang w:val="en-GB"/>
              </w:rPr>
            </w:pPr>
            <w:r w:rsidRPr="00152A20">
              <w:rPr>
                <w:sz w:val="22"/>
                <w:szCs w:val="22"/>
                <w:lang w:val="en-GB"/>
              </w:rPr>
              <w:t xml:space="preserve">Economics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3792" w14:textId="77777777" w:rsidR="00037D5F" w:rsidRPr="00152A20" w:rsidRDefault="008E5AA1">
            <w:pPr>
              <w:spacing w:after="0" w:line="240" w:lineRule="auto"/>
              <w:contextualSpacing w:val="0"/>
              <w:jc w:val="right"/>
              <w:rPr>
                <w:lang w:val="en-GB"/>
              </w:rPr>
            </w:pPr>
            <w:r w:rsidRPr="00152A20">
              <w:rPr>
                <w:sz w:val="22"/>
                <w:szCs w:val="22"/>
                <w:lang w:val="en-GB"/>
              </w:rPr>
              <w:t>31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E9C1B" w14:textId="77777777" w:rsidR="00037D5F" w:rsidRPr="00152A20" w:rsidRDefault="008E5AA1">
            <w:pPr>
              <w:spacing w:after="0" w:line="240" w:lineRule="auto"/>
              <w:contextualSpacing w:val="0"/>
              <w:jc w:val="right"/>
              <w:rPr>
                <w:lang w:val="en-GB"/>
              </w:rPr>
            </w:pPr>
            <w:r w:rsidRPr="00152A20">
              <w:rPr>
                <w:sz w:val="22"/>
                <w:szCs w:val="22"/>
                <w:lang w:val="en-GB"/>
              </w:rPr>
              <w:t>170</w:t>
            </w:r>
          </w:p>
        </w:tc>
        <w:tc>
          <w:tcPr>
            <w:tcW w:w="2070" w:type="dxa"/>
            <w:tcBorders>
              <w:top w:val="nil"/>
              <w:left w:val="nil"/>
              <w:bottom w:val="single" w:sz="4" w:space="0" w:color="000000"/>
              <w:right w:val="single" w:sz="4" w:space="0" w:color="000000"/>
            </w:tcBorders>
            <w:shd w:val="clear" w:color="auto" w:fill="auto"/>
            <w:vAlign w:val="bottom"/>
          </w:tcPr>
          <w:p w14:paraId="04B776E7" w14:textId="77777777" w:rsidR="00037D5F" w:rsidRPr="00152A20" w:rsidRDefault="008E5AA1">
            <w:pPr>
              <w:spacing w:after="0" w:line="240" w:lineRule="auto"/>
              <w:contextualSpacing w:val="0"/>
              <w:jc w:val="right"/>
              <w:rPr>
                <w:lang w:val="en-GB"/>
              </w:rPr>
            </w:pPr>
            <w:r w:rsidRPr="00152A20">
              <w:rPr>
                <w:sz w:val="22"/>
                <w:szCs w:val="22"/>
                <w:lang w:val="en-GB"/>
              </w:rPr>
              <w:t>119</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92D26" w14:textId="77777777" w:rsidR="00037D5F" w:rsidRPr="00152A20" w:rsidRDefault="008E5AA1">
            <w:pPr>
              <w:spacing w:after="0" w:line="240" w:lineRule="auto"/>
              <w:contextualSpacing w:val="0"/>
              <w:jc w:val="right"/>
              <w:rPr>
                <w:lang w:val="en-GB"/>
              </w:rPr>
            </w:pPr>
            <w:r w:rsidRPr="00152A20">
              <w:rPr>
                <w:sz w:val="22"/>
                <w:szCs w:val="22"/>
                <w:lang w:val="en-GB"/>
              </w:rPr>
              <w:t>70%</w:t>
            </w:r>
          </w:p>
        </w:tc>
      </w:tr>
      <w:tr w:rsidR="00037D5F" w:rsidRPr="00152A20" w14:paraId="0B8AF800" w14:textId="77777777" w:rsidTr="00E06391">
        <w:trPr>
          <w:trHeight w:val="320"/>
        </w:trPr>
        <w:tc>
          <w:tcPr>
            <w:tcW w:w="2700" w:type="dxa"/>
            <w:tcBorders>
              <w:top w:val="nil"/>
              <w:left w:val="single" w:sz="4" w:space="0" w:color="000000"/>
              <w:bottom w:val="single" w:sz="4" w:space="0" w:color="000000"/>
              <w:right w:val="single" w:sz="4" w:space="0" w:color="000000"/>
            </w:tcBorders>
            <w:shd w:val="clear" w:color="auto" w:fill="auto"/>
            <w:vAlign w:val="center"/>
          </w:tcPr>
          <w:p w14:paraId="11F2EB75" w14:textId="77777777" w:rsidR="00037D5F" w:rsidRPr="00152A20" w:rsidRDefault="008E5AA1">
            <w:pPr>
              <w:spacing w:after="0" w:line="240" w:lineRule="auto"/>
              <w:contextualSpacing w:val="0"/>
              <w:rPr>
                <w:lang w:val="en-GB"/>
              </w:rPr>
            </w:pPr>
            <w:r w:rsidRPr="00152A20">
              <w:rPr>
                <w:sz w:val="22"/>
                <w:szCs w:val="22"/>
                <w:lang w:val="en-GB"/>
              </w:rPr>
              <w:t>Law</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FAA7E" w14:textId="77777777" w:rsidR="00037D5F" w:rsidRPr="00152A20" w:rsidRDefault="008E5AA1">
            <w:pPr>
              <w:spacing w:after="0" w:line="240" w:lineRule="auto"/>
              <w:contextualSpacing w:val="0"/>
              <w:jc w:val="right"/>
              <w:rPr>
                <w:lang w:val="en-GB"/>
              </w:rPr>
            </w:pPr>
            <w:r w:rsidRPr="00152A20">
              <w:rPr>
                <w:sz w:val="22"/>
                <w:szCs w:val="22"/>
                <w:lang w:val="en-GB"/>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C6616" w14:textId="77777777" w:rsidR="00037D5F" w:rsidRPr="00152A20" w:rsidRDefault="008E5AA1">
            <w:pPr>
              <w:spacing w:after="0" w:line="240" w:lineRule="auto"/>
              <w:contextualSpacing w:val="0"/>
              <w:jc w:val="right"/>
              <w:rPr>
                <w:lang w:val="en-GB"/>
              </w:rPr>
            </w:pPr>
            <w:r w:rsidRPr="00152A20">
              <w:rPr>
                <w:sz w:val="22"/>
                <w:szCs w:val="22"/>
                <w:lang w:val="en-GB"/>
              </w:rPr>
              <w:t>27</w:t>
            </w:r>
          </w:p>
        </w:tc>
        <w:tc>
          <w:tcPr>
            <w:tcW w:w="2070" w:type="dxa"/>
            <w:tcBorders>
              <w:top w:val="nil"/>
              <w:left w:val="nil"/>
              <w:bottom w:val="single" w:sz="4" w:space="0" w:color="000000"/>
              <w:right w:val="single" w:sz="4" w:space="0" w:color="000000"/>
            </w:tcBorders>
            <w:shd w:val="clear" w:color="auto" w:fill="auto"/>
            <w:vAlign w:val="bottom"/>
          </w:tcPr>
          <w:p w14:paraId="17652A51" w14:textId="77777777" w:rsidR="00037D5F" w:rsidRPr="00152A20" w:rsidRDefault="008E5AA1">
            <w:pPr>
              <w:spacing w:after="0" w:line="240" w:lineRule="auto"/>
              <w:contextualSpacing w:val="0"/>
              <w:jc w:val="right"/>
              <w:rPr>
                <w:lang w:val="en-GB"/>
              </w:rPr>
            </w:pPr>
            <w:r w:rsidRPr="00152A20">
              <w:rPr>
                <w:sz w:val="22"/>
                <w:szCs w:val="22"/>
                <w:lang w:val="en-GB"/>
              </w:rPr>
              <w:t>21</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5347A" w14:textId="77777777" w:rsidR="00037D5F" w:rsidRPr="00152A20" w:rsidRDefault="008E5AA1">
            <w:pPr>
              <w:spacing w:after="0" w:line="240" w:lineRule="auto"/>
              <w:contextualSpacing w:val="0"/>
              <w:jc w:val="right"/>
              <w:rPr>
                <w:lang w:val="en-GB"/>
              </w:rPr>
            </w:pPr>
            <w:r w:rsidRPr="00152A20">
              <w:rPr>
                <w:sz w:val="22"/>
                <w:szCs w:val="22"/>
                <w:lang w:val="en-GB"/>
              </w:rPr>
              <w:t>78%</w:t>
            </w:r>
          </w:p>
        </w:tc>
      </w:tr>
      <w:tr w:rsidR="00037D5F" w:rsidRPr="00152A20" w14:paraId="4263150F" w14:textId="77777777" w:rsidTr="00E06391">
        <w:trPr>
          <w:trHeight w:val="320"/>
        </w:trPr>
        <w:tc>
          <w:tcPr>
            <w:tcW w:w="2700" w:type="dxa"/>
            <w:tcBorders>
              <w:top w:val="nil"/>
              <w:left w:val="single" w:sz="4" w:space="0" w:color="000000"/>
              <w:bottom w:val="single" w:sz="4" w:space="0" w:color="000000"/>
              <w:right w:val="single" w:sz="4" w:space="0" w:color="000000"/>
            </w:tcBorders>
            <w:shd w:val="clear" w:color="auto" w:fill="auto"/>
            <w:vAlign w:val="center"/>
          </w:tcPr>
          <w:p w14:paraId="6D58DD02" w14:textId="77777777" w:rsidR="00037D5F" w:rsidRPr="00152A20" w:rsidRDefault="008E5AA1">
            <w:pPr>
              <w:spacing w:after="0" w:line="240" w:lineRule="auto"/>
              <w:contextualSpacing w:val="0"/>
              <w:rPr>
                <w:lang w:val="en-GB"/>
              </w:rPr>
            </w:pPr>
            <w:r w:rsidRPr="00152A20">
              <w:rPr>
                <w:sz w:val="22"/>
                <w:szCs w:val="22"/>
                <w:lang w:val="en-GB"/>
              </w:rPr>
              <w:t>Healthcare</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37ABC" w14:textId="77777777" w:rsidR="00037D5F" w:rsidRPr="00152A20" w:rsidRDefault="008E5AA1">
            <w:pPr>
              <w:spacing w:after="0" w:line="240" w:lineRule="auto"/>
              <w:contextualSpacing w:val="0"/>
              <w:jc w:val="right"/>
              <w:rPr>
                <w:lang w:val="en-GB"/>
              </w:rPr>
            </w:pPr>
            <w:r w:rsidRPr="00152A20">
              <w:rPr>
                <w:sz w:val="22"/>
                <w:szCs w:val="22"/>
                <w:lang w:val="en-GB"/>
              </w:rPr>
              <w:t>46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2C14" w14:textId="77777777" w:rsidR="00037D5F" w:rsidRPr="00152A20" w:rsidRDefault="008E5AA1">
            <w:pPr>
              <w:spacing w:after="0" w:line="240" w:lineRule="auto"/>
              <w:contextualSpacing w:val="0"/>
              <w:jc w:val="right"/>
              <w:rPr>
                <w:lang w:val="en-GB"/>
              </w:rPr>
            </w:pPr>
            <w:r w:rsidRPr="00152A20">
              <w:rPr>
                <w:sz w:val="22"/>
                <w:szCs w:val="22"/>
                <w:lang w:val="en-GB"/>
              </w:rPr>
              <w:t>186</w:t>
            </w:r>
          </w:p>
        </w:tc>
        <w:tc>
          <w:tcPr>
            <w:tcW w:w="2070" w:type="dxa"/>
            <w:tcBorders>
              <w:top w:val="nil"/>
              <w:left w:val="nil"/>
              <w:bottom w:val="single" w:sz="4" w:space="0" w:color="000000"/>
              <w:right w:val="single" w:sz="4" w:space="0" w:color="000000"/>
            </w:tcBorders>
            <w:shd w:val="clear" w:color="auto" w:fill="auto"/>
            <w:vAlign w:val="bottom"/>
          </w:tcPr>
          <w:p w14:paraId="492FD46E" w14:textId="77777777" w:rsidR="00037D5F" w:rsidRPr="00152A20" w:rsidRDefault="008E5AA1">
            <w:pPr>
              <w:spacing w:after="0" w:line="240" w:lineRule="auto"/>
              <w:contextualSpacing w:val="0"/>
              <w:jc w:val="right"/>
              <w:rPr>
                <w:lang w:val="en-GB"/>
              </w:rPr>
            </w:pPr>
            <w:r w:rsidRPr="00152A20">
              <w:rPr>
                <w:sz w:val="22"/>
                <w:szCs w:val="22"/>
                <w:lang w:val="en-GB"/>
              </w:rPr>
              <w:t>14</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55FA5" w14:textId="77777777" w:rsidR="00037D5F" w:rsidRPr="00152A20" w:rsidRDefault="008E5AA1">
            <w:pPr>
              <w:spacing w:after="0" w:line="240" w:lineRule="auto"/>
              <w:contextualSpacing w:val="0"/>
              <w:jc w:val="right"/>
              <w:rPr>
                <w:lang w:val="en-GB"/>
              </w:rPr>
            </w:pPr>
            <w:r w:rsidRPr="00152A20">
              <w:rPr>
                <w:sz w:val="22"/>
                <w:szCs w:val="22"/>
                <w:lang w:val="en-GB"/>
              </w:rPr>
              <w:t>8%</w:t>
            </w:r>
          </w:p>
        </w:tc>
      </w:tr>
      <w:tr w:rsidR="00037D5F" w:rsidRPr="00152A20" w14:paraId="57A61EA1" w14:textId="77777777" w:rsidTr="00E06391">
        <w:trPr>
          <w:trHeight w:val="320"/>
        </w:trPr>
        <w:tc>
          <w:tcPr>
            <w:tcW w:w="2700" w:type="dxa"/>
            <w:tcBorders>
              <w:top w:val="nil"/>
              <w:left w:val="single" w:sz="4" w:space="0" w:color="000000"/>
              <w:bottom w:val="single" w:sz="4" w:space="0" w:color="000000"/>
              <w:right w:val="single" w:sz="4" w:space="0" w:color="000000"/>
            </w:tcBorders>
            <w:shd w:val="clear" w:color="auto" w:fill="auto"/>
            <w:vAlign w:val="center"/>
          </w:tcPr>
          <w:p w14:paraId="6E2BAB4D" w14:textId="77777777" w:rsidR="00037D5F" w:rsidRPr="00152A20" w:rsidRDefault="008E5AA1">
            <w:pPr>
              <w:spacing w:after="0" w:line="240" w:lineRule="auto"/>
              <w:contextualSpacing w:val="0"/>
              <w:rPr>
                <w:lang w:val="en-GB"/>
              </w:rPr>
            </w:pPr>
            <w:r w:rsidRPr="00152A20">
              <w:rPr>
                <w:sz w:val="22"/>
                <w:szCs w:val="22"/>
                <w:lang w:val="en-GB"/>
              </w:rPr>
              <w:t>Physical training and sport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7946C" w14:textId="77777777" w:rsidR="00037D5F" w:rsidRPr="00152A20" w:rsidRDefault="008E5AA1">
            <w:pPr>
              <w:spacing w:after="0" w:line="240" w:lineRule="auto"/>
              <w:contextualSpacing w:val="0"/>
              <w:jc w:val="right"/>
              <w:rPr>
                <w:lang w:val="en-GB"/>
              </w:rPr>
            </w:pPr>
            <w:r w:rsidRPr="00152A20">
              <w:rPr>
                <w:sz w:val="22"/>
                <w:szCs w:val="22"/>
                <w:lang w:val="en-GB"/>
              </w:rPr>
              <w:t>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5B8FE" w14:textId="77777777" w:rsidR="00037D5F" w:rsidRPr="00152A20" w:rsidRDefault="008E5AA1">
            <w:pPr>
              <w:spacing w:after="0" w:line="240" w:lineRule="auto"/>
              <w:contextualSpacing w:val="0"/>
              <w:jc w:val="right"/>
              <w:rPr>
                <w:lang w:val="en-GB"/>
              </w:rPr>
            </w:pPr>
            <w:r w:rsidRPr="00152A20">
              <w:rPr>
                <w:sz w:val="22"/>
                <w:szCs w:val="22"/>
                <w:lang w:val="en-GB"/>
              </w:rPr>
              <w:t>28</w:t>
            </w:r>
          </w:p>
        </w:tc>
        <w:tc>
          <w:tcPr>
            <w:tcW w:w="2070" w:type="dxa"/>
            <w:tcBorders>
              <w:top w:val="nil"/>
              <w:left w:val="nil"/>
              <w:bottom w:val="single" w:sz="4" w:space="0" w:color="000000"/>
              <w:right w:val="single" w:sz="4" w:space="0" w:color="000000"/>
            </w:tcBorders>
            <w:shd w:val="clear" w:color="auto" w:fill="auto"/>
            <w:vAlign w:val="bottom"/>
          </w:tcPr>
          <w:p w14:paraId="15F6C63D" w14:textId="77777777" w:rsidR="00037D5F" w:rsidRPr="00152A20" w:rsidRDefault="008E5AA1">
            <w:pPr>
              <w:spacing w:after="0" w:line="240" w:lineRule="auto"/>
              <w:contextualSpacing w:val="0"/>
              <w:jc w:val="right"/>
              <w:rPr>
                <w:lang w:val="en-GB"/>
              </w:rPr>
            </w:pPr>
            <w:r w:rsidRPr="00152A20">
              <w:rPr>
                <w:sz w:val="22"/>
                <w:szCs w:val="22"/>
                <w:lang w:val="en-GB"/>
              </w:rPr>
              <w:t>13</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1FBD18" w14:textId="77777777" w:rsidR="00037D5F" w:rsidRPr="00152A20" w:rsidRDefault="008E5AA1">
            <w:pPr>
              <w:spacing w:after="0" w:line="240" w:lineRule="auto"/>
              <w:contextualSpacing w:val="0"/>
              <w:jc w:val="right"/>
              <w:rPr>
                <w:lang w:val="en-GB"/>
              </w:rPr>
            </w:pPr>
            <w:r w:rsidRPr="00152A20">
              <w:rPr>
                <w:sz w:val="22"/>
                <w:szCs w:val="22"/>
                <w:lang w:val="en-GB"/>
              </w:rPr>
              <w:t>46%</w:t>
            </w:r>
          </w:p>
        </w:tc>
      </w:tr>
      <w:tr w:rsidR="00037D5F" w:rsidRPr="00152A20" w14:paraId="2D0DAF8B" w14:textId="77777777" w:rsidTr="00E06391">
        <w:trPr>
          <w:trHeight w:val="320"/>
        </w:trPr>
        <w:tc>
          <w:tcPr>
            <w:tcW w:w="2700" w:type="dxa"/>
            <w:tcBorders>
              <w:top w:val="nil"/>
              <w:left w:val="single" w:sz="4" w:space="0" w:color="000000"/>
              <w:bottom w:val="single" w:sz="4" w:space="0" w:color="000000"/>
              <w:right w:val="single" w:sz="4" w:space="0" w:color="000000"/>
            </w:tcBorders>
            <w:shd w:val="clear" w:color="auto" w:fill="auto"/>
            <w:vAlign w:val="center"/>
          </w:tcPr>
          <w:p w14:paraId="1AF1E952" w14:textId="77777777" w:rsidR="00037D5F" w:rsidRPr="00152A20" w:rsidRDefault="008E5AA1">
            <w:pPr>
              <w:spacing w:after="0" w:line="240" w:lineRule="auto"/>
              <w:contextualSpacing w:val="0"/>
              <w:rPr>
                <w:lang w:val="en-GB"/>
              </w:rPr>
            </w:pPr>
            <w:r w:rsidRPr="00152A20">
              <w:rPr>
                <w:sz w:val="22"/>
                <w:szCs w:val="22"/>
                <w:lang w:val="en-GB"/>
              </w:rPr>
              <w:t>Education</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0B8AB" w14:textId="77777777" w:rsidR="00037D5F" w:rsidRPr="00152A20" w:rsidRDefault="008E5AA1">
            <w:pPr>
              <w:spacing w:after="0" w:line="240" w:lineRule="auto"/>
              <w:contextualSpacing w:val="0"/>
              <w:jc w:val="right"/>
              <w:rPr>
                <w:lang w:val="en-GB"/>
              </w:rPr>
            </w:pPr>
            <w:r w:rsidRPr="00152A20">
              <w:rPr>
                <w:sz w:val="22"/>
                <w:szCs w:val="22"/>
                <w:lang w:val="en-GB"/>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955B5" w14:textId="77777777" w:rsidR="00037D5F" w:rsidRPr="00152A20" w:rsidRDefault="008E5AA1">
            <w:pPr>
              <w:spacing w:after="0" w:line="240" w:lineRule="auto"/>
              <w:contextualSpacing w:val="0"/>
              <w:jc w:val="right"/>
              <w:rPr>
                <w:lang w:val="en-GB"/>
              </w:rPr>
            </w:pPr>
            <w:r w:rsidRPr="00152A20">
              <w:rPr>
                <w:sz w:val="22"/>
                <w:szCs w:val="22"/>
                <w:lang w:val="en-GB"/>
              </w:rPr>
              <w:t>52</w:t>
            </w:r>
          </w:p>
        </w:tc>
        <w:tc>
          <w:tcPr>
            <w:tcW w:w="2070" w:type="dxa"/>
            <w:tcBorders>
              <w:top w:val="nil"/>
              <w:left w:val="nil"/>
              <w:bottom w:val="single" w:sz="4" w:space="0" w:color="000000"/>
              <w:right w:val="single" w:sz="4" w:space="0" w:color="000000"/>
            </w:tcBorders>
            <w:shd w:val="clear" w:color="auto" w:fill="auto"/>
            <w:vAlign w:val="bottom"/>
          </w:tcPr>
          <w:p w14:paraId="3529D593" w14:textId="77777777" w:rsidR="00037D5F" w:rsidRPr="00152A20" w:rsidRDefault="008E5AA1">
            <w:pPr>
              <w:spacing w:after="0" w:line="240" w:lineRule="auto"/>
              <w:contextualSpacing w:val="0"/>
              <w:jc w:val="right"/>
              <w:rPr>
                <w:lang w:val="en-GB"/>
              </w:rPr>
            </w:pPr>
            <w:r w:rsidRPr="00152A20">
              <w:rPr>
                <w:sz w:val="22"/>
                <w:szCs w:val="22"/>
                <w:lang w:val="en-GB"/>
              </w:rPr>
              <w:t>32</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F3338F" w14:textId="77777777" w:rsidR="00037D5F" w:rsidRPr="00152A20" w:rsidRDefault="008E5AA1">
            <w:pPr>
              <w:spacing w:after="0" w:line="240" w:lineRule="auto"/>
              <w:contextualSpacing w:val="0"/>
              <w:jc w:val="right"/>
              <w:rPr>
                <w:lang w:val="en-GB"/>
              </w:rPr>
            </w:pPr>
            <w:r w:rsidRPr="00152A20">
              <w:rPr>
                <w:sz w:val="22"/>
                <w:szCs w:val="22"/>
                <w:lang w:val="en-GB"/>
              </w:rPr>
              <w:t>62%</w:t>
            </w:r>
          </w:p>
        </w:tc>
      </w:tr>
      <w:tr w:rsidR="00037D5F" w:rsidRPr="00152A20" w14:paraId="501BBB75" w14:textId="77777777" w:rsidTr="00E06391">
        <w:trPr>
          <w:trHeight w:val="320"/>
        </w:trPr>
        <w:tc>
          <w:tcPr>
            <w:tcW w:w="2700" w:type="dxa"/>
            <w:tcBorders>
              <w:top w:val="nil"/>
              <w:left w:val="single" w:sz="4" w:space="0" w:color="000000"/>
              <w:bottom w:val="single" w:sz="4" w:space="0" w:color="000000"/>
              <w:right w:val="single" w:sz="4" w:space="0" w:color="000000"/>
            </w:tcBorders>
            <w:shd w:val="clear" w:color="auto" w:fill="auto"/>
            <w:vAlign w:val="center"/>
          </w:tcPr>
          <w:p w14:paraId="011442FD" w14:textId="77777777" w:rsidR="00037D5F" w:rsidRPr="00152A20" w:rsidRDefault="008E5AA1">
            <w:pPr>
              <w:spacing w:after="0" w:line="240" w:lineRule="auto"/>
              <w:contextualSpacing w:val="0"/>
              <w:rPr>
                <w:lang w:val="en-GB"/>
              </w:rPr>
            </w:pPr>
            <w:r w:rsidRPr="00152A20">
              <w:rPr>
                <w:sz w:val="22"/>
                <w:szCs w:val="22"/>
                <w:lang w:val="en-GB"/>
              </w:rPr>
              <w:t>Pedagogical HEIs</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A8F13" w14:textId="77777777" w:rsidR="00037D5F" w:rsidRPr="00152A20" w:rsidRDefault="008E5AA1">
            <w:pPr>
              <w:spacing w:after="0" w:line="240" w:lineRule="auto"/>
              <w:contextualSpacing w:val="0"/>
              <w:jc w:val="right"/>
              <w:rPr>
                <w:lang w:val="en-GB"/>
              </w:rPr>
            </w:pPr>
            <w:r w:rsidRPr="00152A20">
              <w:rPr>
                <w:sz w:val="22"/>
                <w:szCs w:val="22"/>
                <w:lang w:val="en-GB"/>
              </w:rPr>
              <w:t>94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F70FF" w14:textId="77777777" w:rsidR="00037D5F" w:rsidRPr="00152A20" w:rsidRDefault="008E5AA1">
            <w:pPr>
              <w:spacing w:after="0" w:line="240" w:lineRule="auto"/>
              <w:contextualSpacing w:val="0"/>
              <w:jc w:val="right"/>
              <w:rPr>
                <w:lang w:val="en-GB"/>
              </w:rPr>
            </w:pPr>
            <w:r w:rsidRPr="00152A20">
              <w:rPr>
                <w:sz w:val="22"/>
                <w:szCs w:val="22"/>
                <w:lang w:val="en-GB"/>
              </w:rPr>
              <w:t>446</w:t>
            </w:r>
          </w:p>
        </w:tc>
        <w:tc>
          <w:tcPr>
            <w:tcW w:w="2070" w:type="dxa"/>
            <w:tcBorders>
              <w:top w:val="nil"/>
              <w:left w:val="nil"/>
              <w:bottom w:val="single" w:sz="4" w:space="0" w:color="000000"/>
              <w:right w:val="single" w:sz="4" w:space="0" w:color="000000"/>
            </w:tcBorders>
            <w:shd w:val="clear" w:color="auto" w:fill="auto"/>
            <w:vAlign w:val="bottom"/>
          </w:tcPr>
          <w:p w14:paraId="590EA23D" w14:textId="77777777" w:rsidR="00037D5F" w:rsidRPr="00152A20" w:rsidRDefault="008E5AA1">
            <w:pPr>
              <w:spacing w:after="0" w:line="240" w:lineRule="auto"/>
              <w:contextualSpacing w:val="0"/>
              <w:jc w:val="right"/>
              <w:rPr>
                <w:lang w:val="en-GB"/>
              </w:rPr>
            </w:pPr>
            <w:r w:rsidRPr="00152A20">
              <w:rPr>
                <w:sz w:val="22"/>
                <w:szCs w:val="22"/>
                <w:lang w:val="en-GB"/>
              </w:rPr>
              <w:t>179</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2E72F" w14:textId="77777777" w:rsidR="00037D5F" w:rsidRPr="00152A20" w:rsidRDefault="008E5AA1">
            <w:pPr>
              <w:spacing w:after="0" w:line="240" w:lineRule="auto"/>
              <w:contextualSpacing w:val="0"/>
              <w:jc w:val="right"/>
              <w:rPr>
                <w:lang w:val="en-GB"/>
              </w:rPr>
            </w:pPr>
            <w:r w:rsidRPr="00152A20">
              <w:rPr>
                <w:sz w:val="22"/>
                <w:szCs w:val="22"/>
                <w:lang w:val="en-GB"/>
              </w:rPr>
              <w:t>40%</w:t>
            </w:r>
          </w:p>
        </w:tc>
      </w:tr>
      <w:tr w:rsidR="00037D5F" w:rsidRPr="00152A20" w14:paraId="52EF4BAC" w14:textId="77777777" w:rsidTr="00E06391">
        <w:trPr>
          <w:trHeight w:val="320"/>
        </w:trPr>
        <w:tc>
          <w:tcPr>
            <w:tcW w:w="2700" w:type="dxa"/>
            <w:tcBorders>
              <w:top w:val="nil"/>
              <w:left w:val="single" w:sz="4" w:space="0" w:color="000000"/>
              <w:bottom w:val="single" w:sz="4" w:space="0" w:color="000000"/>
              <w:right w:val="single" w:sz="4" w:space="0" w:color="000000"/>
            </w:tcBorders>
            <w:shd w:val="clear" w:color="auto" w:fill="auto"/>
            <w:vAlign w:val="center"/>
          </w:tcPr>
          <w:p w14:paraId="52F358FC" w14:textId="77777777" w:rsidR="00037D5F" w:rsidRPr="00152A20" w:rsidRDefault="008E5AA1">
            <w:pPr>
              <w:spacing w:after="0" w:line="240" w:lineRule="auto"/>
              <w:contextualSpacing w:val="0"/>
              <w:rPr>
                <w:lang w:val="en-GB"/>
              </w:rPr>
            </w:pPr>
            <w:r w:rsidRPr="00152A20">
              <w:rPr>
                <w:sz w:val="22"/>
                <w:szCs w:val="22"/>
                <w:lang w:val="en-GB"/>
              </w:rPr>
              <w:t>Art and cinema</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9A173" w14:textId="77777777" w:rsidR="00037D5F" w:rsidRPr="00152A20" w:rsidRDefault="008E5AA1">
            <w:pPr>
              <w:spacing w:after="0" w:line="240" w:lineRule="auto"/>
              <w:contextualSpacing w:val="0"/>
              <w:jc w:val="right"/>
              <w:rPr>
                <w:lang w:val="en-GB"/>
              </w:rPr>
            </w:pPr>
            <w:r w:rsidRPr="00152A20">
              <w:rPr>
                <w:sz w:val="22"/>
                <w:szCs w:val="22"/>
                <w:lang w:val="en-GB"/>
              </w:rPr>
              <w:t>30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393D0" w14:textId="77777777" w:rsidR="00037D5F" w:rsidRPr="00152A20" w:rsidRDefault="008E5AA1">
            <w:pPr>
              <w:spacing w:after="0" w:line="240" w:lineRule="auto"/>
              <w:contextualSpacing w:val="0"/>
              <w:jc w:val="right"/>
              <w:rPr>
                <w:lang w:val="en-GB"/>
              </w:rPr>
            </w:pPr>
            <w:r w:rsidRPr="00152A20">
              <w:rPr>
                <w:sz w:val="22"/>
                <w:szCs w:val="22"/>
                <w:lang w:val="en-GB"/>
              </w:rPr>
              <w:t>21</w:t>
            </w:r>
          </w:p>
        </w:tc>
        <w:tc>
          <w:tcPr>
            <w:tcW w:w="2070" w:type="dxa"/>
            <w:tcBorders>
              <w:top w:val="nil"/>
              <w:left w:val="nil"/>
              <w:bottom w:val="single" w:sz="4" w:space="0" w:color="000000"/>
              <w:right w:val="single" w:sz="4" w:space="0" w:color="000000"/>
            </w:tcBorders>
            <w:shd w:val="clear" w:color="auto" w:fill="auto"/>
            <w:vAlign w:val="bottom"/>
          </w:tcPr>
          <w:p w14:paraId="086A8701" w14:textId="77777777" w:rsidR="00037D5F" w:rsidRPr="00152A20" w:rsidRDefault="008E5AA1">
            <w:pPr>
              <w:spacing w:after="0" w:line="240" w:lineRule="auto"/>
              <w:contextualSpacing w:val="0"/>
              <w:jc w:val="right"/>
              <w:rPr>
                <w:lang w:val="en-GB"/>
              </w:rPr>
            </w:pPr>
            <w:r w:rsidRPr="00152A20">
              <w:rPr>
                <w:sz w:val="22"/>
                <w:szCs w:val="22"/>
                <w:lang w:val="en-GB"/>
              </w:rPr>
              <w:t>7</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C9EF53" w14:textId="77777777" w:rsidR="00037D5F" w:rsidRPr="00152A20" w:rsidRDefault="008E5AA1">
            <w:pPr>
              <w:spacing w:after="0" w:line="240" w:lineRule="auto"/>
              <w:contextualSpacing w:val="0"/>
              <w:jc w:val="right"/>
              <w:rPr>
                <w:lang w:val="en-GB"/>
              </w:rPr>
            </w:pPr>
            <w:r w:rsidRPr="00152A20">
              <w:rPr>
                <w:sz w:val="22"/>
                <w:szCs w:val="22"/>
                <w:lang w:val="en-GB"/>
              </w:rPr>
              <w:t>33%</w:t>
            </w:r>
          </w:p>
        </w:tc>
      </w:tr>
      <w:tr w:rsidR="00037D5F" w:rsidRPr="00152A20" w14:paraId="0B46ACDB" w14:textId="77777777" w:rsidTr="00E06391">
        <w:trPr>
          <w:trHeight w:val="300"/>
        </w:trPr>
        <w:tc>
          <w:tcPr>
            <w:tcW w:w="2700" w:type="dxa"/>
            <w:tcBorders>
              <w:top w:val="nil"/>
              <w:left w:val="single" w:sz="4" w:space="0" w:color="000000"/>
              <w:bottom w:val="single" w:sz="4" w:space="0" w:color="000000"/>
              <w:right w:val="single" w:sz="4" w:space="0" w:color="000000"/>
            </w:tcBorders>
            <w:shd w:val="clear" w:color="auto" w:fill="auto"/>
            <w:vAlign w:val="center"/>
          </w:tcPr>
          <w:p w14:paraId="4136DD86" w14:textId="77777777" w:rsidR="00037D5F" w:rsidRPr="00152A20" w:rsidRDefault="008E5AA1">
            <w:pPr>
              <w:spacing w:after="0" w:line="240" w:lineRule="auto"/>
              <w:contextualSpacing w:val="0"/>
              <w:rPr>
                <w:lang w:val="en-GB"/>
              </w:rPr>
            </w:pPr>
            <w:r w:rsidRPr="00152A20">
              <w:rPr>
                <w:sz w:val="22"/>
                <w:szCs w:val="22"/>
                <w:lang w:val="en-GB"/>
              </w:rPr>
              <w:t>Universities</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D47ED" w14:textId="77777777" w:rsidR="00037D5F" w:rsidRPr="00152A20" w:rsidRDefault="008E5AA1">
            <w:pPr>
              <w:spacing w:after="0" w:line="240" w:lineRule="auto"/>
              <w:contextualSpacing w:val="0"/>
              <w:jc w:val="right"/>
              <w:rPr>
                <w:lang w:val="en-GB"/>
              </w:rPr>
            </w:pPr>
            <w:r w:rsidRPr="00152A20">
              <w:rPr>
                <w:sz w:val="22"/>
                <w:szCs w:val="22"/>
                <w:lang w:val="en-GB"/>
              </w:rPr>
              <w:t>42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D3EAA" w14:textId="77777777" w:rsidR="00037D5F" w:rsidRPr="00152A20" w:rsidRDefault="008E5AA1">
            <w:pPr>
              <w:spacing w:after="0" w:line="240" w:lineRule="auto"/>
              <w:contextualSpacing w:val="0"/>
              <w:jc w:val="right"/>
              <w:rPr>
                <w:lang w:val="en-GB"/>
              </w:rPr>
            </w:pPr>
            <w:r w:rsidRPr="00152A20">
              <w:rPr>
                <w:sz w:val="22"/>
                <w:szCs w:val="22"/>
                <w:lang w:val="en-GB"/>
              </w:rPr>
              <w:t>328</w:t>
            </w:r>
          </w:p>
        </w:tc>
        <w:tc>
          <w:tcPr>
            <w:tcW w:w="2070" w:type="dxa"/>
            <w:tcBorders>
              <w:top w:val="nil"/>
              <w:left w:val="nil"/>
              <w:bottom w:val="single" w:sz="4" w:space="0" w:color="000000"/>
              <w:right w:val="single" w:sz="4" w:space="0" w:color="000000"/>
            </w:tcBorders>
            <w:shd w:val="clear" w:color="auto" w:fill="auto"/>
            <w:vAlign w:val="bottom"/>
          </w:tcPr>
          <w:p w14:paraId="20F9EB6F" w14:textId="77777777" w:rsidR="00037D5F" w:rsidRPr="00152A20" w:rsidRDefault="008E5AA1">
            <w:pPr>
              <w:spacing w:after="0" w:line="240" w:lineRule="auto"/>
              <w:contextualSpacing w:val="0"/>
              <w:jc w:val="right"/>
              <w:rPr>
                <w:lang w:val="en-GB"/>
              </w:rPr>
            </w:pPr>
            <w:r w:rsidRPr="00152A20">
              <w:rPr>
                <w:sz w:val="22"/>
                <w:szCs w:val="22"/>
                <w:lang w:val="en-GB"/>
              </w:rPr>
              <w:t>125</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9B58D" w14:textId="77777777" w:rsidR="00037D5F" w:rsidRPr="00152A20" w:rsidRDefault="008E5AA1">
            <w:pPr>
              <w:spacing w:after="0" w:line="240" w:lineRule="auto"/>
              <w:contextualSpacing w:val="0"/>
              <w:jc w:val="right"/>
              <w:rPr>
                <w:lang w:val="en-GB"/>
              </w:rPr>
            </w:pPr>
            <w:r w:rsidRPr="00152A20">
              <w:rPr>
                <w:sz w:val="22"/>
                <w:szCs w:val="22"/>
                <w:lang w:val="en-GB"/>
              </w:rPr>
              <w:t>38%</w:t>
            </w:r>
          </w:p>
        </w:tc>
      </w:tr>
    </w:tbl>
    <w:p w14:paraId="3161FDBD" w14:textId="65B14825" w:rsidR="00037D5F" w:rsidRPr="00152A20" w:rsidRDefault="008E5AA1">
      <w:pPr>
        <w:spacing w:after="0" w:line="240" w:lineRule="auto"/>
        <w:rPr>
          <w:lang w:val="en-GB"/>
        </w:rPr>
      </w:pPr>
      <w:r w:rsidRPr="00152A20">
        <w:rPr>
          <w:i/>
          <w:lang w:val="en-GB"/>
        </w:rPr>
        <w:t xml:space="preserve">Source: </w:t>
      </w:r>
      <w:r w:rsidR="002D51FC" w:rsidRPr="00152A20">
        <w:rPr>
          <w:i/>
          <w:lang w:val="en-GB"/>
        </w:rPr>
        <w:t xml:space="preserve">Statistical </w:t>
      </w:r>
      <w:r w:rsidR="002307F8">
        <w:rPr>
          <w:i/>
          <w:lang w:val="en-GB"/>
        </w:rPr>
        <w:t>B</w:t>
      </w:r>
      <w:r w:rsidR="002D51FC" w:rsidRPr="00152A20">
        <w:rPr>
          <w:i/>
          <w:lang w:val="en-GB"/>
        </w:rPr>
        <w:t>ook on higher education</w:t>
      </w:r>
      <w:r w:rsidRPr="00152A20">
        <w:rPr>
          <w:i/>
          <w:lang w:val="en-GB"/>
        </w:rPr>
        <w:t xml:space="preserve"> 1992</w:t>
      </w:r>
    </w:p>
    <w:p w14:paraId="17500DA2" w14:textId="2153EFD8" w:rsidR="00037D5F" w:rsidRPr="00152A20" w:rsidRDefault="008E5AA1">
      <w:pPr>
        <w:spacing w:before="200"/>
        <w:rPr>
          <w:lang w:val="en-GB"/>
        </w:rPr>
      </w:pPr>
      <w:r w:rsidRPr="00152A20">
        <w:rPr>
          <w:lang w:val="en-GB"/>
        </w:rPr>
        <w:lastRenderedPageBreak/>
        <w:t>The number of HEIs speciali</w:t>
      </w:r>
      <w:r w:rsidR="002307F8">
        <w:rPr>
          <w:lang w:val="en-GB"/>
        </w:rPr>
        <w:t>s</w:t>
      </w:r>
      <w:r w:rsidRPr="00152A20">
        <w:rPr>
          <w:lang w:val="en-GB"/>
        </w:rPr>
        <w:t xml:space="preserve">ed in economics and law was limited. Moreover, these institutions mostly provided part-time education. About 70% of students took evening and correspondence courses </w:t>
      </w:r>
      <w:r w:rsidR="002307F8">
        <w:rPr>
          <w:lang w:val="en-GB"/>
        </w:rPr>
        <w:t>in such institutions</w:t>
      </w:r>
      <w:r w:rsidRPr="00152A20">
        <w:rPr>
          <w:lang w:val="en-GB"/>
        </w:rPr>
        <w:t xml:space="preserve">, while in all other types of HEIs </w:t>
      </w:r>
      <w:r w:rsidR="00955356" w:rsidRPr="00152A20">
        <w:rPr>
          <w:lang w:val="en-GB"/>
        </w:rPr>
        <w:t>the percentages ranged from</w:t>
      </w:r>
      <w:r w:rsidRPr="00152A20">
        <w:rPr>
          <w:lang w:val="en-GB"/>
        </w:rPr>
        <w:t xml:space="preserve"> 30</w:t>
      </w:r>
      <w:r w:rsidR="00955356" w:rsidRPr="00152A20">
        <w:rPr>
          <w:lang w:val="en-GB"/>
        </w:rPr>
        <w:t xml:space="preserve">% to </w:t>
      </w:r>
      <w:r w:rsidRPr="00152A20">
        <w:rPr>
          <w:lang w:val="en-GB"/>
        </w:rPr>
        <w:t xml:space="preserve">50%. The exception were medical institutions where </w:t>
      </w:r>
      <w:r w:rsidR="00955356" w:rsidRPr="00152A20">
        <w:rPr>
          <w:lang w:val="en-GB"/>
        </w:rPr>
        <w:t xml:space="preserve">the </w:t>
      </w:r>
      <w:r w:rsidRPr="00152A20">
        <w:rPr>
          <w:lang w:val="en-GB"/>
        </w:rPr>
        <w:t xml:space="preserve">share of full-time students was about 92%. </w:t>
      </w:r>
    </w:p>
    <w:p w14:paraId="7527CEC0" w14:textId="5BC93A03" w:rsidR="00037D5F" w:rsidRPr="00152A20" w:rsidRDefault="008E5AA1">
      <w:pPr>
        <w:spacing w:before="200"/>
        <w:rPr>
          <w:lang w:val="en-GB"/>
        </w:rPr>
      </w:pPr>
      <w:r w:rsidRPr="00152A20">
        <w:rPr>
          <w:lang w:val="en-GB"/>
        </w:rPr>
        <w:t xml:space="preserve">In general, </w:t>
      </w:r>
      <w:r w:rsidR="00955356" w:rsidRPr="00152A20">
        <w:rPr>
          <w:lang w:val="en-GB"/>
        </w:rPr>
        <w:t xml:space="preserve">the </w:t>
      </w:r>
      <w:r w:rsidRPr="00152A20">
        <w:rPr>
          <w:lang w:val="en-GB"/>
        </w:rPr>
        <w:t xml:space="preserve">Soviet Russian higher education system, as </w:t>
      </w:r>
      <w:r w:rsidR="00955356" w:rsidRPr="00152A20">
        <w:rPr>
          <w:lang w:val="en-GB"/>
        </w:rPr>
        <w:t xml:space="preserve">in </w:t>
      </w:r>
      <w:r w:rsidRPr="00152A20">
        <w:rPr>
          <w:lang w:val="en-GB"/>
        </w:rPr>
        <w:t xml:space="preserve">the </w:t>
      </w:r>
      <w:r w:rsidR="00955356" w:rsidRPr="00152A20">
        <w:rPr>
          <w:lang w:val="en-GB"/>
        </w:rPr>
        <w:t xml:space="preserve">rest of the </w:t>
      </w:r>
      <w:r w:rsidRPr="00152A20">
        <w:rPr>
          <w:lang w:val="en-GB"/>
        </w:rPr>
        <w:t xml:space="preserve">Soviet system, reproduced the German-style industrial education </w:t>
      </w:r>
      <w:r w:rsidR="00955356" w:rsidRPr="00152A20">
        <w:rPr>
          <w:lang w:val="en-GB"/>
        </w:rPr>
        <w:t xml:space="preserve">model </w:t>
      </w:r>
      <w:r w:rsidRPr="00152A20">
        <w:rPr>
          <w:lang w:val="en-GB"/>
        </w:rPr>
        <w:t>(strict segmentation of vocational and higher education)</w:t>
      </w:r>
      <w:r w:rsidR="00955356" w:rsidRPr="00152A20">
        <w:rPr>
          <w:lang w:val="en-GB"/>
        </w:rPr>
        <w:t xml:space="preserve"> and the </w:t>
      </w:r>
      <w:proofErr w:type="spellStart"/>
      <w:r w:rsidRPr="00152A20">
        <w:rPr>
          <w:lang w:val="en-GB"/>
        </w:rPr>
        <w:t>Humboldtian</w:t>
      </w:r>
      <w:proofErr w:type="spellEnd"/>
      <w:r w:rsidRPr="00152A20">
        <w:rPr>
          <w:lang w:val="en-GB"/>
        </w:rPr>
        <w:t xml:space="preserve"> academic tradition </w:t>
      </w:r>
      <w:r w:rsidR="00315D96" w:rsidRPr="00152A20">
        <w:rPr>
          <w:lang w:val="en-GB"/>
        </w:rPr>
        <w:t xml:space="preserve">(although </w:t>
      </w:r>
      <w:r w:rsidRPr="00152A20">
        <w:rPr>
          <w:lang w:val="en-GB"/>
        </w:rPr>
        <w:t xml:space="preserve">with </w:t>
      </w:r>
      <w:r w:rsidR="00315D96" w:rsidRPr="00152A20">
        <w:rPr>
          <w:lang w:val="en-GB"/>
        </w:rPr>
        <w:t>a</w:t>
      </w:r>
      <w:r w:rsidRPr="00152A20">
        <w:rPr>
          <w:lang w:val="en-GB"/>
        </w:rPr>
        <w:t xml:space="preserve"> Soviet </w:t>
      </w:r>
      <w:r w:rsidR="00315D96" w:rsidRPr="00152A20">
        <w:rPr>
          <w:lang w:val="en-GB"/>
        </w:rPr>
        <w:t>slant)</w:t>
      </w:r>
      <w:r w:rsidRPr="00152A20">
        <w:rPr>
          <w:lang w:val="en-GB"/>
        </w:rPr>
        <w:t xml:space="preserve">. </w:t>
      </w:r>
      <w:r w:rsidR="00315D96" w:rsidRPr="00152A20">
        <w:rPr>
          <w:lang w:val="en-GB"/>
        </w:rPr>
        <w:t xml:space="preserve">The model </w:t>
      </w:r>
      <w:r w:rsidRPr="00152A20">
        <w:rPr>
          <w:lang w:val="en-GB"/>
        </w:rPr>
        <w:t xml:space="preserve">reflected ‘’a merger between the need for speedy mass education with the reality of few university </w:t>
      </w:r>
      <w:proofErr w:type="spellStart"/>
      <w:r w:rsidRPr="00152A20">
        <w:rPr>
          <w:lang w:val="en-GB"/>
        </w:rPr>
        <w:t>centers</w:t>
      </w:r>
      <w:proofErr w:type="spellEnd"/>
      <w:r w:rsidRPr="00152A20">
        <w:rPr>
          <w:lang w:val="en-GB"/>
        </w:rPr>
        <w:t xml:space="preserve"> in the country” (</w:t>
      </w:r>
      <w:proofErr w:type="spellStart"/>
      <w:r w:rsidRPr="00152A20">
        <w:rPr>
          <w:shd w:val="clear" w:color="auto" w:fill="FFF5BF"/>
          <w:lang w:val="en-GB"/>
        </w:rPr>
        <w:t>Kuraev</w:t>
      </w:r>
      <w:proofErr w:type="spellEnd"/>
      <w:r w:rsidRPr="00152A20">
        <w:rPr>
          <w:shd w:val="clear" w:color="auto" w:fill="FFF5BF"/>
          <w:lang w:val="en-GB"/>
        </w:rPr>
        <w:t xml:space="preserve"> 2015, 182</w:t>
      </w:r>
      <w:r w:rsidRPr="00152A20">
        <w:rPr>
          <w:lang w:val="en-GB"/>
        </w:rPr>
        <w:t xml:space="preserve">). These </w:t>
      </w:r>
      <w:r w:rsidR="002D51FC" w:rsidRPr="00152A20">
        <w:rPr>
          <w:lang w:val="en-GB"/>
        </w:rPr>
        <w:t>cent</w:t>
      </w:r>
      <w:r w:rsidR="00F17E6C">
        <w:rPr>
          <w:lang w:val="en-GB"/>
        </w:rPr>
        <w:t>re</w:t>
      </w:r>
      <w:r w:rsidR="002D51FC" w:rsidRPr="00152A20">
        <w:rPr>
          <w:lang w:val="en-GB"/>
        </w:rPr>
        <w:t xml:space="preserve">s of knowledge </w:t>
      </w:r>
      <w:r w:rsidRPr="00152A20">
        <w:rPr>
          <w:lang w:val="en-GB"/>
        </w:rPr>
        <w:t xml:space="preserve">were </w:t>
      </w:r>
      <w:r w:rsidR="00F17E6C">
        <w:rPr>
          <w:lang w:val="en-GB"/>
        </w:rPr>
        <w:t xml:space="preserve">established </w:t>
      </w:r>
      <w:r w:rsidRPr="00152A20">
        <w:rPr>
          <w:lang w:val="en-GB"/>
        </w:rPr>
        <w:t xml:space="preserve">by the most prestigious universities, such as the </w:t>
      </w:r>
      <w:proofErr w:type="spellStart"/>
      <w:r w:rsidRPr="00152A20">
        <w:rPr>
          <w:lang w:val="en-GB"/>
        </w:rPr>
        <w:t>Lomonosov</w:t>
      </w:r>
      <w:proofErr w:type="spellEnd"/>
      <w:r w:rsidRPr="00152A20">
        <w:rPr>
          <w:lang w:val="en-GB"/>
        </w:rPr>
        <w:t xml:space="preserve"> Moscow State University. With regard to </w:t>
      </w:r>
      <w:r w:rsidR="00315D96" w:rsidRPr="00152A20">
        <w:rPr>
          <w:lang w:val="en-GB"/>
        </w:rPr>
        <w:t xml:space="preserve">the </w:t>
      </w:r>
      <w:r w:rsidRPr="00152A20">
        <w:rPr>
          <w:lang w:val="en-GB"/>
        </w:rPr>
        <w:t>typology of Soviet HEIs (</w:t>
      </w:r>
      <w:proofErr w:type="spellStart"/>
      <w:r w:rsidRPr="00152A20">
        <w:rPr>
          <w:lang w:val="en-GB"/>
        </w:rPr>
        <w:t>Froumin</w:t>
      </w:r>
      <w:proofErr w:type="spellEnd"/>
      <w:r w:rsidRPr="00152A20">
        <w:rPr>
          <w:lang w:val="en-GB"/>
        </w:rPr>
        <w:t xml:space="preserve"> et al. 2014), we can </w:t>
      </w:r>
      <w:r w:rsidR="00315D96" w:rsidRPr="00152A20">
        <w:rPr>
          <w:lang w:val="en-GB"/>
        </w:rPr>
        <w:t xml:space="preserve">distinguish </w:t>
      </w:r>
      <w:r w:rsidRPr="00152A20">
        <w:rPr>
          <w:lang w:val="en-GB"/>
        </w:rPr>
        <w:t xml:space="preserve">six types of HEIs in Soviet Russia </w:t>
      </w:r>
      <w:r w:rsidRPr="00152A20">
        <w:rPr>
          <w:shd w:val="clear" w:color="auto" w:fill="FFF5BF"/>
          <w:lang w:val="en-GB"/>
        </w:rPr>
        <w:t>(</w:t>
      </w:r>
      <w:r w:rsidR="00F17E6C">
        <w:rPr>
          <w:shd w:val="clear" w:color="auto" w:fill="FFF5BF"/>
          <w:lang w:val="en-GB"/>
        </w:rPr>
        <w:t>T</w:t>
      </w:r>
      <w:r w:rsidRPr="00152A20">
        <w:rPr>
          <w:shd w:val="clear" w:color="auto" w:fill="FFF5BF"/>
          <w:lang w:val="en-GB"/>
        </w:rPr>
        <w:t>able 3)</w:t>
      </w:r>
      <w:r w:rsidRPr="00152A20">
        <w:rPr>
          <w:lang w:val="en-GB"/>
        </w:rPr>
        <w:t xml:space="preserve">. </w:t>
      </w:r>
    </w:p>
    <w:p w14:paraId="13337FDB" w14:textId="77777777" w:rsidR="00037D5F" w:rsidRPr="00152A20" w:rsidRDefault="008E5AA1">
      <w:pPr>
        <w:spacing w:before="200"/>
        <w:rPr>
          <w:lang w:val="en-GB"/>
        </w:rPr>
      </w:pPr>
      <w:r w:rsidRPr="00152A20">
        <w:rPr>
          <w:i/>
          <w:shd w:val="clear" w:color="auto" w:fill="FFF5BF"/>
          <w:lang w:val="en-GB"/>
        </w:rPr>
        <w:t>Table 3.</w:t>
      </w:r>
      <w:r w:rsidRPr="00152A20">
        <w:rPr>
          <w:i/>
          <w:lang w:val="en-GB"/>
        </w:rPr>
        <w:t xml:space="preserve"> Types of HEIs in Soviet Russia</w:t>
      </w:r>
    </w:p>
    <w:tbl>
      <w:tblPr>
        <w:tblStyle w:val="a1"/>
        <w:tblW w:w="9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3765"/>
        <w:gridCol w:w="4140"/>
      </w:tblGrid>
      <w:tr w:rsidR="00037D5F" w:rsidRPr="00152A20" w14:paraId="341A5187" w14:textId="77777777">
        <w:tc>
          <w:tcPr>
            <w:tcW w:w="1770" w:type="dxa"/>
            <w:tcMar>
              <w:top w:w="100" w:type="dxa"/>
              <w:left w:w="100" w:type="dxa"/>
              <w:bottom w:w="100" w:type="dxa"/>
              <w:right w:w="100" w:type="dxa"/>
            </w:tcMar>
          </w:tcPr>
          <w:p w14:paraId="39BCC1CF" w14:textId="77777777" w:rsidR="00037D5F" w:rsidRPr="00152A20" w:rsidRDefault="00037D5F">
            <w:pPr>
              <w:widowControl w:val="0"/>
              <w:spacing w:after="0" w:line="240" w:lineRule="auto"/>
              <w:contextualSpacing w:val="0"/>
              <w:jc w:val="left"/>
              <w:rPr>
                <w:lang w:val="en-GB"/>
              </w:rPr>
            </w:pPr>
          </w:p>
        </w:tc>
        <w:tc>
          <w:tcPr>
            <w:tcW w:w="3765" w:type="dxa"/>
            <w:tcMar>
              <w:top w:w="100" w:type="dxa"/>
              <w:left w:w="100" w:type="dxa"/>
              <w:bottom w:w="100" w:type="dxa"/>
              <w:right w:w="100" w:type="dxa"/>
            </w:tcMar>
          </w:tcPr>
          <w:p w14:paraId="19640675" w14:textId="77777777" w:rsidR="00037D5F" w:rsidRPr="00152A20" w:rsidRDefault="008E5AA1">
            <w:pPr>
              <w:widowControl w:val="0"/>
              <w:spacing w:after="0" w:line="240" w:lineRule="auto"/>
              <w:contextualSpacing w:val="0"/>
              <w:jc w:val="left"/>
              <w:rPr>
                <w:lang w:val="en-GB"/>
              </w:rPr>
            </w:pPr>
            <w:r w:rsidRPr="00152A20">
              <w:rPr>
                <w:lang w:val="en-GB"/>
              </w:rPr>
              <w:t>Leading</w:t>
            </w:r>
          </w:p>
        </w:tc>
        <w:tc>
          <w:tcPr>
            <w:tcW w:w="4140" w:type="dxa"/>
            <w:tcMar>
              <w:top w:w="100" w:type="dxa"/>
              <w:left w:w="100" w:type="dxa"/>
              <w:bottom w:w="100" w:type="dxa"/>
              <w:right w:w="100" w:type="dxa"/>
            </w:tcMar>
          </w:tcPr>
          <w:p w14:paraId="2D586B54" w14:textId="77777777" w:rsidR="00037D5F" w:rsidRPr="00152A20" w:rsidRDefault="008E5AA1">
            <w:pPr>
              <w:widowControl w:val="0"/>
              <w:spacing w:after="0" w:line="240" w:lineRule="auto"/>
              <w:contextualSpacing w:val="0"/>
              <w:jc w:val="left"/>
              <w:rPr>
                <w:lang w:val="en-GB"/>
              </w:rPr>
            </w:pPr>
            <w:r w:rsidRPr="00152A20">
              <w:rPr>
                <w:lang w:val="en-GB"/>
              </w:rPr>
              <w:t>General</w:t>
            </w:r>
          </w:p>
        </w:tc>
      </w:tr>
      <w:tr w:rsidR="00037D5F" w:rsidRPr="0029475F" w14:paraId="02A097FB" w14:textId="77777777">
        <w:tc>
          <w:tcPr>
            <w:tcW w:w="1770" w:type="dxa"/>
            <w:tcMar>
              <w:top w:w="100" w:type="dxa"/>
              <w:left w:w="100" w:type="dxa"/>
              <w:bottom w:w="100" w:type="dxa"/>
              <w:right w:w="100" w:type="dxa"/>
            </w:tcMar>
          </w:tcPr>
          <w:p w14:paraId="70B683FA" w14:textId="77777777" w:rsidR="00037D5F" w:rsidRPr="00152A20" w:rsidRDefault="008E5AA1">
            <w:pPr>
              <w:widowControl w:val="0"/>
              <w:spacing w:after="0" w:line="240" w:lineRule="auto"/>
              <w:contextualSpacing w:val="0"/>
              <w:jc w:val="left"/>
              <w:rPr>
                <w:lang w:val="en-GB"/>
              </w:rPr>
            </w:pPr>
            <w:proofErr w:type="spellStart"/>
            <w:r w:rsidRPr="00152A20">
              <w:rPr>
                <w:lang w:val="en-GB"/>
              </w:rPr>
              <w:t>Сomprehensive</w:t>
            </w:r>
            <w:proofErr w:type="spellEnd"/>
            <w:r w:rsidRPr="00152A20">
              <w:rPr>
                <w:lang w:val="en-GB"/>
              </w:rPr>
              <w:t xml:space="preserve"> universities</w:t>
            </w:r>
          </w:p>
        </w:tc>
        <w:tc>
          <w:tcPr>
            <w:tcW w:w="3765" w:type="dxa"/>
            <w:tcMar>
              <w:top w:w="100" w:type="dxa"/>
              <w:left w:w="100" w:type="dxa"/>
              <w:bottom w:w="100" w:type="dxa"/>
              <w:right w:w="100" w:type="dxa"/>
            </w:tcMar>
          </w:tcPr>
          <w:p w14:paraId="24F20927" w14:textId="4F430073" w:rsidR="00037D5F" w:rsidRPr="00152A20" w:rsidRDefault="008E5AA1">
            <w:pPr>
              <w:spacing w:after="0" w:line="240" w:lineRule="auto"/>
              <w:contextualSpacing w:val="0"/>
              <w:rPr>
                <w:lang w:val="en-GB"/>
              </w:rPr>
            </w:pPr>
            <w:r w:rsidRPr="00152A20">
              <w:rPr>
                <w:sz w:val="20"/>
                <w:szCs w:val="20"/>
                <w:lang w:val="en-GB"/>
              </w:rPr>
              <w:t>Old prestigious universities, research cent</w:t>
            </w:r>
            <w:r w:rsidR="00F17E6C">
              <w:rPr>
                <w:sz w:val="20"/>
                <w:szCs w:val="20"/>
                <w:lang w:val="en-GB"/>
              </w:rPr>
              <w:t>re</w:t>
            </w:r>
            <w:r w:rsidRPr="00152A20">
              <w:rPr>
                <w:sz w:val="20"/>
                <w:szCs w:val="20"/>
                <w:lang w:val="en-GB"/>
              </w:rPr>
              <w:t>s, located in capital/regional cent</w:t>
            </w:r>
            <w:r w:rsidR="00F17E6C">
              <w:rPr>
                <w:sz w:val="20"/>
                <w:szCs w:val="20"/>
                <w:lang w:val="en-GB"/>
              </w:rPr>
              <w:t>re</w:t>
            </w:r>
            <w:r w:rsidRPr="00152A20">
              <w:rPr>
                <w:sz w:val="20"/>
                <w:szCs w:val="20"/>
                <w:lang w:val="en-GB"/>
              </w:rPr>
              <w:t xml:space="preserve">s, subordinated by </w:t>
            </w:r>
            <w:proofErr w:type="spellStart"/>
            <w:r w:rsidRPr="00152A20">
              <w:rPr>
                <w:sz w:val="20"/>
                <w:szCs w:val="20"/>
                <w:lang w:val="en-GB"/>
              </w:rPr>
              <w:t>MoE</w:t>
            </w:r>
            <w:proofErr w:type="spellEnd"/>
          </w:p>
          <w:p w14:paraId="7455F668" w14:textId="77777777" w:rsidR="00037D5F" w:rsidRPr="00152A20" w:rsidRDefault="00037D5F">
            <w:pPr>
              <w:spacing w:after="0" w:line="240" w:lineRule="auto"/>
              <w:contextualSpacing w:val="0"/>
              <w:rPr>
                <w:lang w:val="en-GB"/>
              </w:rPr>
            </w:pPr>
          </w:p>
          <w:p w14:paraId="20DADA6F" w14:textId="77777777" w:rsidR="00037D5F" w:rsidRPr="00152A20" w:rsidRDefault="008E5AA1">
            <w:pPr>
              <w:spacing w:after="0" w:line="240" w:lineRule="auto"/>
              <w:contextualSpacing w:val="0"/>
              <w:rPr>
                <w:lang w:val="en-GB"/>
              </w:rPr>
            </w:pPr>
            <w:r w:rsidRPr="00152A20">
              <w:rPr>
                <w:sz w:val="20"/>
                <w:szCs w:val="20"/>
                <w:lang w:val="en-GB"/>
              </w:rPr>
              <w:t>~5-10 universities</w:t>
            </w:r>
          </w:p>
          <w:p w14:paraId="06FAA879" w14:textId="77777777" w:rsidR="00037D5F" w:rsidRPr="00152A20" w:rsidRDefault="008E5AA1">
            <w:pPr>
              <w:spacing w:after="0" w:line="240" w:lineRule="auto"/>
              <w:contextualSpacing w:val="0"/>
              <w:rPr>
                <w:lang w:val="en-GB"/>
              </w:rPr>
            </w:pPr>
            <w:r w:rsidRPr="00152A20">
              <w:rPr>
                <w:sz w:val="20"/>
                <w:szCs w:val="20"/>
                <w:lang w:val="en-GB"/>
              </w:rPr>
              <w:t>~80-120 thousand students</w:t>
            </w:r>
          </w:p>
          <w:p w14:paraId="591DDCC2" w14:textId="77777777" w:rsidR="00037D5F" w:rsidRPr="00152A20" w:rsidRDefault="00037D5F">
            <w:pPr>
              <w:spacing w:after="0" w:line="240" w:lineRule="auto"/>
              <w:contextualSpacing w:val="0"/>
              <w:rPr>
                <w:lang w:val="en-GB"/>
              </w:rPr>
            </w:pPr>
          </w:p>
          <w:p w14:paraId="69AADE28" w14:textId="77777777" w:rsidR="00037D5F" w:rsidRPr="00152A20" w:rsidRDefault="008E5AA1">
            <w:pPr>
              <w:spacing w:after="0" w:line="240" w:lineRule="auto"/>
              <w:contextualSpacing w:val="0"/>
              <w:rPr>
                <w:lang w:val="en-GB"/>
              </w:rPr>
            </w:pPr>
            <w:r w:rsidRPr="00152A20">
              <w:rPr>
                <w:sz w:val="20"/>
                <w:szCs w:val="20"/>
                <w:lang w:val="en-GB"/>
              </w:rPr>
              <w:t xml:space="preserve">Ex.: </w:t>
            </w:r>
            <w:proofErr w:type="spellStart"/>
            <w:r w:rsidRPr="00152A20">
              <w:rPr>
                <w:sz w:val="20"/>
                <w:szCs w:val="20"/>
                <w:lang w:val="en-GB"/>
              </w:rPr>
              <w:t>Lomonosov</w:t>
            </w:r>
            <w:proofErr w:type="spellEnd"/>
            <w:r w:rsidRPr="00152A20">
              <w:rPr>
                <w:sz w:val="20"/>
                <w:szCs w:val="20"/>
                <w:lang w:val="en-GB"/>
              </w:rPr>
              <w:t xml:space="preserve"> Moscow State University</w:t>
            </w:r>
          </w:p>
        </w:tc>
        <w:tc>
          <w:tcPr>
            <w:tcW w:w="4140" w:type="dxa"/>
            <w:tcMar>
              <w:top w:w="100" w:type="dxa"/>
              <w:left w:w="100" w:type="dxa"/>
              <w:bottom w:w="100" w:type="dxa"/>
              <w:right w:w="100" w:type="dxa"/>
            </w:tcMar>
          </w:tcPr>
          <w:p w14:paraId="5B19A302" w14:textId="77777777" w:rsidR="00037D5F" w:rsidRPr="00152A20" w:rsidRDefault="008E5AA1">
            <w:pPr>
              <w:widowControl w:val="0"/>
              <w:spacing w:after="0" w:line="240" w:lineRule="auto"/>
              <w:contextualSpacing w:val="0"/>
              <w:jc w:val="left"/>
              <w:rPr>
                <w:lang w:val="en-GB"/>
              </w:rPr>
            </w:pPr>
            <w:r w:rsidRPr="00152A20">
              <w:rPr>
                <w:sz w:val="20"/>
                <w:szCs w:val="20"/>
                <w:lang w:val="en-GB"/>
              </w:rPr>
              <w:t xml:space="preserve">Established for regional socio-economic development; some were opened on the basis of pedagogical HEIs, graduates - faculty for other HEIs, and staff for research institutes, widespread within regions, subordinated by </w:t>
            </w:r>
            <w:proofErr w:type="spellStart"/>
            <w:r w:rsidRPr="00152A20">
              <w:rPr>
                <w:sz w:val="20"/>
                <w:szCs w:val="20"/>
                <w:lang w:val="en-GB"/>
              </w:rPr>
              <w:t>MoE</w:t>
            </w:r>
            <w:proofErr w:type="spellEnd"/>
          </w:p>
          <w:p w14:paraId="018F74F3" w14:textId="77777777" w:rsidR="00037D5F" w:rsidRPr="00152A20" w:rsidRDefault="00037D5F">
            <w:pPr>
              <w:widowControl w:val="0"/>
              <w:spacing w:after="0" w:line="240" w:lineRule="auto"/>
              <w:contextualSpacing w:val="0"/>
              <w:jc w:val="left"/>
              <w:rPr>
                <w:lang w:val="en-GB"/>
              </w:rPr>
            </w:pPr>
          </w:p>
          <w:p w14:paraId="77862CFF" w14:textId="77777777" w:rsidR="00037D5F" w:rsidRPr="00152A20" w:rsidRDefault="008E5AA1">
            <w:pPr>
              <w:widowControl w:val="0"/>
              <w:spacing w:after="0" w:line="240" w:lineRule="auto"/>
              <w:contextualSpacing w:val="0"/>
              <w:jc w:val="left"/>
              <w:rPr>
                <w:lang w:val="en-GB"/>
              </w:rPr>
            </w:pPr>
            <w:r w:rsidRPr="00152A20">
              <w:rPr>
                <w:sz w:val="20"/>
                <w:szCs w:val="20"/>
                <w:lang w:val="en-GB"/>
              </w:rPr>
              <w:t>~32-37 universities</w:t>
            </w:r>
          </w:p>
          <w:p w14:paraId="71791E9B" w14:textId="77777777" w:rsidR="00037D5F" w:rsidRPr="00152A20" w:rsidRDefault="008E5AA1">
            <w:pPr>
              <w:widowControl w:val="0"/>
              <w:spacing w:after="0" w:line="240" w:lineRule="auto"/>
              <w:contextualSpacing w:val="0"/>
              <w:jc w:val="left"/>
              <w:rPr>
                <w:lang w:val="en-GB"/>
              </w:rPr>
            </w:pPr>
            <w:r w:rsidRPr="00152A20">
              <w:rPr>
                <w:sz w:val="20"/>
                <w:szCs w:val="20"/>
                <w:lang w:val="en-GB"/>
              </w:rPr>
              <w:t>~180-240 thousand students</w:t>
            </w:r>
          </w:p>
          <w:p w14:paraId="4E98224F" w14:textId="77777777" w:rsidR="00037D5F" w:rsidRPr="00152A20" w:rsidRDefault="00037D5F">
            <w:pPr>
              <w:widowControl w:val="0"/>
              <w:spacing w:after="0" w:line="240" w:lineRule="auto"/>
              <w:contextualSpacing w:val="0"/>
              <w:jc w:val="left"/>
              <w:rPr>
                <w:lang w:val="en-GB"/>
              </w:rPr>
            </w:pPr>
          </w:p>
          <w:p w14:paraId="3D69103C" w14:textId="77777777" w:rsidR="00037D5F" w:rsidRPr="00152A20" w:rsidRDefault="008E5AA1">
            <w:pPr>
              <w:widowControl w:val="0"/>
              <w:spacing w:after="0" w:line="240" w:lineRule="auto"/>
              <w:contextualSpacing w:val="0"/>
              <w:jc w:val="left"/>
              <w:rPr>
                <w:lang w:val="en-GB"/>
              </w:rPr>
            </w:pPr>
            <w:r w:rsidRPr="00152A20">
              <w:rPr>
                <w:sz w:val="20"/>
                <w:szCs w:val="20"/>
                <w:lang w:val="en-GB"/>
              </w:rPr>
              <w:t>Ex.: Tyumen State University</w:t>
            </w:r>
          </w:p>
        </w:tc>
      </w:tr>
      <w:tr w:rsidR="00037D5F" w:rsidRPr="0029475F" w14:paraId="3308910D" w14:textId="77777777">
        <w:tc>
          <w:tcPr>
            <w:tcW w:w="1770" w:type="dxa"/>
            <w:tcMar>
              <w:top w:w="100" w:type="dxa"/>
              <w:left w:w="100" w:type="dxa"/>
              <w:bottom w:w="100" w:type="dxa"/>
              <w:right w:w="100" w:type="dxa"/>
            </w:tcMar>
          </w:tcPr>
          <w:p w14:paraId="65F324EA" w14:textId="77777777" w:rsidR="00037D5F" w:rsidRPr="00152A20" w:rsidRDefault="008E5AA1">
            <w:pPr>
              <w:widowControl w:val="0"/>
              <w:spacing w:after="0" w:line="240" w:lineRule="auto"/>
              <w:contextualSpacing w:val="0"/>
              <w:jc w:val="left"/>
              <w:rPr>
                <w:lang w:val="en-GB"/>
              </w:rPr>
            </w:pPr>
            <w:r w:rsidRPr="00152A20">
              <w:rPr>
                <w:lang w:val="en-GB"/>
              </w:rPr>
              <w:t>National industrial HEIs</w:t>
            </w:r>
          </w:p>
        </w:tc>
        <w:tc>
          <w:tcPr>
            <w:tcW w:w="3765" w:type="dxa"/>
            <w:tcMar>
              <w:top w:w="100" w:type="dxa"/>
              <w:left w:w="100" w:type="dxa"/>
              <w:bottom w:w="100" w:type="dxa"/>
              <w:right w:w="100" w:type="dxa"/>
            </w:tcMar>
          </w:tcPr>
          <w:p w14:paraId="3BDC0FB5" w14:textId="223218E3" w:rsidR="00037D5F" w:rsidRPr="00152A20" w:rsidRDefault="008E5AA1">
            <w:pPr>
              <w:spacing w:after="0" w:line="240" w:lineRule="auto"/>
              <w:contextualSpacing w:val="0"/>
              <w:rPr>
                <w:lang w:val="en-GB"/>
              </w:rPr>
            </w:pPr>
            <w:r w:rsidRPr="00152A20">
              <w:rPr>
                <w:sz w:val="20"/>
                <w:szCs w:val="20"/>
                <w:lang w:val="en-GB"/>
              </w:rPr>
              <w:t>Speciali</w:t>
            </w:r>
            <w:r w:rsidR="00F17E6C">
              <w:rPr>
                <w:sz w:val="20"/>
                <w:szCs w:val="20"/>
                <w:lang w:val="en-GB"/>
              </w:rPr>
              <w:t>s</w:t>
            </w:r>
            <w:r w:rsidRPr="00152A20">
              <w:rPr>
                <w:sz w:val="20"/>
                <w:szCs w:val="20"/>
                <w:lang w:val="en-GB"/>
              </w:rPr>
              <w:t xml:space="preserve">ed HEIs related to the Soviet industrial clusters, performed the role of </w:t>
            </w:r>
            <w:r w:rsidR="005D33B2" w:rsidRPr="00152A20">
              <w:rPr>
                <w:sz w:val="20"/>
                <w:szCs w:val="20"/>
                <w:lang w:val="en-GB"/>
              </w:rPr>
              <w:t>curriculum</w:t>
            </w:r>
            <w:r w:rsidR="00F17E6C">
              <w:rPr>
                <w:sz w:val="20"/>
                <w:szCs w:val="20"/>
                <w:lang w:val="en-GB"/>
              </w:rPr>
              <w:t xml:space="preserve"> </w:t>
            </w:r>
            <w:r w:rsidR="005D33B2" w:rsidRPr="00152A20">
              <w:rPr>
                <w:sz w:val="20"/>
                <w:szCs w:val="20"/>
                <w:lang w:val="en-GB"/>
              </w:rPr>
              <w:t xml:space="preserve">development </w:t>
            </w:r>
            <w:r w:rsidRPr="00152A20">
              <w:rPr>
                <w:sz w:val="20"/>
                <w:szCs w:val="20"/>
                <w:lang w:val="en-GB"/>
              </w:rPr>
              <w:t>centres, subordinated by the particular ministries, located in Moscow, Leningrad or other large industrial cities</w:t>
            </w:r>
          </w:p>
          <w:p w14:paraId="0453766A" w14:textId="77777777" w:rsidR="00037D5F" w:rsidRPr="00152A20" w:rsidRDefault="00037D5F">
            <w:pPr>
              <w:spacing w:after="0" w:line="240" w:lineRule="auto"/>
              <w:contextualSpacing w:val="0"/>
              <w:rPr>
                <w:lang w:val="en-GB"/>
              </w:rPr>
            </w:pPr>
          </w:p>
          <w:p w14:paraId="10F263F4" w14:textId="77777777" w:rsidR="00037D5F" w:rsidRPr="00152A20" w:rsidRDefault="008E5AA1">
            <w:pPr>
              <w:spacing w:after="0" w:line="240" w:lineRule="auto"/>
              <w:contextualSpacing w:val="0"/>
              <w:rPr>
                <w:lang w:val="en-GB"/>
              </w:rPr>
            </w:pPr>
            <w:r w:rsidRPr="00152A20">
              <w:rPr>
                <w:sz w:val="20"/>
                <w:szCs w:val="20"/>
                <w:lang w:val="en-GB"/>
              </w:rPr>
              <w:t>~ 20-30 HEIs</w:t>
            </w:r>
          </w:p>
          <w:p w14:paraId="3DF137E5" w14:textId="77777777" w:rsidR="00037D5F" w:rsidRPr="00152A20" w:rsidRDefault="008E5AA1">
            <w:pPr>
              <w:spacing w:after="0" w:line="240" w:lineRule="auto"/>
              <w:contextualSpacing w:val="0"/>
              <w:rPr>
                <w:lang w:val="en-GB"/>
              </w:rPr>
            </w:pPr>
            <w:r w:rsidRPr="00152A20">
              <w:rPr>
                <w:sz w:val="20"/>
                <w:szCs w:val="20"/>
                <w:lang w:val="en-GB"/>
              </w:rPr>
              <w:t>~ 200-250 thousand students</w:t>
            </w:r>
          </w:p>
          <w:p w14:paraId="69FA2521" w14:textId="77777777" w:rsidR="00037D5F" w:rsidRPr="00152A20" w:rsidRDefault="00037D5F">
            <w:pPr>
              <w:spacing w:after="0" w:line="240" w:lineRule="auto"/>
              <w:contextualSpacing w:val="0"/>
              <w:rPr>
                <w:lang w:val="en-GB"/>
              </w:rPr>
            </w:pPr>
          </w:p>
          <w:p w14:paraId="3C6F5421" w14:textId="77777777" w:rsidR="00037D5F" w:rsidRPr="00152A20" w:rsidRDefault="008E5AA1">
            <w:pPr>
              <w:spacing w:after="0" w:line="240" w:lineRule="auto"/>
              <w:contextualSpacing w:val="0"/>
              <w:rPr>
                <w:lang w:val="en-GB"/>
              </w:rPr>
            </w:pPr>
            <w:r w:rsidRPr="00152A20">
              <w:rPr>
                <w:sz w:val="20"/>
                <w:szCs w:val="20"/>
                <w:lang w:val="en-GB"/>
              </w:rPr>
              <w:t>Ex.: Moscow Aviation Institute</w:t>
            </w:r>
          </w:p>
        </w:tc>
        <w:tc>
          <w:tcPr>
            <w:tcW w:w="4140" w:type="dxa"/>
            <w:tcMar>
              <w:top w:w="100" w:type="dxa"/>
              <w:left w:w="100" w:type="dxa"/>
              <w:bottom w:w="100" w:type="dxa"/>
              <w:right w:w="100" w:type="dxa"/>
            </w:tcMar>
          </w:tcPr>
          <w:p w14:paraId="15FB5A78" w14:textId="76F180CC" w:rsidR="00037D5F" w:rsidRPr="00152A20" w:rsidRDefault="008E5AA1">
            <w:pPr>
              <w:spacing w:after="0" w:line="240" w:lineRule="auto"/>
              <w:contextualSpacing w:val="0"/>
              <w:rPr>
                <w:lang w:val="en-GB"/>
              </w:rPr>
            </w:pPr>
            <w:r w:rsidRPr="00152A20">
              <w:rPr>
                <w:sz w:val="20"/>
                <w:szCs w:val="20"/>
                <w:lang w:val="en-GB"/>
              </w:rPr>
              <w:t>Speciali</w:t>
            </w:r>
            <w:r w:rsidR="00F17E6C">
              <w:rPr>
                <w:sz w:val="20"/>
                <w:szCs w:val="20"/>
                <w:lang w:val="en-GB"/>
              </w:rPr>
              <w:t>s</w:t>
            </w:r>
            <w:r w:rsidRPr="00152A20">
              <w:rPr>
                <w:sz w:val="20"/>
                <w:szCs w:val="20"/>
                <w:lang w:val="en-GB"/>
              </w:rPr>
              <w:t>ed HEIs related to the Soviet industrial clusters and particular factories, subordinated by the particular ministries, located in large industrial cities, widespread within regions</w:t>
            </w:r>
          </w:p>
          <w:p w14:paraId="66CA7752" w14:textId="77777777" w:rsidR="00037D5F" w:rsidRPr="00152A20" w:rsidRDefault="00037D5F">
            <w:pPr>
              <w:widowControl w:val="0"/>
              <w:spacing w:after="0" w:line="240" w:lineRule="auto"/>
              <w:contextualSpacing w:val="0"/>
              <w:jc w:val="left"/>
              <w:rPr>
                <w:lang w:val="en-GB"/>
              </w:rPr>
            </w:pPr>
          </w:p>
          <w:p w14:paraId="00507ACE" w14:textId="77777777" w:rsidR="00037D5F" w:rsidRPr="00152A20" w:rsidRDefault="008E5AA1">
            <w:pPr>
              <w:widowControl w:val="0"/>
              <w:spacing w:after="0" w:line="240" w:lineRule="auto"/>
              <w:contextualSpacing w:val="0"/>
              <w:jc w:val="left"/>
              <w:rPr>
                <w:lang w:val="en-GB"/>
              </w:rPr>
            </w:pPr>
            <w:r w:rsidRPr="00152A20">
              <w:rPr>
                <w:sz w:val="20"/>
                <w:szCs w:val="20"/>
                <w:lang w:val="en-GB"/>
              </w:rPr>
              <w:t>~100-110 HEIs</w:t>
            </w:r>
          </w:p>
          <w:p w14:paraId="2A83E789" w14:textId="77777777" w:rsidR="00037D5F" w:rsidRPr="00152A20" w:rsidRDefault="008E5AA1">
            <w:pPr>
              <w:widowControl w:val="0"/>
              <w:spacing w:after="0" w:line="240" w:lineRule="auto"/>
              <w:contextualSpacing w:val="0"/>
              <w:jc w:val="left"/>
              <w:rPr>
                <w:lang w:val="en-GB"/>
              </w:rPr>
            </w:pPr>
            <w:r w:rsidRPr="00152A20">
              <w:rPr>
                <w:sz w:val="20"/>
                <w:szCs w:val="20"/>
                <w:lang w:val="en-GB"/>
              </w:rPr>
              <w:t>~750-800 thousand students</w:t>
            </w:r>
          </w:p>
          <w:p w14:paraId="21563D2D" w14:textId="77777777" w:rsidR="00037D5F" w:rsidRPr="00152A20" w:rsidRDefault="00037D5F">
            <w:pPr>
              <w:widowControl w:val="0"/>
              <w:spacing w:after="0" w:line="240" w:lineRule="auto"/>
              <w:contextualSpacing w:val="0"/>
              <w:jc w:val="left"/>
              <w:rPr>
                <w:lang w:val="en-GB"/>
              </w:rPr>
            </w:pPr>
          </w:p>
          <w:p w14:paraId="0475B760" w14:textId="77777777" w:rsidR="00037D5F" w:rsidRPr="00152A20" w:rsidRDefault="008E5AA1">
            <w:pPr>
              <w:widowControl w:val="0"/>
              <w:spacing w:after="0" w:line="240" w:lineRule="auto"/>
              <w:contextualSpacing w:val="0"/>
              <w:jc w:val="left"/>
              <w:rPr>
                <w:lang w:val="en-GB"/>
              </w:rPr>
            </w:pPr>
            <w:r w:rsidRPr="00152A20">
              <w:rPr>
                <w:sz w:val="20"/>
                <w:szCs w:val="20"/>
                <w:lang w:val="en-GB"/>
              </w:rPr>
              <w:t>Ex.: Kazan Aviation Institute</w:t>
            </w:r>
          </w:p>
        </w:tc>
      </w:tr>
      <w:tr w:rsidR="00037D5F" w:rsidRPr="0029475F" w14:paraId="6E6926CF" w14:textId="77777777">
        <w:tc>
          <w:tcPr>
            <w:tcW w:w="1770" w:type="dxa"/>
            <w:tcMar>
              <w:top w:w="100" w:type="dxa"/>
              <w:left w:w="100" w:type="dxa"/>
              <w:bottom w:w="100" w:type="dxa"/>
              <w:right w:w="100" w:type="dxa"/>
            </w:tcMar>
          </w:tcPr>
          <w:p w14:paraId="6AB17BE2" w14:textId="77777777" w:rsidR="00037D5F" w:rsidRPr="00152A20" w:rsidRDefault="008E5AA1">
            <w:pPr>
              <w:widowControl w:val="0"/>
              <w:spacing w:after="0" w:line="240" w:lineRule="auto"/>
              <w:contextualSpacing w:val="0"/>
              <w:jc w:val="left"/>
              <w:rPr>
                <w:lang w:val="en-GB"/>
              </w:rPr>
            </w:pPr>
            <w:r w:rsidRPr="00152A20">
              <w:rPr>
                <w:lang w:val="en-GB"/>
              </w:rPr>
              <w:lastRenderedPageBreak/>
              <w:t>Regional HEIs:</w:t>
            </w:r>
          </w:p>
          <w:p w14:paraId="35EA76FA" w14:textId="29E70520" w:rsidR="00037D5F" w:rsidRPr="00152A20" w:rsidRDefault="00F17E6C">
            <w:pPr>
              <w:widowControl w:val="0"/>
              <w:spacing w:after="0" w:line="240" w:lineRule="auto"/>
              <w:contextualSpacing w:val="0"/>
              <w:jc w:val="left"/>
              <w:rPr>
                <w:lang w:val="en-GB"/>
              </w:rPr>
            </w:pPr>
            <w:r>
              <w:rPr>
                <w:lang w:val="en-GB"/>
              </w:rPr>
              <w:t>a</w:t>
            </w:r>
            <w:r w:rsidR="008E5AA1" w:rsidRPr="00152A20">
              <w:rPr>
                <w:lang w:val="en-GB"/>
              </w:rPr>
              <w:t xml:space="preserve">gricultural, pedagogical, medical, economic, polytechnics, arts and theatre </w:t>
            </w:r>
          </w:p>
        </w:tc>
        <w:tc>
          <w:tcPr>
            <w:tcW w:w="3765" w:type="dxa"/>
            <w:tcMar>
              <w:top w:w="100" w:type="dxa"/>
              <w:left w:w="100" w:type="dxa"/>
              <w:bottom w:w="100" w:type="dxa"/>
              <w:right w:w="100" w:type="dxa"/>
            </w:tcMar>
          </w:tcPr>
          <w:p w14:paraId="7EE3218B" w14:textId="77777777" w:rsidR="00037D5F" w:rsidRPr="00152A20" w:rsidRDefault="008E5AA1">
            <w:pPr>
              <w:widowControl w:val="0"/>
              <w:spacing w:after="0" w:line="240" w:lineRule="auto"/>
              <w:contextualSpacing w:val="0"/>
              <w:jc w:val="left"/>
              <w:rPr>
                <w:lang w:val="en-GB"/>
              </w:rPr>
            </w:pPr>
            <w:r w:rsidRPr="00152A20">
              <w:rPr>
                <w:sz w:val="20"/>
                <w:szCs w:val="20"/>
                <w:lang w:val="en-GB"/>
              </w:rPr>
              <w:t>established for socio-economic development of the region; the role of methodological centres,</w:t>
            </w:r>
          </w:p>
          <w:p w14:paraId="6A8AD1B2" w14:textId="1EBC6F93" w:rsidR="00037D5F" w:rsidRPr="00152A20" w:rsidRDefault="008E5AA1">
            <w:pPr>
              <w:widowControl w:val="0"/>
              <w:spacing w:after="0" w:line="240" w:lineRule="auto"/>
              <w:contextualSpacing w:val="0"/>
              <w:jc w:val="left"/>
              <w:rPr>
                <w:lang w:val="en-GB"/>
              </w:rPr>
            </w:pPr>
            <w:r w:rsidRPr="00152A20">
              <w:rPr>
                <w:sz w:val="20"/>
                <w:szCs w:val="20"/>
                <w:lang w:val="en-GB"/>
              </w:rPr>
              <w:t>speciali</w:t>
            </w:r>
            <w:r w:rsidR="00F17E6C">
              <w:rPr>
                <w:sz w:val="20"/>
                <w:szCs w:val="20"/>
                <w:lang w:val="en-GB"/>
              </w:rPr>
              <w:t>s</w:t>
            </w:r>
            <w:r w:rsidRPr="00152A20">
              <w:rPr>
                <w:sz w:val="20"/>
                <w:szCs w:val="20"/>
                <w:lang w:val="en-GB"/>
              </w:rPr>
              <w:t>ed HEIs, subordinated by the particular ministries, located in Moscow, Leningrad or other large industrial cities</w:t>
            </w:r>
          </w:p>
          <w:p w14:paraId="6A9B91C6" w14:textId="77777777" w:rsidR="00037D5F" w:rsidRPr="00152A20" w:rsidRDefault="00037D5F">
            <w:pPr>
              <w:widowControl w:val="0"/>
              <w:spacing w:after="0" w:line="240" w:lineRule="auto"/>
              <w:contextualSpacing w:val="0"/>
              <w:jc w:val="left"/>
              <w:rPr>
                <w:lang w:val="en-GB"/>
              </w:rPr>
            </w:pPr>
          </w:p>
          <w:p w14:paraId="6D343949" w14:textId="77777777" w:rsidR="00037D5F" w:rsidRPr="00152A20" w:rsidRDefault="008E5AA1">
            <w:pPr>
              <w:widowControl w:val="0"/>
              <w:spacing w:after="0" w:line="240" w:lineRule="auto"/>
              <w:contextualSpacing w:val="0"/>
              <w:jc w:val="left"/>
              <w:rPr>
                <w:lang w:val="en-GB"/>
              </w:rPr>
            </w:pPr>
            <w:r w:rsidRPr="00152A20">
              <w:rPr>
                <w:sz w:val="20"/>
                <w:szCs w:val="20"/>
                <w:lang w:val="en-GB"/>
              </w:rPr>
              <w:t>~10-20 HEIs</w:t>
            </w:r>
          </w:p>
          <w:p w14:paraId="078695FE" w14:textId="77777777" w:rsidR="00037D5F" w:rsidRPr="00152A20" w:rsidRDefault="008E5AA1">
            <w:pPr>
              <w:widowControl w:val="0"/>
              <w:spacing w:after="0" w:line="240" w:lineRule="auto"/>
              <w:contextualSpacing w:val="0"/>
              <w:jc w:val="left"/>
              <w:rPr>
                <w:lang w:val="en-GB"/>
              </w:rPr>
            </w:pPr>
            <w:r w:rsidRPr="00152A20">
              <w:rPr>
                <w:sz w:val="20"/>
                <w:szCs w:val="20"/>
                <w:lang w:val="en-GB"/>
              </w:rPr>
              <w:t xml:space="preserve">~100-150 thousand students </w:t>
            </w:r>
          </w:p>
          <w:p w14:paraId="5134D71D" w14:textId="77777777" w:rsidR="00037D5F" w:rsidRPr="00152A20" w:rsidRDefault="00037D5F">
            <w:pPr>
              <w:widowControl w:val="0"/>
              <w:spacing w:after="0" w:line="240" w:lineRule="auto"/>
              <w:contextualSpacing w:val="0"/>
              <w:jc w:val="left"/>
              <w:rPr>
                <w:lang w:val="en-GB"/>
              </w:rPr>
            </w:pPr>
          </w:p>
          <w:p w14:paraId="732D42F5" w14:textId="77777777" w:rsidR="00037D5F" w:rsidRPr="00152A20" w:rsidRDefault="008E5AA1">
            <w:pPr>
              <w:spacing w:after="0" w:line="240" w:lineRule="auto"/>
              <w:contextualSpacing w:val="0"/>
              <w:rPr>
                <w:lang w:val="en-GB"/>
              </w:rPr>
            </w:pPr>
            <w:r w:rsidRPr="00152A20">
              <w:rPr>
                <w:sz w:val="20"/>
                <w:szCs w:val="20"/>
                <w:lang w:val="en-GB"/>
              </w:rPr>
              <w:t xml:space="preserve">Ex.: Moscow </w:t>
            </w:r>
            <w:proofErr w:type="spellStart"/>
            <w:r w:rsidRPr="00152A20">
              <w:rPr>
                <w:sz w:val="20"/>
                <w:szCs w:val="20"/>
                <w:lang w:val="en-GB"/>
              </w:rPr>
              <w:t>Timiryazev</w:t>
            </w:r>
            <w:proofErr w:type="spellEnd"/>
            <w:r w:rsidRPr="00152A20">
              <w:rPr>
                <w:sz w:val="20"/>
                <w:szCs w:val="20"/>
                <w:lang w:val="en-GB"/>
              </w:rPr>
              <w:t xml:space="preserve"> Agricultural Academy </w:t>
            </w:r>
          </w:p>
        </w:tc>
        <w:tc>
          <w:tcPr>
            <w:tcW w:w="4140" w:type="dxa"/>
            <w:tcMar>
              <w:top w:w="100" w:type="dxa"/>
              <w:left w:w="100" w:type="dxa"/>
              <w:bottom w:w="100" w:type="dxa"/>
              <w:right w:w="100" w:type="dxa"/>
            </w:tcMar>
          </w:tcPr>
          <w:p w14:paraId="2A6E9F86" w14:textId="77777777" w:rsidR="00037D5F" w:rsidRPr="00152A20" w:rsidRDefault="008E5AA1">
            <w:pPr>
              <w:widowControl w:val="0"/>
              <w:spacing w:after="0" w:line="240" w:lineRule="auto"/>
              <w:contextualSpacing w:val="0"/>
              <w:jc w:val="left"/>
              <w:rPr>
                <w:lang w:val="en-GB"/>
              </w:rPr>
            </w:pPr>
            <w:r w:rsidRPr="00152A20">
              <w:rPr>
                <w:sz w:val="20"/>
                <w:szCs w:val="20"/>
                <w:lang w:val="en-GB"/>
              </w:rPr>
              <w:t xml:space="preserve">established for socio-economic development of the region; </w:t>
            </w:r>
          </w:p>
          <w:p w14:paraId="70EAAE85" w14:textId="3E1110CD" w:rsidR="00037D5F" w:rsidRPr="00152A20" w:rsidRDefault="008E5AA1">
            <w:pPr>
              <w:widowControl w:val="0"/>
              <w:spacing w:after="0" w:line="240" w:lineRule="auto"/>
              <w:contextualSpacing w:val="0"/>
              <w:jc w:val="left"/>
              <w:rPr>
                <w:lang w:val="en-GB"/>
              </w:rPr>
            </w:pPr>
            <w:r w:rsidRPr="00152A20">
              <w:rPr>
                <w:sz w:val="20"/>
                <w:szCs w:val="20"/>
                <w:lang w:val="en-GB"/>
              </w:rPr>
              <w:t>speciali</w:t>
            </w:r>
            <w:r w:rsidR="00F17E6C">
              <w:rPr>
                <w:sz w:val="20"/>
                <w:szCs w:val="20"/>
                <w:lang w:val="en-GB"/>
              </w:rPr>
              <w:t>s</w:t>
            </w:r>
            <w:r w:rsidRPr="00152A20">
              <w:rPr>
                <w:sz w:val="20"/>
                <w:szCs w:val="20"/>
                <w:lang w:val="en-GB"/>
              </w:rPr>
              <w:t>ed HEIs, subordinated by the particular ministries, spread within all regions</w:t>
            </w:r>
          </w:p>
          <w:p w14:paraId="76361229" w14:textId="77777777" w:rsidR="00037D5F" w:rsidRPr="00152A20" w:rsidRDefault="00037D5F">
            <w:pPr>
              <w:widowControl w:val="0"/>
              <w:spacing w:after="0" w:line="240" w:lineRule="auto"/>
              <w:contextualSpacing w:val="0"/>
              <w:jc w:val="left"/>
              <w:rPr>
                <w:lang w:val="en-GB"/>
              </w:rPr>
            </w:pPr>
          </w:p>
          <w:p w14:paraId="136393D3" w14:textId="77777777" w:rsidR="00037D5F" w:rsidRPr="00152A20" w:rsidRDefault="008E5AA1">
            <w:pPr>
              <w:widowControl w:val="0"/>
              <w:spacing w:after="0" w:line="240" w:lineRule="auto"/>
              <w:contextualSpacing w:val="0"/>
              <w:jc w:val="left"/>
              <w:rPr>
                <w:lang w:val="en-GB"/>
              </w:rPr>
            </w:pPr>
            <w:r w:rsidRPr="00152A20">
              <w:rPr>
                <w:sz w:val="20"/>
                <w:szCs w:val="20"/>
                <w:lang w:val="en-GB"/>
              </w:rPr>
              <w:t>~280-300 HEIs</w:t>
            </w:r>
          </w:p>
          <w:p w14:paraId="6E2AD2E7" w14:textId="77777777" w:rsidR="00037D5F" w:rsidRPr="00152A20" w:rsidRDefault="008E5AA1">
            <w:pPr>
              <w:widowControl w:val="0"/>
              <w:spacing w:after="0" w:line="240" w:lineRule="auto"/>
              <w:contextualSpacing w:val="0"/>
              <w:jc w:val="left"/>
              <w:rPr>
                <w:lang w:val="en-GB"/>
              </w:rPr>
            </w:pPr>
            <w:r w:rsidRPr="00152A20">
              <w:rPr>
                <w:sz w:val="20"/>
                <w:szCs w:val="20"/>
                <w:lang w:val="en-GB"/>
              </w:rPr>
              <w:t>~1150-1300 thousand students</w:t>
            </w:r>
          </w:p>
          <w:p w14:paraId="7BE9CC2B" w14:textId="77777777" w:rsidR="00037D5F" w:rsidRPr="00152A20" w:rsidRDefault="00037D5F">
            <w:pPr>
              <w:widowControl w:val="0"/>
              <w:spacing w:after="0" w:line="240" w:lineRule="auto"/>
              <w:contextualSpacing w:val="0"/>
              <w:jc w:val="left"/>
              <w:rPr>
                <w:lang w:val="en-GB"/>
              </w:rPr>
            </w:pPr>
          </w:p>
          <w:p w14:paraId="534A8F52" w14:textId="77777777" w:rsidR="00037D5F" w:rsidRPr="00152A20" w:rsidRDefault="008E5AA1">
            <w:pPr>
              <w:spacing w:after="0" w:line="240" w:lineRule="auto"/>
              <w:contextualSpacing w:val="0"/>
              <w:rPr>
                <w:lang w:val="en-GB"/>
              </w:rPr>
            </w:pPr>
            <w:r w:rsidRPr="00152A20">
              <w:rPr>
                <w:sz w:val="20"/>
                <w:szCs w:val="20"/>
                <w:lang w:val="en-GB"/>
              </w:rPr>
              <w:t>Ex.: Chelyabinsk State Pedagogical Institute</w:t>
            </w:r>
          </w:p>
        </w:tc>
      </w:tr>
    </w:tbl>
    <w:p w14:paraId="5302D43A" w14:textId="2FBE5D5E" w:rsidR="00037D5F" w:rsidRPr="00152A20" w:rsidRDefault="008E5AA1">
      <w:pPr>
        <w:spacing w:before="200"/>
        <w:rPr>
          <w:lang w:val="en-GB"/>
        </w:rPr>
      </w:pPr>
      <w:r w:rsidRPr="00152A20">
        <w:rPr>
          <w:i/>
          <w:sz w:val="20"/>
          <w:szCs w:val="20"/>
          <w:lang w:val="en-GB"/>
        </w:rPr>
        <w:t>Source: Developed by the authors</w:t>
      </w:r>
      <w:r w:rsidR="00622A21" w:rsidRPr="00152A20">
        <w:rPr>
          <w:rFonts w:ascii="Times New Roman" w:hAnsi="Times New Roman" w:cs="Times New Roman"/>
          <w:i/>
          <w:sz w:val="20"/>
          <w:szCs w:val="20"/>
          <w:lang w:val="en-GB"/>
        </w:rPr>
        <w:t xml:space="preserve"> </w:t>
      </w:r>
      <w:r w:rsidR="00F17E6C">
        <w:rPr>
          <w:rFonts w:ascii="Times New Roman" w:hAnsi="Times New Roman" w:cs="Times New Roman"/>
          <w:i/>
          <w:sz w:val="20"/>
          <w:szCs w:val="20"/>
          <w:lang w:val="en-GB"/>
        </w:rPr>
        <w:t xml:space="preserve">based on </w:t>
      </w:r>
      <w:proofErr w:type="spellStart"/>
      <w:r w:rsidR="00622A21" w:rsidRPr="00152A20">
        <w:rPr>
          <w:rFonts w:ascii="Times New Roman" w:hAnsi="Times New Roman" w:cs="Times New Roman"/>
          <w:i/>
          <w:sz w:val="20"/>
          <w:szCs w:val="20"/>
          <w:lang w:val="en-GB"/>
        </w:rPr>
        <w:t>Froumin</w:t>
      </w:r>
      <w:proofErr w:type="spellEnd"/>
      <w:r w:rsidR="00622A21" w:rsidRPr="00152A20">
        <w:rPr>
          <w:rFonts w:ascii="Times New Roman" w:hAnsi="Times New Roman" w:cs="Times New Roman"/>
          <w:i/>
          <w:sz w:val="20"/>
          <w:szCs w:val="20"/>
          <w:lang w:val="en-GB"/>
        </w:rPr>
        <w:t xml:space="preserve"> et al. 2014.</w:t>
      </w:r>
    </w:p>
    <w:p w14:paraId="2E9486D2" w14:textId="77777777" w:rsidR="00037D5F" w:rsidRPr="00152A20" w:rsidRDefault="008E5AA1">
      <w:pPr>
        <w:pStyle w:val="Heading1"/>
        <w:spacing w:before="200"/>
        <w:rPr>
          <w:lang w:val="en-GB"/>
        </w:rPr>
      </w:pPr>
      <w:bookmarkStart w:id="2" w:name="_3znysh7" w:colFirst="0" w:colLast="0"/>
      <w:bookmarkEnd w:id="2"/>
      <w:r w:rsidRPr="00152A20">
        <w:rPr>
          <w:lang w:val="en-GB"/>
        </w:rPr>
        <w:t>Major Changes in Higher Education under New Conditions</w:t>
      </w:r>
    </w:p>
    <w:p w14:paraId="1304E049" w14:textId="58D27951" w:rsidR="00037D5F" w:rsidRPr="00152A20" w:rsidRDefault="008E5AA1">
      <w:pPr>
        <w:rPr>
          <w:lang w:val="en-GB"/>
        </w:rPr>
      </w:pPr>
      <w:r w:rsidRPr="00152A20">
        <w:rPr>
          <w:lang w:val="en-GB"/>
        </w:rPr>
        <w:t xml:space="preserve">The 25 years of Russian HE </w:t>
      </w:r>
      <w:r w:rsidR="00A069A0" w:rsidRPr="00152A20">
        <w:rPr>
          <w:lang w:val="en-GB"/>
        </w:rPr>
        <w:t>can</w:t>
      </w:r>
      <w:r w:rsidRPr="00152A20">
        <w:rPr>
          <w:lang w:val="en-GB"/>
        </w:rPr>
        <w:t xml:space="preserve"> </w:t>
      </w:r>
      <w:r w:rsidR="00622A21" w:rsidRPr="00152A20">
        <w:rPr>
          <w:lang w:val="en-GB"/>
        </w:rPr>
        <w:t>be</w:t>
      </w:r>
      <w:r w:rsidRPr="00152A20">
        <w:rPr>
          <w:lang w:val="en-GB"/>
        </w:rPr>
        <w:t xml:space="preserve"> </w:t>
      </w:r>
      <w:r w:rsidR="00A069A0" w:rsidRPr="00152A20">
        <w:rPr>
          <w:lang w:val="en-GB"/>
        </w:rPr>
        <w:t xml:space="preserve">divided </w:t>
      </w:r>
      <w:r w:rsidRPr="00152A20">
        <w:rPr>
          <w:lang w:val="en-GB"/>
        </w:rPr>
        <w:t>in</w:t>
      </w:r>
      <w:r w:rsidR="00F17E6C">
        <w:rPr>
          <w:lang w:val="en-GB"/>
        </w:rPr>
        <w:t>to</w:t>
      </w:r>
      <w:r w:rsidRPr="00152A20">
        <w:rPr>
          <w:lang w:val="en-GB"/>
        </w:rPr>
        <w:t xml:space="preserve"> three </w:t>
      </w:r>
      <w:r w:rsidR="00A069A0" w:rsidRPr="00152A20">
        <w:rPr>
          <w:lang w:val="en-GB"/>
        </w:rPr>
        <w:t xml:space="preserve">periods with different </w:t>
      </w:r>
      <w:r w:rsidR="00F17E6C" w:rsidRPr="00152A20">
        <w:rPr>
          <w:lang w:val="en-GB"/>
        </w:rPr>
        <w:t>key polic</w:t>
      </w:r>
      <w:r w:rsidR="00F17E6C">
        <w:rPr>
          <w:lang w:val="en-GB"/>
        </w:rPr>
        <w:t>y</w:t>
      </w:r>
      <w:r w:rsidR="00F17E6C" w:rsidRPr="00152A20">
        <w:rPr>
          <w:lang w:val="en-GB"/>
        </w:rPr>
        <w:t xml:space="preserve"> </w:t>
      </w:r>
      <w:r w:rsidRPr="00152A20">
        <w:rPr>
          <w:lang w:val="en-GB"/>
        </w:rPr>
        <w:t xml:space="preserve">intentions. The major HE reforms are shown in </w:t>
      </w:r>
      <w:r w:rsidR="00F17E6C">
        <w:rPr>
          <w:shd w:val="clear" w:color="auto" w:fill="FFF5BF"/>
          <w:lang w:val="en-GB"/>
        </w:rPr>
        <w:t>F</w:t>
      </w:r>
      <w:r w:rsidRPr="00152A20">
        <w:rPr>
          <w:shd w:val="clear" w:color="auto" w:fill="FFF5BF"/>
          <w:lang w:val="en-GB"/>
        </w:rPr>
        <w:t>igure 1.</w:t>
      </w:r>
      <w:r w:rsidRPr="00152A20">
        <w:rPr>
          <w:lang w:val="en-GB"/>
        </w:rPr>
        <w:t xml:space="preserve">  </w:t>
      </w:r>
    </w:p>
    <w:p w14:paraId="3D1D1AA0" w14:textId="1123A2CF" w:rsidR="00037D5F" w:rsidRPr="00152A20" w:rsidRDefault="00A069A0">
      <w:pPr>
        <w:rPr>
          <w:lang w:val="en-GB"/>
        </w:rPr>
      </w:pPr>
      <w:r w:rsidRPr="00152A20">
        <w:rPr>
          <w:lang w:val="en-GB"/>
        </w:rPr>
        <w:t>The f</w:t>
      </w:r>
      <w:r w:rsidR="008E5AA1" w:rsidRPr="00152A20">
        <w:rPr>
          <w:lang w:val="en-GB"/>
        </w:rPr>
        <w:t xml:space="preserve">irst post-Soviet decade </w:t>
      </w:r>
      <w:r w:rsidRPr="00152A20">
        <w:rPr>
          <w:lang w:val="en-GB"/>
        </w:rPr>
        <w:t>can be</w:t>
      </w:r>
      <w:r w:rsidR="008E5AA1" w:rsidRPr="00152A20">
        <w:rPr>
          <w:lang w:val="en-GB"/>
        </w:rPr>
        <w:t xml:space="preserve"> characterised as ‘laissez-faire’. After </w:t>
      </w:r>
      <w:r w:rsidRPr="00152A20">
        <w:rPr>
          <w:lang w:val="en-GB"/>
        </w:rPr>
        <w:t xml:space="preserve">the </w:t>
      </w:r>
      <w:r w:rsidR="008E5AA1" w:rsidRPr="00152A20">
        <w:rPr>
          <w:lang w:val="en-GB"/>
        </w:rPr>
        <w:t xml:space="preserve">adoption of the main federal laws on education in </w:t>
      </w:r>
      <w:r w:rsidRPr="00152A20">
        <w:rPr>
          <w:lang w:val="en-GB"/>
        </w:rPr>
        <w:t xml:space="preserve">the </w:t>
      </w:r>
      <w:r w:rsidR="008E5AA1" w:rsidRPr="00152A20">
        <w:rPr>
          <w:lang w:val="en-GB"/>
        </w:rPr>
        <w:t xml:space="preserve">early </w:t>
      </w:r>
      <w:r w:rsidRPr="00152A20">
        <w:rPr>
          <w:lang w:val="en-GB"/>
        </w:rPr>
        <w:t>19</w:t>
      </w:r>
      <w:r w:rsidR="008E5AA1" w:rsidRPr="00152A20">
        <w:rPr>
          <w:lang w:val="en-GB"/>
        </w:rPr>
        <w:t xml:space="preserve">90s </w:t>
      </w:r>
      <w:r w:rsidRPr="00152A20">
        <w:rPr>
          <w:lang w:val="en-GB"/>
        </w:rPr>
        <w:t>that</w:t>
      </w:r>
      <w:r w:rsidR="008E5AA1" w:rsidRPr="00152A20">
        <w:rPr>
          <w:lang w:val="en-GB"/>
        </w:rPr>
        <w:t xml:space="preserve"> set the framework for HEI activit</w:t>
      </w:r>
      <w:r w:rsidRPr="00152A20">
        <w:rPr>
          <w:lang w:val="en-GB"/>
        </w:rPr>
        <w:t>ies</w:t>
      </w:r>
      <w:r w:rsidR="008E5AA1" w:rsidRPr="00152A20">
        <w:rPr>
          <w:lang w:val="en-GB"/>
        </w:rPr>
        <w:t xml:space="preserve">, </w:t>
      </w:r>
      <w:r w:rsidRPr="00152A20">
        <w:rPr>
          <w:lang w:val="en-GB"/>
        </w:rPr>
        <w:t xml:space="preserve">the </w:t>
      </w:r>
      <w:r w:rsidR="008E5AA1" w:rsidRPr="00152A20">
        <w:rPr>
          <w:lang w:val="en-GB"/>
        </w:rPr>
        <w:t xml:space="preserve">government </w:t>
      </w:r>
      <w:r w:rsidRPr="00152A20">
        <w:rPr>
          <w:lang w:val="en-GB"/>
        </w:rPr>
        <w:t>did</w:t>
      </w:r>
      <w:r w:rsidR="008E5AA1" w:rsidRPr="00152A20">
        <w:rPr>
          <w:lang w:val="en-GB"/>
        </w:rPr>
        <w:t xml:space="preserve"> not intervene in </w:t>
      </w:r>
      <w:r w:rsidRPr="00152A20">
        <w:rPr>
          <w:lang w:val="en-GB"/>
        </w:rPr>
        <w:t xml:space="preserve">the </w:t>
      </w:r>
      <w:r w:rsidR="008E5AA1" w:rsidRPr="00152A20">
        <w:rPr>
          <w:lang w:val="en-GB"/>
        </w:rPr>
        <w:t>higher education system</w:t>
      </w:r>
      <w:r w:rsidRPr="00152A20">
        <w:rPr>
          <w:lang w:val="en-GB"/>
        </w:rPr>
        <w:t xml:space="preserve"> </w:t>
      </w:r>
      <w:r w:rsidR="008E5AA1" w:rsidRPr="00152A20">
        <w:rPr>
          <w:lang w:val="en-GB"/>
        </w:rPr>
        <w:t xml:space="preserve">until </w:t>
      </w:r>
      <w:r w:rsidRPr="00152A20">
        <w:rPr>
          <w:lang w:val="en-GB"/>
        </w:rPr>
        <w:t xml:space="preserve">the </w:t>
      </w:r>
      <w:r w:rsidR="008E5AA1" w:rsidRPr="00152A20">
        <w:rPr>
          <w:lang w:val="en-GB"/>
        </w:rPr>
        <w:t xml:space="preserve">early 2000s. </w:t>
      </w:r>
    </w:p>
    <w:p w14:paraId="20933841" w14:textId="33F97C51" w:rsidR="00037D5F" w:rsidRPr="00152A20" w:rsidRDefault="008E5AA1">
      <w:pPr>
        <w:rPr>
          <w:lang w:val="en-GB"/>
        </w:rPr>
      </w:pPr>
      <w:r w:rsidRPr="00152A20">
        <w:rPr>
          <w:lang w:val="en-GB"/>
        </w:rPr>
        <w:t xml:space="preserve">The period of reforms in </w:t>
      </w:r>
      <w:r w:rsidR="00A069A0" w:rsidRPr="00152A20">
        <w:rPr>
          <w:lang w:val="en-GB"/>
        </w:rPr>
        <w:t xml:space="preserve">the </w:t>
      </w:r>
      <w:r w:rsidRPr="00152A20">
        <w:rPr>
          <w:lang w:val="en-GB"/>
        </w:rPr>
        <w:t xml:space="preserve">2000s started with </w:t>
      </w:r>
      <w:r w:rsidR="00A069A0" w:rsidRPr="00152A20">
        <w:rPr>
          <w:lang w:val="en-GB"/>
        </w:rPr>
        <w:t xml:space="preserve">the introduction of a </w:t>
      </w:r>
      <w:r w:rsidRPr="00152A20">
        <w:rPr>
          <w:lang w:val="en-GB"/>
        </w:rPr>
        <w:t xml:space="preserve">unified national exam. </w:t>
      </w:r>
      <w:r w:rsidR="00A069A0" w:rsidRPr="00152A20">
        <w:rPr>
          <w:lang w:val="en-GB"/>
        </w:rPr>
        <w:t xml:space="preserve">In </w:t>
      </w:r>
      <w:r w:rsidRPr="00152A20">
        <w:rPr>
          <w:lang w:val="en-GB"/>
        </w:rPr>
        <w:t>this period</w:t>
      </w:r>
      <w:r w:rsidR="00A069A0" w:rsidRPr="00152A20">
        <w:rPr>
          <w:lang w:val="en-GB"/>
        </w:rPr>
        <w:t>, the</w:t>
      </w:r>
      <w:r w:rsidRPr="00152A20">
        <w:rPr>
          <w:lang w:val="en-GB"/>
        </w:rPr>
        <w:t xml:space="preserve"> government </w:t>
      </w:r>
      <w:r w:rsidR="00A069A0" w:rsidRPr="00152A20">
        <w:rPr>
          <w:lang w:val="en-GB"/>
        </w:rPr>
        <w:t xml:space="preserve">also </w:t>
      </w:r>
      <w:r w:rsidRPr="00152A20">
        <w:rPr>
          <w:lang w:val="en-GB"/>
        </w:rPr>
        <w:t>stimulat</w:t>
      </w:r>
      <w:r w:rsidR="00DA5A64">
        <w:rPr>
          <w:lang w:val="en-GB"/>
        </w:rPr>
        <w:t>ed</w:t>
      </w:r>
      <w:r w:rsidRPr="00152A20">
        <w:rPr>
          <w:lang w:val="en-GB"/>
        </w:rPr>
        <w:t xml:space="preserve"> institutional reforms, such as </w:t>
      </w:r>
      <w:r w:rsidR="00A069A0" w:rsidRPr="00152A20">
        <w:rPr>
          <w:lang w:val="en-GB"/>
        </w:rPr>
        <w:t>meeting the expectations of</w:t>
      </w:r>
      <w:r w:rsidRPr="00152A20">
        <w:rPr>
          <w:lang w:val="en-GB"/>
        </w:rPr>
        <w:t xml:space="preserve"> the Bologna </w:t>
      </w:r>
      <w:r w:rsidR="00DA5A64">
        <w:rPr>
          <w:lang w:val="en-GB"/>
        </w:rPr>
        <w:t>P</w:t>
      </w:r>
      <w:r w:rsidRPr="00152A20">
        <w:rPr>
          <w:lang w:val="en-GB"/>
        </w:rPr>
        <w:t>rocess</w:t>
      </w:r>
      <w:r w:rsidR="00A069A0" w:rsidRPr="00152A20">
        <w:rPr>
          <w:lang w:val="en-GB"/>
        </w:rPr>
        <w:t xml:space="preserve"> and</w:t>
      </w:r>
      <w:r w:rsidRPr="00152A20">
        <w:rPr>
          <w:lang w:val="en-GB"/>
        </w:rPr>
        <w:t xml:space="preserve"> </w:t>
      </w:r>
      <w:r w:rsidR="00A069A0" w:rsidRPr="00152A20">
        <w:rPr>
          <w:lang w:val="en-GB"/>
        </w:rPr>
        <w:t xml:space="preserve">the </w:t>
      </w:r>
      <w:r w:rsidRPr="00152A20">
        <w:rPr>
          <w:lang w:val="en-GB"/>
        </w:rPr>
        <w:t xml:space="preserve">integration </w:t>
      </w:r>
      <w:r w:rsidR="00A069A0" w:rsidRPr="00152A20">
        <w:rPr>
          <w:lang w:val="en-GB"/>
        </w:rPr>
        <w:t xml:space="preserve">of </w:t>
      </w:r>
      <w:r w:rsidRPr="00152A20">
        <w:rPr>
          <w:lang w:val="en-GB"/>
        </w:rPr>
        <w:t xml:space="preserve">education and </w:t>
      </w:r>
      <w:r w:rsidR="00A069A0" w:rsidRPr="00152A20">
        <w:rPr>
          <w:lang w:val="en-GB"/>
        </w:rPr>
        <w:t>research</w:t>
      </w:r>
      <w:r w:rsidRPr="00152A20">
        <w:rPr>
          <w:lang w:val="en-GB"/>
        </w:rPr>
        <w:t xml:space="preserve">. Moreover, the state launched </w:t>
      </w:r>
      <w:r w:rsidR="00A069A0" w:rsidRPr="00152A20">
        <w:rPr>
          <w:lang w:val="en-GB"/>
        </w:rPr>
        <w:t xml:space="preserve">its </w:t>
      </w:r>
      <w:r w:rsidRPr="00152A20">
        <w:rPr>
          <w:lang w:val="en-GB"/>
        </w:rPr>
        <w:t xml:space="preserve">first </w:t>
      </w:r>
      <w:r w:rsidR="00DA5A64" w:rsidRPr="00152A20">
        <w:rPr>
          <w:lang w:val="en-GB"/>
        </w:rPr>
        <w:t xml:space="preserve">support </w:t>
      </w:r>
      <w:r w:rsidRPr="00152A20">
        <w:rPr>
          <w:lang w:val="en-GB"/>
        </w:rPr>
        <w:t>program</w:t>
      </w:r>
      <w:r w:rsidR="00A069A0" w:rsidRPr="00152A20">
        <w:rPr>
          <w:lang w:val="en-GB"/>
        </w:rPr>
        <w:t>me</w:t>
      </w:r>
      <w:r w:rsidRPr="00152A20">
        <w:rPr>
          <w:lang w:val="en-GB"/>
        </w:rPr>
        <w:t xml:space="preserve">s for federal universities and national research universities.  </w:t>
      </w:r>
    </w:p>
    <w:p w14:paraId="4AE1DE12" w14:textId="116D1F10" w:rsidR="00037D5F" w:rsidRDefault="008E5AA1">
      <w:pPr>
        <w:rPr>
          <w:lang w:val="en-GB"/>
        </w:rPr>
      </w:pPr>
      <w:r w:rsidRPr="00152A20">
        <w:rPr>
          <w:lang w:val="en-GB"/>
        </w:rPr>
        <w:t>Since 2012</w:t>
      </w:r>
      <w:r w:rsidR="00DA5A64">
        <w:rPr>
          <w:lang w:val="en-GB"/>
        </w:rPr>
        <w:t>,</w:t>
      </w:r>
      <w:r w:rsidRPr="00152A20">
        <w:rPr>
          <w:lang w:val="en-GB"/>
        </w:rPr>
        <w:t xml:space="preserve"> the government has taken </w:t>
      </w:r>
      <w:r w:rsidR="00DA5A64" w:rsidRPr="00152A20">
        <w:rPr>
          <w:lang w:val="en-GB"/>
        </w:rPr>
        <w:t xml:space="preserve">the reins </w:t>
      </w:r>
      <w:r w:rsidR="00A069A0" w:rsidRPr="00152A20">
        <w:rPr>
          <w:lang w:val="en-GB"/>
        </w:rPr>
        <w:t xml:space="preserve">even more explicitly regarding the </w:t>
      </w:r>
      <w:r w:rsidRPr="00152A20">
        <w:rPr>
          <w:lang w:val="en-GB"/>
        </w:rPr>
        <w:t xml:space="preserve">reform </w:t>
      </w:r>
      <w:r w:rsidR="00A069A0" w:rsidRPr="00152A20">
        <w:rPr>
          <w:lang w:val="en-GB"/>
        </w:rPr>
        <w:t xml:space="preserve">of the </w:t>
      </w:r>
      <w:r w:rsidRPr="00152A20">
        <w:rPr>
          <w:lang w:val="en-GB"/>
        </w:rPr>
        <w:t xml:space="preserve">Russian HE system and its institutional landscape. It started with </w:t>
      </w:r>
      <w:r w:rsidR="00DA5A64">
        <w:rPr>
          <w:lang w:val="en-GB"/>
        </w:rPr>
        <w:t xml:space="preserve">the </w:t>
      </w:r>
      <w:r w:rsidRPr="00152A20">
        <w:rPr>
          <w:lang w:val="en-GB"/>
        </w:rPr>
        <w:t>performance-based monitoring of HEIs, which led to mergers and reorgani</w:t>
      </w:r>
      <w:r w:rsidR="00DA5A64">
        <w:rPr>
          <w:lang w:val="en-GB"/>
        </w:rPr>
        <w:t>s</w:t>
      </w:r>
      <w:r w:rsidRPr="00152A20">
        <w:rPr>
          <w:lang w:val="en-GB"/>
        </w:rPr>
        <w:t>ation. Excellence program</w:t>
      </w:r>
      <w:r w:rsidR="00A069A0" w:rsidRPr="00152A20">
        <w:rPr>
          <w:lang w:val="en-GB"/>
        </w:rPr>
        <w:t>mes</w:t>
      </w:r>
      <w:r w:rsidRPr="00152A20">
        <w:rPr>
          <w:lang w:val="en-GB"/>
        </w:rPr>
        <w:t xml:space="preserve"> urged </w:t>
      </w:r>
      <w:r w:rsidR="00A069A0" w:rsidRPr="00152A20">
        <w:rPr>
          <w:lang w:val="en-GB"/>
        </w:rPr>
        <w:t xml:space="preserve">more </w:t>
      </w:r>
      <w:r w:rsidR="005D33B2" w:rsidRPr="00152A20">
        <w:rPr>
          <w:lang w:val="en-GB"/>
        </w:rPr>
        <w:t>international</w:t>
      </w:r>
      <w:r w:rsidR="00EF3FDE" w:rsidRPr="00152A20">
        <w:rPr>
          <w:lang w:val="en-GB"/>
        </w:rPr>
        <w:t xml:space="preserve">ly </w:t>
      </w:r>
      <w:r w:rsidR="005D33B2" w:rsidRPr="00152A20">
        <w:rPr>
          <w:lang w:val="en-GB"/>
        </w:rPr>
        <w:t>oriented</w:t>
      </w:r>
      <w:r w:rsidR="00A069A0" w:rsidRPr="00152A20">
        <w:rPr>
          <w:lang w:val="en-GB"/>
        </w:rPr>
        <w:t xml:space="preserve"> </w:t>
      </w:r>
      <w:r w:rsidRPr="00152A20">
        <w:rPr>
          <w:lang w:val="en-GB"/>
        </w:rPr>
        <w:t xml:space="preserve">research activity in selected universities. The ideas of new public management </w:t>
      </w:r>
      <w:r w:rsidR="00F5246A">
        <w:rPr>
          <w:lang w:val="en-GB"/>
        </w:rPr>
        <w:t xml:space="preserve">including </w:t>
      </w:r>
      <w:r w:rsidRPr="00152A20">
        <w:rPr>
          <w:lang w:val="en-GB"/>
        </w:rPr>
        <w:t xml:space="preserve">performance evaluation, transparency of data and </w:t>
      </w:r>
      <w:proofErr w:type="spellStart"/>
      <w:r w:rsidRPr="00152A20">
        <w:rPr>
          <w:lang w:val="en-GB"/>
        </w:rPr>
        <w:t>managerialism</w:t>
      </w:r>
      <w:proofErr w:type="spellEnd"/>
      <w:r w:rsidR="00F5246A">
        <w:rPr>
          <w:lang w:val="en-GB"/>
        </w:rPr>
        <w:t>,</w:t>
      </w:r>
      <w:r w:rsidRPr="00152A20">
        <w:rPr>
          <w:lang w:val="en-GB"/>
        </w:rPr>
        <w:t xml:space="preserve"> </w:t>
      </w:r>
      <w:r w:rsidR="00A069A0" w:rsidRPr="00152A20">
        <w:rPr>
          <w:lang w:val="en-GB"/>
        </w:rPr>
        <w:t xml:space="preserve">were key drivers for change in </w:t>
      </w:r>
      <w:r w:rsidRPr="00152A20">
        <w:rPr>
          <w:lang w:val="en-GB"/>
        </w:rPr>
        <w:t xml:space="preserve">this period. </w:t>
      </w:r>
    </w:p>
    <w:p w14:paraId="376B3355" w14:textId="269D2609" w:rsidR="00DA5A64" w:rsidRDefault="00DA5A64">
      <w:pPr>
        <w:rPr>
          <w:lang w:val="en-GB"/>
        </w:rPr>
      </w:pPr>
    </w:p>
    <w:p w14:paraId="75C8FF28" w14:textId="3AF1A435" w:rsidR="00DA5A64" w:rsidRDefault="00DA5A64">
      <w:pPr>
        <w:rPr>
          <w:lang w:val="en-GB"/>
        </w:rPr>
      </w:pPr>
    </w:p>
    <w:p w14:paraId="633556B3" w14:textId="77777777" w:rsidR="00DA5A64" w:rsidRPr="00152A20" w:rsidRDefault="00DA5A64">
      <w:pPr>
        <w:rPr>
          <w:lang w:val="en-GB"/>
        </w:rPr>
      </w:pPr>
    </w:p>
    <w:p w14:paraId="561124D1" w14:textId="224D64E8" w:rsidR="00037D5F" w:rsidRPr="00152A20" w:rsidRDefault="008E5AA1">
      <w:pPr>
        <w:rPr>
          <w:lang w:val="en-GB"/>
        </w:rPr>
      </w:pPr>
      <w:r w:rsidRPr="00152A20">
        <w:rPr>
          <w:i/>
          <w:shd w:val="clear" w:color="auto" w:fill="FFF5BF"/>
          <w:lang w:val="en-GB"/>
        </w:rPr>
        <w:t>Figure 1.</w:t>
      </w:r>
      <w:r w:rsidRPr="00152A20">
        <w:rPr>
          <w:i/>
          <w:lang w:val="en-GB"/>
        </w:rPr>
        <w:t xml:space="preserve"> Timeline of key higher education reforms in Russia, 1991-2015</w:t>
      </w:r>
    </w:p>
    <w:p w14:paraId="6ABE3C51" w14:textId="77777777" w:rsidR="00037D5F" w:rsidRPr="00152A20" w:rsidRDefault="008E5AA1">
      <w:pPr>
        <w:pStyle w:val="Heading2"/>
        <w:rPr>
          <w:lang w:val="en-GB"/>
        </w:rPr>
      </w:pPr>
      <w:bookmarkStart w:id="3" w:name="_3rdcrjn" w:colFirst="0" w:colLast="0"/>
      <w:bookmarkEnd w:id="3"/>
      <w:r w:rsidRPr="00152A20">
        <w:rPr>
          <w:noProof/>
        </w:rPr>
        <w:drawing>
          <wp:inline distT="0" distB="0" distL="0" distR="0" wp14:anchorId="0B0C284A" wp14:editId="6C7267EF">
            <wp:extent cx="5905500" cy="3413760"/>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r="3338" b="5684"/>
                    <a:stretch>
                      <a:fillRect/>
                    </a:stretch>
                  </pic:blipFill>
                  <pic:spPr>
                    <a:xfrm>
                      <a:off x="0" y="0"/>
                      <a:ext cx="5905500" cy="3413760"/>
                    </a:xfrm>
                    <a:prstGeom prst="rect">
                      <a:avLst/>
                    </a:prstGeom>
                    <a:ln/>
                  </pic:spPr>
                </pic:pic>
              </a:graphicData>
            </a:graphic>
          </wp:inline>
        </w:drawing>
      </w:r>
    </w:p>
    <w:p w14:paraId="1F1CD9D4" w14:textId="0E24E5AF" w:rsidR="00037D5F" w:rsidRPr="00152A20" w:rsidRDefault="008E5AA1">
      <w:pPr>
        <w:rPr>
          <w:lang w:val="en-GB"/>
        </w:rPr>
      </w:pPr>
      <w:r w:rsidRPr="00152A20">
        <w:rPr>
          <w:i/>
          <w:sz w:val="20"/>
          <w:szCs w:val="20"/>
          <w:lang w:val="en-GB"/>
        </w:rPr>
        <w:t xml:space="preserve">Source: </w:t>
      </w:r>
      <w:r w:rsidR="00C17163">
        <w:rPr>
          <w:i/>
          <w:sz w:val="20"/>
          <w:szCs w:val="20"/>
          <w:lang w:val="en-GB"/>
        </w:rPr>
        <w:t>D</w:t>
      </w:r>
      <w:r w:rsidRPr="00152A20">
        <w:rPr>
          <w:i/>
          <w:sz w:val="20"/>
          <w:szCs w:val="20"/>
          <w:lang w:val="en-GB"/>
        </w:rPr>
        <w:t>eveloped by</w:t>
      </w:r>
      <w:r w:rsidR="005D33B2" w:rsidRPr="00152A20">
        <w:rPr>
          <w:i/>
          <w:sz w:val="20"/>
          <w:szCs w:val="20"/>
          <w:lang w:val="en-GB"/>
        </w:rPr>
        <w:t xml:space="preserve"> the</w:t>
      </w:r>
      <w:r w:rsidRPr="00152A20">
        <w:rPr>
          <w:i/>
          <w:sz w:val="20"/>
          <w:szCs w:val="20"/>
          <w:lang w:val="en-GB"/>
        </w:rPr>
        <w:t xml:space="preserve"> authors.</w:t>
      </w:r>
    </w:p>
    <w:p w14:paraId="30DD4ACC" w14:textId="77777777" w:rsidR="00037D5F" w:rsidRPr="00152A20" w:rsidRDefault="00037D5F">
      <w:pPr>
        <w:rPr>
          <w:lang w:val="en-GB"/>
        </w:rPr>
      </w:pPr>
    </w:p>
    <w:p w14:paraId="348B311A" w14:textId="440579B7" w:rsidR="00037D5F" w:rsidRPr="00152A20" w:rsidRDefault="00C17163">
      <w:pPr>
        <w:rPr>
          <w:lang w:val="en-GB"/>
        </w:rPr>
      </w:pPr>
      <w:r>
        <w:rPr>
          <w:lang w:val="en-GB"/>
        </w:rPr>
        <w:t>Higher education t</w:t>
      </w:r>
      <w:r w:rsidR="008E5AA1" w:rsidRPr="00152A20">
        <w:rPr>
          <w:lang w:val="en-GB"/>
        </w:rPr>
        <w:t xml:space="preserve">ransformations have been closely related to the political and socio-economic changes in Russia since the USSR dissolution. </w:t>
      </w:r>
      <w:r>
        <w:rPr>
          <w:lang w:val="en-GB"/>
        </w:rPr>
        <w:t>L</w:t>
      </w:r>
      <w:r w:rsidR="008E5AA1" w:rsidRPr="00152A20">
        <w:rPr>
          <w:lang w:val="en-GB"/>
        </w:rPr>
        <w:t>iberali</w:t>
      </w:r>
      <w:r>
        <w:rPr>
          <w:lang w:val="en-GB"/>
        </w:rPr>
        <w:t>s</w:t>
      </w:r>
      <w:r w:rsidR="008E5AA1" w:rsidRPr="00152A20">
        <w:rPr>
          <w:lang w:val="en-GB"/>
        </w:rPr>
        <w:t xml:space="preserve">ation and </w:t>
      </w:r>
      <w:r>
        <w:rPr>
          <w:lang w:val="en-GB"/>
        </w:rPr>
        <w:t xml:space="preserve">the </w:t>
      </w:r>
      <w:r w:rsidR="008E5AA1" w:rsidRPr="00152A20">
        <w:rPr>
          <w:lang w:val="en-GB"/>
        </w:rPr>
        <w:t xml:space="preserve">establishment of a new market economy inevitably </w:t>
      </w:r>
      <w:r w:rsidR="00A069A0" w:rsidRPr="00152A20">
        <w:rPr>
          <w:lang w:val="en-GB"/>
        </w:rPr>
        <w:t>affected the</w:t>
      </w:r>
      <w:r w:rsidR="008E5AA1" w:rsidRPr="00152A20">
        <w:rPr>
          <w:lang w:val="en-GB"/>
        </w:rPr>
        <w:t xml:space="preserve"> education system </w:t>
      </w:r>
      <w:r w:rsidR="008E5AA1" w:rsidRPr="00152A20">
        <w:rPr>
          <w:shd w:val="clear" w:color="auto" w:fill="FFF5BF"/>
          <w:lang w:val="en-GB"/>
        </w:rPr>
        <w:t>(</w:t>
      </w:r>
      <w:proofErr w:type="spellStart"/>
      <w:r w:rsidR="008E5AA1" w:rsidRPr="00152A20">
        <w:rPr>
          <w:shd w:val="clear" w:color="auto" w:fill="FFF5BF"/>
          <w:lang w:val="en-GB"/>
        </w:rPr>
        <w:t>Balzer</w:t>
      </w:r>
      <w:proofErr w:type="spellEnd"/>
      <w:r w:rsidR="008E5AA1" w:rsidRPr="00152A20">
        <w:rPr>
          <w:shd w:val="clear" w:color="auto" w:fill="FFF5BF"/>
          <w:lang w:val="en-GB"/>
        </w:rPr>
        <w:t xml:space="preserve"> 1994)</w:t>
      </w:r>
      <w:r w:rsidR="008E5AA1" w:rsidRPr="00152A20">
        <w:rPr>
          <w:lang w:val="en-GB"/>
        </w:rPr>
        <w:t>. Within the framework of wider socio-economic changes, we emphasi</w:t>
      </w:r>
      <w:r>
        <w:rPr>
          <w:lang w:val="en-GB"/>
        </w:rPr>
        <w:t>s</w:t>
      </w:r>
      <w:r w:rsidR="008E5AA1" w:rsidRPr="00152A20">
        <w:rPr>
          <w:lang w:val="en-GB"/>
        </w:rPr>
        <w:t>e three main trends in HE development in Russia that significantly influenced</w:t>
      </w:r>
      <w:r w:rsidR="00A069A0" w:rsidRPr="00152A20">
        <w:rPr>
          <w:lang w:val="en-GB"/>
        </w:rPr>
        <w:t xml:space="preserve"> the</w:t>
      </w:r>
      <w:r w:rsidR="008E5AA1" w:rsidRPr="00152A20">
        <w:rPr>
          <w:lang w:val="en-GB"/>
        </w:rPr>
        <w:t xml:space="preserve"> landscape</w:t>
      </w:r>
      <w:r w:rsidR="00A069A0" w:rsidRPr="00152A20">
        <w:rPr>
          <w:lang w:val="en-GB"/>
        </w:rPr>
        <w:t xml:space="preserve">: </w:t>
      </w:r>
      <w:proofErr w:type="spellStart"/>
      <w:r w:rsidR="008E5AA1" w:rsidRPr="00152A20">
        <w:rPr>
          <w:lang w:val="en-GB"/>
        </w:rPr>
        <w:t>massification</w:t>
      </w:r>
      <w:proofErr w:type="spellEnd"/>
      <w:r w:rsidR="008E5AA1" w:rsidRPr="00152A20">
        <w:rPr>
          <w:lang w:val="en-GB"/>
        </w:rPr>
        <w:t>, privati</w:t>
      </w:r>
      <w:r>
        <w:rPr>
          <w:lang w:val="en-GB"/>
        </w:rPr>
        <w:t>s</w:t>
      </w:r>
      <w:r w:rsidR="008E5AA1" w:rsidRPr="00152A20">
        <w:rPr>
          <w:lang w:val="en-GB"/>
        </w:rPr>
        <w:t xml:space="preserve">ation of costs (cost-sharing) and changes in </w:t>
      </w:r>
      <w:r w:rsidR="00A069A0" w:rsidRPr="00152A20">
        <w:rPr>
          <w:lang w:val="en-GB"/>
        </w:rPr>
        <w:t xml:space="preserve">the </w:t>
      </w:r>
      <w:r w:rsidR="008E5AA1" w:rsidRPr="00152A20">
        <w:rPr>
          <w:lang w:val="en-GB"/>
        </w:rPr>
        <w:t xml:space="preserve">subject mix. </w:t>
      </w:r>
    </w:p>
    <w:p w14:paraId="5AE786BD" w14:textId="77777777" w:rsidR="00037D5F" w:rsidRPr="00152A20" w:rsidRDefault="008E5AA1">
      <w:pPr>
        <w:pStyle w:val="Heading2"/>
        <w:rPr>
          <w:lang w:val="en-GB"/>
        </w:rPr>
      </w:pPr>
      <w:bookmarkStart w:id="4" w:name="_2et92p0" w:colFirst="0" w:colLast="0"/>
      <w:bookmarkEnd w:id="4"/>
      <w:r w:rsidRPr="00152A20">
        <w:rPr>
          <w:lang w:val="en-GB"/>
        </w:rPr>
        <w:t xml:space="preserve">Shift in Demand for Educational Fields </w:t>
      </w:r>
    </w:p>
    <w:p w14:paraId="7F28E7C2" w14:textId="4868CE57" w:rsidR="00037D5F" w:rsidRPr="00152A20" w:rsidRDefault="00A069A0">
      <w:pPr>
        <w:spacing w:before="200"/>
        <w:rPr>
          <w:lang w:val="en-GB"/>
        </w:rPr>
      </w:pPr>
      <w:r w:rsidRPr="00152A20">
        <w:rPr>
          <w:lang w:val="en-GB"/>
        </w:rPr>
        <w:t xml:space="preserve">The </w:t>
      </w:r>
      <w:r w:rsidR="008E5AA1" w:rsidRPr="00152A20">
        <w:rPr>
          <w:lang w:val="en-GB"/>
        </w:rPr>
        <w:t>Russian economy has experienced explicit structural transformations</w:t>
      </w:r>
      <w:r w:rsidRPr="00152A20">
        <w:rPr>
          <w:lang w:val="en-GB"/>
        </w:rPr>
        <w:t xml:space="preserve">, with a major </w:t>
      </w:r>
      <w:r w:rsidR="008E5AA1" w:rsidRPr="00152A20">
        <w:rPr>
          <w:lang w:val="en-GB"/>
        </w:rPr>
        <w:t xml:space="preserve">expansion of </w:t>
      </w:r>
      <w:r w:rsidRPr="00152A20">
        <w:rPr>
          <w:lang w:val="en-GB"/>
        </w:rPr>
        <w:t xml:space="preserve">the </w:t>
      </w:r>
      <w:r w:rsidR="008E5AA1" w:rsidRPr="00152A20">
        <w:rPr>
          <w:lang w:val="en-GB"/>
        </w:rPr>
        <w:t xml:space="preserve">tertiary sector (services) (see </w:t>
      </w:r>
      <w:r w:rsidR="00C17163">
        <w:rPr>
          <w:shd w:val="clear" w:color="auto" w:fill="FFF5BF"/>
          <w:lang w:val="en-GB"/>
        </w:rPr>
        <w:t>T</w:t>
      </w:r>
      <w:r w:rsidR="008E5AA1" w:rsidRPr="00152A20">
        <w:rPr>
          <w:shd w:val="clear" w:color="auto" w:fill="FFF5BF"/>
          <w:lang w:val="en-GB"/>
        </w:rPr>
        <w:t>able 4</w:t>
      </w:r>
      <w:r w:rsidR="008E5AA1" w:rsidRPr="00152A20">
        <w:rPr>
          <w:lang w:val="en-GB"/>
        </w:rPr>
        <w:t xml:space="preserve">). </w:t>
      </w:r>
      <w:r w:rsidR="00C17163">
        <w:rPr>
          <w:lang w:val="en-GB"/>
        </w:rPr>
        <w:t xml:space="preserve">From </w:t>
      </w:r>
      <w:r w:rsidR="008E5AA1" w:rsidRPr="00152A20">
        <w:rPr>
          <w:lang w:val="en-GB"/>
        </w:rPr>
        <w:t>1990</w:t>
      </w:r>
      <w:r w:rsidR="00C17163">
        <w:rPr>
          <w:lang w:val="en-GB"/>
        </w:rPr>
        <w:t xml:space="preserve"> to </w:t>
      </w:r>
      <w:r w:rsidR="008E5AA1" w:rsidRPr="00152A20">
        <w:rPr>
          <w:lang w:val="en-GB"/>
        </w:rPr>
        <w:t>2002</w:t>
      </w:r>
      <w:r w:rsidRPr="00152A20">
        <w:rPr>
          <w:lang w:val="en-GB"/>
        </w:rPr>
        <w:t>,</w:t>
      </w:r>
      <w:r w:rsidR="008E5AA1" w:rsidRPr="00152A20">
        <w:rPr>
          <w:lang w:val="en-GB"/>
        </w:rPr>
        <w:t xml:space="preserve"> the cumulative loss in </w:t>
      </w:r>
      <w:r w:rsidR="00C17163">
        <w:rPr>
          <w:lang w:val="en-GB"/>
        </w:rPr>
        <w:t xml:space="preserve">the </w:t>
      </w:r>
      <w:r w:rsidR="008E5AA1" w:rsidRPr="00152A20">
        <w:rPr>
          <w:lang w:val="en-GB"/>
        </w:rPr>
        <w:t xml:space="preserve">number of employees in </w:t>
      </w:r>
      <w:r w:rsidR="00143A6D" w:rsidRPr="00152A20">
        <w:rPr>
          <w:lang w:val="en-GB"/>
        </w:rPr>
        <w:t xml:space="preserve">the </w:t>
      </w:r>
      <w:r w:rsidR="008E5AA1" w:rsidRPr="00152A20">
        <w:rPr>
          <w:lang w:val="en-GB"/>
        </w:rPr>
        <w:t>industry</w:t>
      </w:r>
      <w:r w:rsidR="00143A6D" w:rsidRPr="00152A20">
        <w:rPr>
          <w:lang w:val="en-GB"/>
        </w:rPr>
        <w:t xml:space="preserve"> sector</w:t>
      </w:r>
      <w:r w:rsidR="008E5AA1" w:rsidRPr="00152A20">
        <w:rPr>
          <w:lang w:val="en-GB"/>
        </w:rPr>
        <w:t xml:space="preserve"> was extremely dramatic</w:t>
      </w:r>
      <w:r w:rsidR="00143A6D" w:rsidRPr="00152A20">
        <w:rPr>
          <w:lang w:val="en-GB"/>
        </w:rPr>
        <w:t xml:space="preserve">, amounting to </w:t>
      </w:r>
      <w:r w:rsidR="008E5AA1" w:rsidRPr="00152A20">
        <w:rPr>
          <w:lang w:val="en-GB"/>
        </w:rPr>
        <w:t>about 36%. The</w:t>
      </w:r>
      <w:r w:rsidR="00143A6D" w:rsidRPr="00152A20">
        <w:rPr>
          <w:lang w:val="en-GB"/>
        </w:rPr>
        <w:t xml:space="preserve">re were </w:t>
      </w:r>
      <w:r w:rsidR="008E5AA1" w:rsidRPr="00152A20">
        <w:rPr>
          <w:lang w:val="en-GB"/>
        </w:rPr>
        <w:t xml:space="preserve">comparable </w:t>
      </w:r>
      <w:r w:rsidR="00143A6D" w:rsidRPr="00152A20">
        <w:rPr>
          <w:lang w:val="en-GB"/>
        </w:rPr>
        <w:t>changes</w:t>
      </w:r>
      <w:r w:rsidR="008E5AA1" w:rsidRPr="00152A20">
        <w:rPr>
          <w:lang w:val="en-GB"/>
        </w:rPr>
        <w:t xml:space="preserve"> in other production sectors such as agriculture (</w:t>
      </w:r>
      <w:r w:rsidR="00143A6D" w:rsidRPr="00152A20">
        <w:rPr>
          <w:lang w:val="en-GB"/>
        </w:rPr>
        <w:t>-</w:t>
      </w:r>
      <w:r w:rsidR="008E5AA1" w:rsidRPr="00152A20">
        <w:rPr>
          <w:lang w:val="en-GB"/>
        </w:rPr>
        <w:t>20%), construction (</w:t>
      </w:r>
      <w:r w:rsidR="00143A6D" w:rsidRPr="00152A20">
        <w:rPr>
          <w:lang w:val="en-GB"/>
        </w:rPr>
        <w:t>-</w:t>
      </w:r>
      <w:r w:rsidR="008E5AA1" w:rsidRPr="00152A20">
        <w:rPr>
          <w:lang w:val="en-GB"/>
        </w:rPr>
        <w:t>23%)</w:t>
      </w:r>
      <w:r w:rsidR="00143A6D" w:rsidRPr="00152A20">
        <w:rPr>
          <w:lang w:val="en-GB"/>
        </w:rPr>
        <w:t xml:space="preserve"> and</w:t>
      </w:r>
      <w:r w:rsidR="008E5AA1" w:rsidRPr="00152A20">
        <w:rPr>
          <w:lang w:val="en-GB"/>
        </w:rPr>
        <w:t xml:space="preserve"> transport and communication (</w:t>
      </w:r>
      <w:r w:rsidR="00143A6D" w:rsidRPr="00152A20">
        <w:rPr>
          <w:lang w:val="en-GB"/>
        </w:rPr>
        <w:t>-</w:t>
      </w:r>
      <w:r w:rsidR="008E5AA1" w:rsidRPr="00152A20">
        <w:rPr>
          <w:lang w:val="en-GB"/>
        </w:rPr>
        <w:t xml:space="preserve">16%) </w:t>
      </w:r>
      <w:r w:rsidR="008E5AA1" w:rsidRPr="00152A20">
        <w:rPr>
          <w:shd w:val="clear" w:color="auto" w:fill="FFF5BF"/>
          <w:lang w:val="en-GB"/>
        </w:rPr>
        <w:t>(</w:t>
      </w:r>
      <w:proofErr w:type="spellStart"/>
      <w:r w:rsidR="008E5AA1" w:rsidRPr="00152A20">
        <w:rPr>
          <w:shd w:val="clear" w:color="auto" w:fill="FFF5BF"/>
          <w:lang w:val="en-GB"/>
        </w:rPr>
        <w:t>Gimpelson</w:t>
      </w:r>
      <w:proofErr w:type="spellEnd"/>
      <w:r w:rsidR="008E5AA1" w:rsidRPr="00152A20">
        <w:rPr>
          <w:shd w:val="clear" w:color="auto" w:fill="FFF5BF"/>
          <w:lang w:val="en-GB"/>
        </w:rPr>
        <w:t xml:space="preserve"> 2010</w:t>
      </w:r>
      <w:r w:rsidR="00143A6D" w:rsidRPr="00152A20">
        <w:rPr>
          <w:shd w:val="clear" w:color="auto" w:fill="FFF5BF"/>
          <w:lang w:val="en-GB"/>
        </w:rPr>
        <w:t xml:space="preserve">, </w:t>
      </w:r>
      <w:r w:rsidR="008E5AA1" w:rsidRPr="00152A20">
        <w:rPr>
          <w:shd w:val="clear" w:color="auto" w:fill="FFF5BF"/>
          <w:lang w:val="en-GB"/>
        </w:rPr>
        <w:t>4)</w:t>
      </w:r>
      <w:r w:rsidR="008E5AA1" w:rsidRPr="00152A20">
        <w:rPr>
          <w:lang w:val="en-GB"/>
        </w:rPr>
        <w:t>. Th</w:t>
      </w:r>
      <w:r w:rsidR="00143A6D" w:rsidRPr="00152A20">
        <w:rPr>
          <w:lang w:val="en-GB"/>
        </w:rPr>
        <w:t>e</w:t>
      </w:r>
      <w:r w:rsidR="008E5AA1" w:rsidRPr="00152A20">
        <w:rPr>
          <w:lang w:val="en-GB"/>
        </w:rPr>
        <w:t>s</w:t>
      </w:r>
      <w:r w:rsidR="00143A6D" w:rsidRPr="00152A20">
        <w:rPr>
          <w:lang w:val="en-GB"/>
        </w:rPr>
        <w:t>e</w:t>
      </w:r>
      <w:r w:rsidR="008E5AA1" w:rsidRPr="00152A20">
        <w:rPr>
          <w:lang w:val="en-GB"/>
        </w:rPr>
        <w:t xml:space="preserve"> </w:t>
      </w:r>
      <w:r w:rsidR="00143A6D" w:rsidRPr="00152A20">
        <w:rPr>
          <w:lang w:val="en-GB"/>
        </w:rPr>
        <w:t xml:space="preserve">changes </w:t>
      </w:r>
      <w:r w:rsidR="00C17163">
        <w:rPr>
          <w:lang w:val="en-GB"/>
        </w:rPr>
        <w:lastRenderedPageBreak/>
        <w:t>i</w:t>
      </w:r>
      <w:r w:rsidR="00143A6D" w:rsidRPr="00152A20">
        <w:rPr>
          <w:lang w:val="en-GB"/>
        </w:rPr>
        <w:t>n the labour market</w:t>
      </w:r>
      <w:r w:rsidR="008E5AA1" w:rsidRPr="00152A20">
        <w:rPr>
          <w:lang w:val="en-GB"/>
        </w:rPr>
        <w:t xml:space="preserve"> generated </w:t>
      </w:r>
      <w:r w:rsidR="00143A6D" w:rsidRPr="00152A20">
        <w:rPr>
          <w:lang w:val="en-GB"/>
        </w:rPr>
        <w:t xml:space="preserve">a </w:t>
      </w:r>
      <w:r w:rsidR="008E5AA1" w:rsidRPr="00152A20">
        <w:rPr>
          <w:lang w:val="en-GB"/>
        </w:rPr>
        <w:t xml:space="preserve">perception of low demand </w:t>
      </w:r>
      <w:r w:rsidR="00143A6D" w:rsidRPr="00152A20">
        <w:rPr>
          <w:lang w:val="en-GB"/>
        </w:rPr>
        <w:t>for</w:t>
      </w:r>
      <w:r w:rsidR="008E5AA1" w:rsidRPr="00152A20">
        <w:rPr>
          <w:lang w:val="en-GB"/>
        </w:rPr>
        <w:t xml:space="preserve"> “hard sciences” and </w:t>
      </w:r>
      <w:r w:rsidR="00143A6D" w:rsidRPr="00152A20">
        <w:rPr>
          <w:lang w:val="en-GB"/>
        </w:rPr>
        <w:t xml:space="preserve">led to a </w:t>
      </w:r>
      <w:r w:rsidR="008E5AA1" w:rsidRPr="00152A20">
        <w:rPr>
          <w:lang w:val="en-GB"/>
        </w:rPr>
        <w:t xml:space="preserve">decline in </w:t>
      </w:r>
      <w:r w:rsidR="00C17163">
        <w:rPr>
          <w:lang w:val="en-GB"/>
        </w:rPr>
        <w:t xml:space="preserve">the </w:t>
      </w:r>
      <w:r w:rsidR="008E5AA1" w:rsidRPr="00152A20">
        <w:rPr>
          <w:lang w:val="en-GB"/>
        </w:rPr>
        <w:t xml:space="preserve">popularity of engineering HEIs. </w:t>
      </w:r>
      <w:r w:rsidR="00143A6D" w:rsidRPr="00152A20">
        <w:rPr>
          <w:lang w:val="en-GB"/>
        </w:rPr>
        <w:t>The</w:t>
      </w:r>
      <w:r w:rsidR="008E5AA1" w:rsidRPr="00152A20">
        <w:rPr>
          <w:lang w:val="en-GB"/>
        </w:rPr>
        <w:t xml:space="preserve"> services and health care sector grew significantly. Employment in the trade sector increased by 85%, in </w:t>
      </w:r>
      <w:r w:rsidR="00143A6D" w:rsidRPr="00152A20">
        <w:rPr>
          <w:lang w:val="en-GB"/>
        </w:rPr>
        <w:t xml:space="preserve">the </w:t>
      </w:r>
      <w:r w:rsidR="008E5AA1" w:rsidRPr="00152A20">
        <w:rPr>
          <w:lang w:val="en-GB"/>
        </w:rPr>
        <w:t xml:space="preserve">financial sector </w:t>
      </w:r>
      <w:r w:rsidR="00143A6D" w:rsidRPr="00152A20">
        <w:rPr>
          <w:lang w:val="en-GB"/>
        </w:rPr>
        <w:t>by</w:t>
      </w:r>
      <w:r w:rsidR="008E5AA1" w:rsidRPr="00152A20">
        <w:rPr>
          <w:lang w:val="en-GB"/>
        </w:rPr>
        <w:t xml:space="preserve"> 103% and in public management </w:t>
      </w:r>
      <w:r w:rsidR="00143A6D" w:rsidRPr="00152A20">
        <w:rPr>
          <w:lang w:val="en-GB"/>
        </w:rPr>
        <w:t xml:space="preserve">by </w:t>
      </w:r>
      <w:r w:rsidR="008E5AA1" w:rsidRPr="00152A20">
        <w:rPr>
          <w:lang w:val="en-GB"/>
        </w:rPr>
        <w:t>85% (</w:t>
      </w:r>
      <w:proofErr w:type="spellStart"/>
      <w:r w:rsidR="008E5AA1" w:rsidRPr="00152A20">
        <w:rPr>
          <w:shd w:val="clear" w:color="auto" w:fill="FFF5BF"/>
          <w:lang w:val="en-GB"/>
        </w:rPr>
        <w:t>Gimpelson</w:t>
      </w:r>
      <w:proofErr w:type="spellEnd"/>
      <w:r w:rsidR="008E5AA1" w:rsidRPr="00152A20">
        <w:rPr>
          <w:shd w:val="clear" w:color="auto" w:fill="FFF5BF"/>
          <w:lang w:val="en-GB"/>
        </w:rPr>
        <w:t xml:space="preserve"> 2010</w:t>
      </w:r>
      <w:r w:rsidR="00143A6D" w:rsidRPr="00152A20">
        <w:rPr>
          <w:shd w:val="clear" w:color="auto" w:fill="FFF5BF"/>
          <w:lang w:val="en-GB"/>
        </w:rPr>
        <w:t>,</w:t>
      </w:r>
      <w:r w:rsidR="008E5AA1" w:rsidRPr="00152A20">
        <w:rPr>
          <w:shd w:val="clear" w:color="auto" w:fill="FFF5BF"/>
          <w:lang w:val="en-GB"/>
        </w:rPr>
        <w:t xml:space="preserve"> 4)</w:t>
      </w:r>
      <w:r w:rsidR="008E5AA1" w:rsidRPr="00152A20">
        <w:rPr>
          <w:lang w:val="en-GB"/>
        </w:rPr>
        <w:t xml:space="preserve">. </w:t>
      </w:r>
    </w:p>
    <w:p w14:paraId="5F4FFB48" w14:textId="26F9E23B" w:rsidR="00037D5F" w:rsidRPr="00152A20" w:rsidRDefault="008E5AA1">
      <w:pPr>
        <w:spacing w:before="200" w:line="240" w:lineRule="auto"/>
        <w:rPr>
          <w:lang w:val="en-GB"/>
        </w:rPr>
      </w:pPr>
      <w:r w:rsidRPr="00152A20">
        <w:rPr>
          <w:i/>
          <w:shd w:val="clear" w:color="auto" w:fill="FFF5BF"/>
          <w:lang w:val="en-GB"/>
        </w:rPr>
        <w:t xml:space="preserve">Table 4. </w:t>
      </w:r>
      <w:r w:rsidRPr="00152A20">
        <w:rPr>
          <w:i/>
          <w:lang w:val="en-GB"/>
        </w:rPr>
        <w:t xml:space="preserve">Structural transformations of </w:t>
      </w:r>
      <w:r w:rsidR="00C17163">
        <w:rPr>
          <w:i/>
          <w:lang w:val="en-GB"/>
        </w:rPr>
        <w:t xml:space="preserve">the </w:t>
      </w:r>
      <w:r w:rsidRPr="00152A20">
        <w:rPr>
          <w:i/>
          <w:lang w:val="en-GB"/>
        </w:rPr>
        <w:t>Russian economy 1991-2014</w:t>
      </w:r>
    </w:p>
    <w:tbl>
      <w:tblPr>
        <w:tblStyle w:val="a2"/>
        <w:tblW w:w="969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810"/>
        <w:gridCol w:w="780"/>
        <w:gridCol w:w="780"/>
        <w:gridCol w:w="870"/>
        <w:gridCol w:w="795"/>
        <w:gridCol w:w="780"/>
      </w:tblGrid>
      <w:tr w:rsidR="00037D5F" w:rsidRPr="00152A20" w14:paraId="605AD1FC" w14:textId="77777777">
        <w:trPr>
          <w:trHeight w:val="280"/>
        </w:trPr>
        <w:tc>
          <w:tcPr>
            <w:tcW w:w="4875" w:type="dxa"/>
          </w:tcPr>
          <w:p w14:paraId="1A67D219" w14:textId="77777777" w:rsidR="00037D5F" w:rsidRPr="00152A20" w:rsidRDefault="00037D5F">
            <w:pPr>
              <w:spacing w:after="0" w:line="240" w:lineRule="auto"/>
              <w:jc w:val="left"/>
              <w:rPr>
                <w:lang w:val="en-GB"/>
              </w:rPr>
            </w:pPr>
          </w:p>
        </w:tc>
        <w:tc>
          <w:tcPr>
            <w:tcW w:w="810" w:type="dxa"/>
          </w:tcPr>
          <w:p w14:paraId="1BF3D3DD" w14:textId="77777777" w:rsidR="00037D5F" w:rsidRPr="00152A20" w:rsidRDefault="008E5AA1">
            <w:pPr>
              <w:spacing w:after="0" w:line="240" w:lineRule="auto"/>
              <w:jc w:val="right"/>
              <w:rPr>
                <w:lang w:val="en-GB"/>
              </w:rPr>
            </w:pPr>
            <w:r w:rsidRPr="00152A20">
              <w:rPr>
                <w:b/>
                <w:lang w:val="en-GB"/>
              </w:rPr>
              <w:t>1991</w:t>
            </w:r>
          </w:p>
        </w:tc>
        <w:tc>
          <w:tcPr>
            <w:tcW w:w="780" w:type="dxa"/>
          </w:tcPr>
          <w:p w14:paraId="74138366" w14:textId="77777777" w:rsidR="00037D5F" w:rsidRPr="00152A20" w:rsidRDefault="008E5AA1">
            <w:pPr>
              <w:spacing w:after="0" w:line="240" w:lineRule="auto"/>
              <w:jc w:val="right"/>
              <w:rPr>
                <w:lang w:val="en-GB"/>
              </w:rPr>
            </w:pPr>
            <w:r w:rsidRPr="00152A20">
              <w:rPr>
                <w:b/>
                <w:lang w:val="en-GB"/>
              </w:rPr>
              <w:t>1995</w:t>
            </w:r>
          </w:p>
        </w:tc>
        <w:tc>
          <w:tcPr>
            <w:tcW w:w="780" w:type="dxa"/>
          </w:tcPr>
          <w:p w14:paraId="2BA4D026" w14:textId="77777777" w:rsidR="00037D5F" w:rsidRPr="00152A20" w:rsidRDefault="008E5AA1">
            <w:pPr>
              <w:spacing w:after="0" w:line="240" w:lineRule="auto"/>
              <w:jc w:val="right"/>
              <w:rPr>
                <w:lang w:val="en-GB"/>
              </w:rPr>
            </w:pPr>
            <w:r w:rsidRPr="00152A20">
              <w:rPr>
                <w:b/>
                <w:lang w:val="en-GB"/>
              </w:rPr>
              <w:t>2000</w:t>
            </w:r>
          </w:p>
        </w:tc>
        <w:tc>
          <w:tcPr>
            <w:tcW w:w="870" w:type="dxa"/>
          </w:tcPr>
          <w:p w14:paraId="6CD21173" w14:textId="77777777" w:rsidR="00037D5F" w:rsidRPr="00152A20" w:rsidRDefault="008E5AA1">
            <w:pPr>
              <w:spacing w:after="0" w:line="240" w:lineRule="auto"/>
              <w:jc w:val="right"/>
              <w:rPr>
                <w:lang w:val="en-GB"/>
              </w:rPr>
            </w:pPr>
            <w:r w:rsidRPr="00152A20">
              <w:rPr>
                <w:b/>
                <w:lang w:val="en-GB"/>
              </w:rPr>
              <w:t>2005</w:t>
            </w:r>
          </w:p>
        </w:tc>
        <w:tc>
          <w:tcPr>
            <w:tcW w:w="795" w:type="dxa"/>
          </w:tcPr>
          <w:p w14:paraId="51F46C33" w14:textId="77777777" w:rsidR="00037D5F" w:rsidRPr="00152A20" w:rsidRDefault="008E5AA1">
            <w:pPr>
              <w:spacing w:after="0" w:line="240" w:lineRule="auto"/>
              <w:jc w:val="right"/>
              <w:rPr>
                <w:lang w:val="en-GB"/>
              </w:rPr>
            </w:pPr>
            <w:r w:rsidRPr="00152A20">
              <w:rPr>
                <w:b/>
                <w:lang w:val="en-GB"/>
              </w:rPr>
              <w:t>2010</w:t>
            </w:r>
          </w:p>
        </w:tc>
        <w:tc>
          <w:tcPr>
            <w:tcW w:w="780" w:type="dxa"/>
          </w:tcPr>
          <w:p w14:paraId="28E7D172" w14:textId="77777777" w:rsidR="00037D5F" w:rsidRPr="00152A20" w:rsidRDefault="008E5AA1">
            <w:pPr>
              <w:spacing w:after="0" w:line="240" w:lineRule="auto"/>
              <w:jc w:val="right"/>
              <w:rPr>
                <w:lang w:val="en-GB"/>
              </w:rPr>
            </w:pPr>
            <w:r w:rsidRPr="00152A20">
              <w:rPr>
                <w:b/>
                <w:lang w:val="en-GB"/>
              </w:rPr>
              <w:t>2014</w:t>
            </w:r>
          </w:p>
        </w:tc>
      </w:tr>
      <w:tr w:rsidR="00037D5F" w:rsidRPr="00152A20" w14:paraId="18E82701" w14:textId="77777777">
        <w:trPr>
          <w:trHeight w:val="280"/>
        </w:trPr>
        <w:tc>
          <w:tcPr>
            <w:tcW w:w="4875" w:type="dxa"/>
          </w:tcPr>
          <w:p w14:paraId="1736AD01" w14:textId="77777777" w:rsidR="00037D5F" w:rsidRPr="00152A20" w:rsidRDefault="008E5AA1">
            <w:pPr>
              <w:spacing w:after="0" w:line="240" w:lineRule="auto"/>
              <w:jc w:val="left"/>
              <w:rPr>
                <w:lang w:val="en-GB"/>
              </w:rPr>
            </w:pPr>
            <w:r w:rsidRPr="00152A20">
              <w:rPr>
                <w:b/>
                <w:lang w:val="en-GB"/>
              </w:rPr>
              <w:t>Agriculture, value added (% of GDP)</w:t>
            </w:r>
          </w:p>
        </w:tc>
        <w:tc>
          <w:tcPr>
            <w:tcW w:w="810" w:type="dxa"/>
          </w:tcPr>
          <w:p w14:paraId="2797CDE4" w14:textId="77C0CCC6" w:rsidR="00037D5F" w:rsidRPr="00152A20" w:rsidRDefault="008E5AA1">
            <w:pPr>
              <w:spacing w:after="0" w:line="240" w:lineRule="auto"/>
              <w:jc w:val="right"/>
              <w:rPr>
                <w:lang w:val="en-GB"/>
              </w:rPr>
            </w:pPr>
            <w:r w:rsidRPr="00152A20">
              <w:rPr>
                <w:lang w:val="en-GB"/>
              </w:rPr>
              <w:t>14</w:t>
            </w:r>
            <w:r w:rsidR="006B68B0">
              <w:rPr>
                <w:lang w:val="en-GB"/>
              </w:rPr>
              <w:t>.</w:t>
            </w:r>
            <w:r w:rsidRPr="00152A20">
              <w:rPr>
                <w:lang w:val="en-GB"/>
              </w:rPr>
              <w:t>3</w:t>
            </w:r>
          </w:p>
        </w:tc>
        <w:tc>
          <w:tcPr>
            <w:tcW w:w="780" w:type="dxa"/>
          </w:tcPr>
          <w:p w14:paraId="05C26518" w14:textId="3A7CBAB8" w:rsidR="00037D5F" w:rsidRPr="00152A20" w:rsidRDefault="008E5AA1">
            <w:pPr>
              <w:spacing w:after="0" w:line="240" w:lineRule="auto"/>
              <w:jc w:val="right"/>
              <w:rPr>
                <w:lang w:val="en-GB"/>
              </w:rPr>
            </w:pPr>
            <w:r w:rsidRPr="00152A20">
              <w:rPr>
                <w:lang w:val="en-GB"/>
              </w:rPr>
              <w:t>7</w:t>
            </w:r>
            <w:r w:rsidR="006B68B0">
              <w:rPr>
                <w:lang w:val="en-GB"/>
              </w:rPr>
              <w:t>.</w:t>
            </w:r>
            <w:r w:rsidRPr="00152A20">
              <w:rPr>
                <w:lang w:val="en-GB"/>
              </w:rPr>
              <w:t>2</w:t>
            </w:r>
          </w:p>
        </w:tc>
        <w:tc>
          <w:tcPr>
            <w:tcW w:w="780" w:type="dxa"/>
          </w:tcPr>
          <w:p w14:paraId="0DAD0537" w14:textId="5E14092C" w:rsidR="00037D5F" w:rsidRPr="00152A20" w:rsidRDefault="008E5AA1">
            <w:pPr>
              <w:spacing w:after="0" w:line="240" w:lineRule="auto"/>
              <w:jc w:val="right"/>
              <w:rPr>
                <w:lang w:val="en-GB"/>
              </w:rPr>
            </w:pPr>
            <w:r w:rsidRPr="00152A20">
              <w:rPr>
                <w:lang w:val="en-GB"/>
              </w:rPr>
              <w:t>6</w:t>
            </w:r>
            <w:r w:rsidR="006B68B0">
              <w:rPr>
                <w:lang w:val="en-GB"/>
              </w:rPr>
              <w:t>.</w:t>
            </w:r>
            <w:r w:rsidRPr="00152A20">
              <w:rPr>
                <w:lang w:val="en-GB"/>
              </w:rPr>
              <w:t>4</w:t>
            </w:r>
          </w:p>
        </w:tc>
        <w:tc>
          <w:tcPr>
            <w:tcW w:w="870" w:type="dxa"/>
          </w:tcPr>
          <w:p w14:paraId="41ADCB00" w14:textId="41B0BF24" w:rsidR="00037D5F" w:rsidRPr="00152A20" w:rsidRDefault="008E5AA1">
            <w:pPr>
              <w:spacing w:after="0" w:line="240" w:lineRule="auto"/>
              <w:jc w:val="right"/>
              <w:rPr>
                <w:lang w:val="en-GB"/>
              </w:rPr>
            </w:pPr>
            <w:r w:rsidRPr="00152A20">
              <w:rPr>
                <w:lang w:val="en-GB"/>
              </w:rPr>
              <w:t>5</w:t>
            </w:r>
            <w:r w:rsidR="006B68B0">
              <w:rPr>
                <w:lang w:val="en-GB"/>
              </w:rPr>
              <w:t>.</w:t>
            </w:r>
            <w:r w:rsidRPr="00152A20">
              <w:rPr>
                <w:lang w:val="en-GB"/>
              </w:rPr>
              <w:t>0</w:t>
            </w:r>
          </w:p>
        </w:tc>
        <w:tc>
          <w:tcPr>
            <w:tcW w:w="795" w:type="dxa"/>
          </w:tcPr>
          <w:p w14:paraId="4351856F" w14:textId="34A19FF8" w:rsidR="00037D5F" w:rsidRPr="00152A20" w:rsidRDefault="008E5AA1">
            <w:pPr>
              <w:spacing w:after="0" w:line="240" w:lineRule="auto"/>
              <w:jc w:val="right"/>
              <w:rPr>
                <w:lang w:val="en-GB"/>
              </w:rPr>
            </w:pPr>
            <w:r w:rsidRPr="00152A20">
              <w:rPr>
                <w:lang w:val="en-GB"/>
              </w:rPr>
              <w:t>3</w:t>
            </w:r>
            <w:r w:rsidR="006B68B0">
              <w:rPr>
                <w:lang w:val="en-GB"/>
              </w:rPr>
              <w:t>.</w:t>
            </w:r>
            <w:r w:rsidRPr="00152A20">
              <w:rPr>
                <w:lang w:val="en-GB"/>
              </w:rPr>
              <w:t>9</w:t>
            </w:r>
          </w:p>
        </w:tc>
        <w:tc>
          <w:tcPr>
            <w:tcW w:w="780" w:type="dxa"/>
          </w:tcPr>
          <w:p w14:paraId="2978C346" w14:textId="3782C968" w:rsidR="00037D5F" w:rsidRPr="00152A20" w:rsidRDefault="008E5AA1">
            <w:pPr>
              <w:spacing w:after="0" w:line="240" w:lineRule="auto"/>
              <w:jc w:val="right"/>
              <w:rPr>
                <w:lang w:val="en-GB"/>
              </w:rPr>
            </w:pPr>
            <w:r w:rsidRPr="00152A20">
              <w:rPr>
                <w:lang w:val="en-GB"/>
              </w:rPr>
              <w:t>4</w:t>
            </w:r>
            <w:r w:rsidR="006B68B0">
              <w:rPr>
                <w:lang w:val="en-GB"/>
              </w:rPr>
              <w:t>.</w:t>
            </w:r>
            <w:r w:rsidRPr="00152A20">
              <w:rPr>
                <w:lang w:val="en-GB"/>
              </w:rPr>
              <w:t>2</w:t>
            </w:r>
          </w:p>
        </w:tc>
      </w:tr>
      <w:tr w:rsidR="00037D5F" w:rsidRPr="00152A20" w14:paraId="34E4036E" w14:textId="77777777">
        <w:trPr>
          <w:trHeight w:val="280"/>
        </w:trPr>
        <w:tc>
          <w:tcPr>
            <w:tcW w:w="4875" w:type="dxa"/>
          </w:tcPr>
          <w:p w14:paraId="1D2D0B49" w14:textId="77777777" w:rsidR="00037D5F" w:rsidRPr="00152A20" w:rsidRDefault="008E5AA1">
            <w:pPr>
              <w:spacing w:after="0" w:line="240" w:lineRule="auto"/>
              <w:jc w:val="left"/>
              <w:rPr>
                <w:lang w:val="en-GB"/>
              </w:rPr>
            </w:pPr>
            <w:r w:rsidRPr="00152A20">
              <w:rPr>
                <w:b/>
                <w:lang w:val="en-GB"/>
              </w:rPr>
              <w:t>Industry, value added (% of GDP)</w:t>
            </w:r>
          </w:p>
        </w:tc>
        <w:tc>
          <w:tcPr>
            <w:tcW w:w="810" w:type="dxa"/>
          </w:tcPr>
          <w:p w14:paraId="6416B2A7" w14:textId="2F756C3B" w:rsidR="00037D5F" w:rsidRPr="00152A20" w:rsidRDefault="008E5AA1">
            <w:pPr>
              <w:spacing w:after="0" w:line="240" w:lineRule="auto"/>
              <w:jc w:val="right"/>
              <w:rPr>
                <w:lang w:val="en-GB"/>
              </w:rPr>
            </w:pPr>
            <w:r w:rsidRPr="00152A20">
              <w:rPr>
                <w:lang w:val="en-GB"/>
              </w:rPr>
              <w:t>47</w:t>
            </w:r>
            <w:r w:rsidR="006B68B0">
              <w:rPr>
                <w:lang w:val="en-GB"/>
              </w:rPr>
              <w:t>.</w:t>
            </w:r>
            <w:r w:rsidRPr="00152A20">
              <w:rPr>
                <w:lang w:val="en-GB"/>
              </w:rPr>
              <w:t>6</w:t>
            </w:r>
          </w:p>
        </w:tc>
        <w:tc>
          <w:tcPr>
            <w:tcW w:w="780" w:type="dxa"/>
          </w:tcPr>
          <w:p w14:paraId="55D0A747" w14:textId="46C5D7EB" w:rsidR="00037D5F" w:rsidRPr="00152A20" w:rsidRDefault="008E5AA1">
            <w:pPr>
              <w:spacing w:after="0" w:line="240" w:lineRule="auto"/>
              <w:jc w:val="right"/>
              <w:rPr>
                <w:lang w:val="en-GB"/>
              </w:rPr>
            </w:pPr>
            <w:r w:rsidRPr="00152A20">
              <w:rPr>
                <w:lang w:val="en-GB"/>
              </w:rPr>
              <w:t>37</w:t>
            </w:r>
            <w:r w:rsidR="006B68B0">
              <w:rPr>
                <w:lang w:val="en-GB"/>
              </w:rPr>
              <w:t>.</w:t>
            </w:r>
            <w:r w:rsidRPr="00152A20">
              <w:rPr>
                <w:lang w:val="en-GB"/>
              </w:rPr>
              <w:t>0</w:t>
            </w:r>
          </w:p>
        </w:tc>
        <w:tc>
          <w:tcPr>
            <w:tcW w:w="780" w:type="dxa"/>
          </w:tcPr>
          <w:p w14:paraId="40AE3D3D" w14:textId="2EF92CF6" w:rsidR="00037D5F" w:rsidRPr="00152A20" w:rsidRDefault="008E5AA1">
            <w:pPr>
              <w:spacing w:after="0" w:line="240" w:lineRule="auto"/>
              <w:jc w:val="right"/>
              <w:rPr>
                <w:lang w:val="en-GB"/>
              </w:rPr>
            </w:pPr>
            <w:r w:rsidRPr="00152A20">
              <w:rPr>
                <w:lang w:val="en-GB"/>
              </w:rPr>
              <w:t>37</w:t>
            </w:r>
            <w:r w:rsidR="006B68B0">
              <w:rPr>
                <w:lang w:val="en-GB"/>
              </w:rPr>
              <w:t>.</w:t>
            </w:r>
            <w:r w:rsidRPr="00152A20">
              <w:rPr>
                <w:lang w:val="en-GB"/>
              </w:rPr>
              <w:t>9</w:t>
            </w:r>
          </w:p>
        </w:tc>
        <w:tc>
          <w:tcPr>
            <w:tcW w:w="870" w:type="dxa"/>
          </w:tcPr>
          <w:p w14:paraId="77701CF5" w14:textId="283EA3FF" w:rsidR="00037D5F" w:rsidRPr="00152A20" w:rsidRDefault="008E5AA1">
            <w:pPr>
              <w:spacing w:after="0" w:line="240" w:lineRule="auto"/>
              <w:jc w:val="right"/>
              <w:rPr>
                <w:lang w:val="en-GB"/>
              </w:rPr>
            </w:pPr>
            <w:r w:rsidRPr="00152A20">
              <w:rPr>
                <w:lang w:val="en-GB"/>
              </w:rPr>
              <w:t>38</w:t>
            </w:r>
            <w:r w:rsidR="006B68B0">
              <w:rPr>
                <w:lang w:val="en-GB"/>
              </w:rPr>
              <w:t>.</w:t>
            </w:r>
            <w:r w:rsidRPr="00152A20">
              <w:rPr>
                <w:lang w:val="en-GB"/>
              </w:rPr>
              <w:t>1</w:t>
            </w:r>
          </w:p>
        </w:tc>
        <w:tc>
          <w:tcPr>
            <w:tcW w:w="795" w:type="dxa"/>
          </w:tcPr>
          <w:p w14:paraId="2313CE01" w14:textId="0626442F" w:rsidR="00037D5F" w:rsidRPr="00152A20" w:rsidRDefault="008E5AA1">
            <w:pPr>
              <w:spacing w:after="0" w:line="240" w:lineRule="auto"/>
              <w:jc w:val="right"/>
              <w:rPr>
                <w:lang w:val="en-GB"/>
              </w:rPr>
            </w:pPr>
            <w:r w:rsidRPr="00152A20">
              <w:rPr>
                <w:lang w:val="en-GB"/>
              </w:rPr>
              <w:t>34</w:t>
            </w:r>
            <w:r w:rsidR="006B68B0">
              <w:rPr>
                <w:lang w:val="en-GB"/>
              </w:rPr>
              <w:t>.</w:t>
            </w:r>
            <w:r w:rsidRPr="00152A20">
              <w:rPr>
                <w:lang w:val="en-GB"/>
              </w:rPr>
              <w:t>7</w:t>
            </w:r>
          </w:p>
        </w:tc>
        <w:tc>
          <w:tcPr>
            <w:tcW w:w="780" w:type="dxa"/>
          </w:tcPr>
          <w:p w14:paraId="49D2BE86" w14:textId="05126AB0" w:rsidR="00037D5F" w:rsidRPr="00152A20" w:rsidRDefault="008E5AA1">
            <w:pPr>
              <w:spacing w:after="0" w:line="240" w:lineRule="auto"/>
              <w:jc w:val="right"/>
              <w:rPr>
                <w:lang w:val="en-GB"/>
              </w:rPr>
            </w:pPr>
            <w:r w:rsidRPr="00152A20">
              <w:rPr>
                <w:lang w:val="en-GB"/>
              </w:rPr>
              <w:t>35</w:t>
            </w:r>
            <w:r w:rsidR="006B68B0">
              <w:rPr>
                <w:lang w:val="en-GB"/>
              </w:rPr>
              <w:t>.</w:t>
            </w:r>
            <w:r w:rsidRPr="00152A20">
              <w:rPr>
                <w:lang w:val="en-GB"/>
              </w:rPr>
              <w:t>8</w:t>
            </w:r>
          </w:p>
        </w:tc>
      </w:tr>
      <w:tr w:rsidR="00037D5F" w:rsidRPr="00152A20" w14:paraId="0374AF9A" w14:textId="77777777">
        <w:trPr>
          <w:trHeight w:val="280"/>
        </w:trPr>
        <w:tc>
          <w:tcPr>
            <w:tcW w:w="4875" w:type="dxa"/>
          </w:tcPr>
          <w:p w14:paraId="2A646A41" w14:textId="2E938A7A" w:rsidR="00037D5F" w:rsidRPr="00152A20" w:rsidRDefault="008E5AA1">
            <w:pPr>
              <w:spacing w:after="0" w:line="240" w:lineRule="auto"/>
              <w:jc w:val="left"/>
              <w:rPr>
                <w:lang w:val="en-GB"/>
              </w:rPr>
            </w:pPr>
            <w:r w:rsidRPr="00152A20">
              <w:rPr>
                <w:b/>
                <w:lang w:val="en-GB"/>
              </w:rPr>
              <w:t>Services, value added (% of GDP)</w:t>
            </w:r>
          </w:p>
        </w:tc>
        <w:tc>
          <w:tcPr>
            <w:tcW w:w="810" w:type="dxa"/>
          </w:tcPr>
          <w:p w14:paraId="694D0A8A" w14:textId="6D34280F" w:rsidR="00037D5F" w:rsidRPr="00152A20" w:rsidRDefault="008E5AA1">
            <w:pPr>
              <w:spacing w:after="0" w:line="240" w:lineRule="auto"/>
              <w:jc w:val="right"/>
              <w:rPr>
                <w:lang w:val="en-GB"/>
              </w:rPr>
            </w:pPr>
            <w:r w:rsidRPr="00152A20">
              <w:rPr>
                <w:lang w:val="en-GB"/>
              </w:rPr>
              <w:t>38</w:t>
            </w:r>
            <w:r w:rsidR="006B68B0">
              <w:rPr>
                <w:lang w:val="en-GB"/>
              </w:rPr>
              <w:t>.</w:t>
            </w:r>
            <w:r w:rsidRPr="00152A20">
              <w:rPr>
                <w:lang w:val="en-GB"/>
              </w:rPr>
              <w:t>1</w:t>
            </w:r>
          </w:p>
        </w:tc>
        <w:tc>
          <w:tcPr>
            <w:tcW w:w="780" w:type="dxa"/>
          </w:tcPr>
          <w:p w14:paraId="4B9A428C" w14:textId="04F1BB11" w:rsidR="00037D5F" w:rsidRPr="00152A20" w:rsidRDefault="008E5AA1">
            <w:pPr>
              <w:spacing w:after="0" w:line="240" w:lineRule="auto"/>
              <w:jc w:val="right"/>
              <w:rPr>
                <w:lang w:val="en-GB"/>
              </w:rPr>
            </w:pPr>
            <w:r w:rsidRPr="00152A20">
              <w:rPr>
                <w:lang w:val="en-GB"/>
              </w:rPr>
              <w:t>55</w:t>
            </w:r>
            <w:r w:rsidR="006B68B0">
              <w:rPr>
                <w:lang w:val="en-GB"/>
              </w:rPr>
              <w:t>.</w:t>
            </w:r>
            <w:r w:rsidRPr="00152A20">
              <w:rPr>
                <w:lang w:val="en-GB"/>
              </w:rPr>
              <w:t>9</w:t>
            </w:r>
          </w:p>
        </w:tc>
        <w:tc>
          <w:tcPr>
            <w:tcW w:w="780" w:type="dxa"/>
          </w:tcPr>
          <w:p w14:paraId="77F7DCB5" w14:textId="48A23924" w:rsidR="00037D5F" w:rsidRPr="00152A20" w:rsidRDefault="008E5AA1">
            <w:pPr>
              <w:spacing w:after="0" w:line="240" w:lineRule="auto"/>
              <w:jc w:val="right"/>
              <w:rPr>
                <w:lang w:val="en-GB"/>
              </w:rPr>
            </w:pPr>
            <w:r w:rsidRPr="00152A20">
              <w:rPr>
                <w:lang w:val="en-GB"/>
              </w:rPr>
              <w:t>55</w:t>
            </w:r>
            <w:r w:rsidR="006B68B0">
              <w:rPr>
                <w:lang w:val="en-GB"/>
              </w:rPr>
              <w:t>.</w:t>
            </w:r>
            <w:r w:rsidRPr="00152A20">
              <w:rPr>
                <w:lang w:val="en-GB"/>
              </w:rPr>
              <w:t>6</w:t>
            </w:r>
          </w:p>
        </w:tc>
        <w:tc>
          <w:tcPr>
            <w:tcW w:w="870" w:type="dxa"/>
          </w:tcPr>
          <w:p w14:paraId="7ADB0283" w14:textId="1276FC3D" w:rsidR="00037D5F" w:rsidRPr="00152A20" w:rsidRDefault="008E5AA1">
            <w:pPr>
              <w:spacing w:after="0" w:line="240" w:lineRule="auto"/>
              <w:jc w:val="right"/>
              <w:rPr>
                <w:lang w:val="en-GB"/>
              </w:rPr>
            </w:pPr>
            <w:r w:rsidRPr="00152A20">
              <w:rPr>
                <w:lang w:val="en-GB"/>
              </w:rPr>
              <w:t>57</w:t>
            </w:r>
            <w:r w:rsidR="006B68B0">
              <w:rPr>
                <w:lang w:val="en-GB"/>
              </w:rPr>
              <w:t>.</w:t>
            </w:r>
            <w:r w:rsidRPr="00152A20">
              <w:rPr>
                <w:lang w:val="en-GB"/>
              </w:rPr>
              <w:t>0</w:t>
            </w:r>
          </w:p>
        </w:tc>
        <w:tc>
          <w:tcPr>
            <w:tcW w:w="795" w:type="dxa"/>
          </w:tcPr>
          <w:p w14:paraId="3EFC580C" w14:textId="79B761AF" w:rsidR="00037D5F" w:rsidRPr="00152A20" w:rsidRDefault="008E5AA1">
            <w:pPr>
              <w:spacing w:after="0" w:line="240" w:lineRule="auto"/>
              <w:jc w:val="right"/>
              <w:rPr>
                <w:lang w:val="en-GB"/>
              </w:rPr>
            </w:pPr>
            <w:r w:rsidRPr="00152A20">
              <w:rPr>
                <w:lang w:val="en-GB"/>
              </w:rPr>
              <w:t>61</w:t>
            </w:r>
            <w:r w:rsidR="006B68B0">
              <w:rPr>
                <w:lang w:val="en-GB"/>
              </w:rPr>
              <w:t>.</w:t>
            </w:r>
            <w:r w:rsidRPr="00152A20">
              <w:rPr>
                <w:lang w:val="en-GB"/>
              </w:rPr>
              <w:t>4</w:t>
            </w:r>
          </w:p>
        </w:tc>
        <w:tc>
          <w:tcPr>
            <w:tcW w:w="780" w:type="dxa"/>
          </w:tcPr>
          <w:p w14:paraId="71CA92F5" w14:textId="0B2B7941" w:rsidR="00037D5F" w:rsidRPr="00152A20" w:rsidRDefault="008E5AA1">
            <w:pPr>
              <w:spacing w:after="0" w:line="240" w:lineRule="auto"/>
              <w:jc w:val="right"/>
              <w:rPr>
                <w:lang w:val="en-GB"/>
              </w:rPr>
            </w:pPr>
            <w:r w:rsidRPr="00152A20">
              <w:rPr>
                <w:lang w:val="en-GB"/>
              </w:rPr>
              <w:t>60</w:t>
            </w:r>
            <w:r w:rsidR="006B68B0">
              <w:rPr>
                <w:lang w:val="en-GB"/>
              </w:rPr>
              <w:t>.</w:t>
            </w:r>
            <w:r w:rsidRPr="00152A20">
              <w:rPr>
                <w:lang w:val="en-GB"/>
              </w:rPr>
              <w:t>0</w:t>
            </w:r>
          </w:p>
        </w:tc>
      </w:tr>
    </w:tbl>
    <w:p w14:paraId="2E815E52" w14:textId="63F6309D" w:rsidR="00037D5F" w:rsidRPr="00152A20" w:rsidRDefault="008E5AA1">
      <w:pPr>
        <w:spacing w:before="200" w:line="240" w:lineRule="auto"/>
        <w:rPr>
          <w:lang w:val="en-GB"/>
        </w:rPr>
      </w:pPr>
      <w:r w:rsidRPr="00152A20">
        <w:rPr>
          <w:i/>
          <w:sz w:val="20"/>
          <w:szCs w:val="20"/>
          <w:lang w:val="en-GB"/>
        </w:rPr>
        <w:t>Source: World Bank: World Development Indicators</w:t>
      </w:r>
      <w:r w:rsidR="00175746">
        <w:rPr>
          <w:i/>
          <w:sz w:val="20"/>
          <w:szCs w:val="20"/>
          <w:lang w:val="en-GB"/>
        </w:rPr>
        <w:t>.</w:t>
      </w:r>
    </w:p>
    <w:p w14:paraId="340C2C2F" w14:textId="1A440285" w:rsidR="00037D5F" w:rsidRPr="00152A20" w:rsidRDefault="00037D5F">
      <w:pPr>
        <w:spacing w:before="200" w:line="240" w:lineRule="auto"/>
        <w:rPr>
          <w:lang w:val="en-GB"/>
        </w:rPr>
      </w:pPr>
    </w:p>
    <w:p w14:paraId="5207C9FC" w14:textId="0E9D3808" w:rsidR="00037D5F" w:rsidRPr="00152A20" w:rsidRDefault="004F5B10">
      <w:pPr>
        <w:spacing w:before="200"/>
        <w:rPr>
          <w:lang w:val="en-GB"/>
        </w:rPr>
      </w:pPr>
      <w:r>
        <w:rPr>
          <w:lang w:val="en-GB"/>
        </w:rPr>
        <w:t>Such c</w:t>
      </w:r>
      <w:r w:rsidR="008E5AA1" w:rsidRPr="00152A20">
        <w:rPr>
          <w:lang w:val="en-GB"/>
        </w:rPr>
        <w:t xml:space="preserve">hanges </w:t>
      </w:r>
      <w:r>
        <w:rPr>
          <w:lang w:val="en-GB"/>
        </w:rPr>
        <w:t>in</w:t>
      </w:r>
      <w:r w:rsidR="008E5AA1" w:rsidRPr="00152A20">
        <w:rPr>
          <w:lang w:val="en-GB"/>
        </w:rPr>
        <w:t xml:space="preserve"> </w:t>
      </w:r>
      <w:r w:rsidR="00143A6D" w:rsidRPr="00152A20">
        <w:rPr>
          <w:lang w:val="en-GB"/>
        </w:rPr>
        <w:t xml:space="preserve">the </w:t>
      </w:r>
      <w:r w:rsidR="008E5AA1" w:rsidRPr="00152A20">
        <w:rPr>
          <w:lang w:val="en-GB"/>
        </w:rPr>
        <w:t xml:space="preserve">economy and </w:t>
      </w:r>
      <w:r>
        <w:rPr>
          <w:lang w:val="en-GB"/>
        </w:rPr>
        <w:t xml:space="preserve">the </w:t>
      </w:r>
      <w:r w:rsidR="008E5AA1" w:rsidRPr="00152A20">
        <w:rPr>
          <w:lang w:val="en-GB"/>
        </w:rPr>
        <w:t xml:space="preserve">labour market </w:t>
      </w:r>
      <w:r>
        <w:rPr>
          <w:lang w:val="en-GB"/>
        </w:rPr>
        <w:t xml:space="preserve">also </w:t>
      </w:r>
      <w:r w:rsidR="008E5AA1" w:rsidRPr="00152A20">
        <w:rPr>
          <w:lang w:val="en-GB"/>
        </w:rPr>
        <w:t xml:space="preserve">affected student choices. </w:t>
      </w:r>
      <w:r w:rsidR="008E5AA1" w:rsidRPr="00152A20">
        <w:rPr>
          <w:shd w:val="clear" w:color="auto" w:fill="FFF5BF"/>
          <w:lang w:val="en-GB"/>
        </w:rPr>
        <w:t>Figure 2</w:t>
      </w:r>
      <w:r w:rsidR="008E5AA1" w:rsidRPr="00152A20">
        <w:rPr>
          <w:lang w:val="en-GB"/>
        </w:rPr>
        <w:t xml:space="preserve"> shows </w:t>
      </w:r>
      <w:r>
        <w:rPr>
          <w:lang w:val="en-GB"/>
        </w:rPr>
        <w:t>the</w:t>
      </w:r>
      <w:r w:rsidR="00383DF1" w:rsidRPr="00152A20">
        <w:rPr>
          <w:lang w:val="en-GB"/>
        </w:rPr>
        <w:t xml:space="preserve"> </w:t>
      </w:r>
      <w:r w:rsidR="008E5AA1" w:rsidRPr="00152A20">
        <w:rPr>
          <w:lang w:val="en-GB"/>
        </w:rPr>
        <w:t xml:space="preserve">dramatic </w:t>
      </w:r>
      <w:r>
        <w:rPr>
          <w:lang w:val="en-GB"/>
        </w:rPr>
        <w:t>increase in social science</w:t>
      </w:r>
      <w:r w:rsidR="008E5AA1" w:rsidRPr="00152A20">
        <w:rPr>
          <w:lang w:val="en-GB"/>
        </w:rPr>
        <w:t xml:space="preserve"> graduates. </w:t>
      </w:r>
    </w:p>
    <w:p w14:paraId="0FDCAA42" w14:textId="407B517D" w:rsidR="00037D5F" w:rsidRPr="00152A20" w:rsidRDefault="008E5AA1">
      <w:pPr>
        <w:spacing w:before="200" w:line="240" w:lineRule="auto"/>
        <w:rPr>
          <w:lang w:val="en-GB"/>
        </w:rPr>
      </w:pPr>
      <w:r w:rsidRPr="00152A20">
        <w:rPr>
          <w:i/>
          <w:shd w:val="clear" w:color="auto" w:fill="FFF5BF"/>
          <w:lang w:val="en-GB"/>
        </w:rPr>
        <w:t>Figure 2</w:t>
      </w:r>
      <w:r w:rsidRPr="00152A20">
        <w:rPr>
          <w:i/>
          <w:lang w:val="en-GB"/>
        </w:rPr>
        <w:t>. Number of graduates by</w:t>
      </w:r>
      <w:r w:rsidR="004F5B10">
        <w:rPr>
          <w:i/>
          <w:lang w:val="en-GB"/>
        </w:rPr>
        <w:t xml:space="preserve"> study</w:t>
      </w:r>
      <w:r w:rsidRPr="00152A20">
        <w:rPr>
          <w:i/>
          <w:lang w:val="en-GB"/>
        </w:rPr>
        <w:t xml:space="preserve"> </w:t>
      </w:r>
      <w:r w:rsidR="00383DF1" w:rsidRPr="00152A20">
        <w:rPr>
          <w:i/>
          <w:lang w:val="en-GB"/>
        </w:rPr>
        <w:t>field</w:t>
      </w:r>
    </w:p>
    <w:p w14:paraId="1F7C540F" w14:textId="77777777" w:rsidR="00037D5F" w:rsidRPr="00152A20" w:rsidRDefault="008E5AA1">
      <w:pPr>
        <w:spacing w:before="200" w:line="240" w:lineRule="auto"/>
        <w:rPr>
          <w:lang w:val="en-GB"/>
        </w:rPr>
      </w:pPr>
      <w:r w:rsidRPr="00152A20">
        <w:rPr>
          <w:noProof/>
        </w:rPr>
        <w:drawing>
          <wp:inline distT="0" distB="0" distL="0" distR="0" wp14:anchorId="7C0A3FD8" wp14:editId="304043C5">
            <wp:extent cx="5711923" cy="3545938"/>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5711923" cy="3545938"/>
                    </a:xfrm>
                    <a:prstGeom prst="rect">
                      <a:avLst/>
                    </a:prstGeom>
                    <a:ln/>
                  </pic:spPr>
                </pic:pic>
              </a:graphicData>
            </a:graphic>
          </wp:inline>
        </w:drawing>
      </w:r>
    </w:p>
    <w:p w14:paraId="7FB1921F" w14:textId="2D1BE739" w:rsidR="00037D5F" w:rsidRPr="00152A20" w:rsidRDefault="008E5AA1">
      <w:pPr>
        <w:spacing w:before="200" w:line="240" w:lineRule="auto"/>
        <w:rPr>
          <w:lang w:val="en-GB"/>
        </w:rPr>
      </w:pPr>
      <w:r w:rsidRPr="00152A20">
        <w:rPr>
          <w:i/>
          <w:sz w:val="20"/>
          <w:szCs w:val="20"/>
          <w:lang w:val="en-GB"/>
        </w:rPr>
        <w:t xml:space="preserve">Source: </w:t>
      </w:r>
      <w:r w:rsidR="004F5B10">
        <w:rPr>
          <w:i/>
          <w:sz w:val="20"/>
          <w:szCs w:val="20"/>
          <w:lang w:val="en-GB"/>
        </w:rPr>
        <w:t>A</w:t>
      </w:r>
      <w:r w:rsidRPr="00152A20">
        <w:rPr>
          <w:i/>
          <w:sz w:val="20"/>
          <w:szCs w:val="20"/>
          <w:lang w:val="en-GB"/>
        </w:rPr>
        <w:t>ggregative groups</w:t>
      </w:r>
      <w:r w:rsidR="004F5B10">
        <w:rPr>
          <w:i/>
          <w:sz w:val="20"/>
          <w:szCs w:val="20"/>
          <w:lang w:val="en-GB"/>
        </w:rPr>
        <w:t xml:space="preserve"> calculated </w:t>
      </w:r>
      <w:r w:rsidRPr="00152A20">
        <w:rPr>
          <w:i/>
          <w:sz w:val="20"/>
          <w:szCs w:val="20"/>
          <w:lang w:val="en-GB"/>
        </w:rPr>
        <w:t xml:space="preserve">by authors </w:t>
      </w:r>
      <w:r w:rsidR="004F5B10">
        <w:rPr>
          <w:i/>
          <w:sz w:val="20"/>
          <w:szCs w:val="20"/>
          <w:lang w:val="en-GB"/>
        </w:rPr>
        <w:t xml:space="preserve">based on </w:t>
      </w:r>
      <w:r w:rsidRPr="00152A20">
        <w:rPr>
          <w:i/>
          <w:sz w:val="20"/>
          <w:szCs w:val="20"/>
          <w:lang w:val="en-GB"/>
        </w:rPr>
        <w:t xml:space="preserve">data from </w:t>
      </w:r>
      <w:r w:rsidR="004F5B10">
        <w:rPr>
          <w:i/>
          <w:sz w:val="20"/>
          <w:szCs w:val="20"/>
          <w:lang w:val="en-GB"/>
        </w:rPr>
        <w:t xml:space="preserve">the </w:t>
      </w:r>
      <w:r w:rsidR="008515F6" w:rsidRPr="00152A20">
        <w:rPr>
          <w:i/>
          <w:sz w:val="20"/>
          <w:szCs w:val="20"/>
          <w:lang w:val="en-GB"/>
        </w:rPr>
        <w:t>Federal State Statistics Service</w:t>
      </w:r>
      <w:r w:rsidR="008515F6" w:rsidRPr="00152A20">
        <w:rPr>
          <w:lang w:val="en-GB"/>
        </w:rPr>
        <w:t xml:space="preserve"> </w:t>
      </w:r>
      <w:r w:rsidRPr="00152A20">
        <w:rPr>
          <w:i/>
          <w:sz w:val="20"/>
          <w:szCs w:val="20"/>
          <w:lang w:val="en-GB"/>
        </w:rPr>
        <w:t>2015</w:t>
      </w:r>
      <w:r w:rsidR="004F5B10">
        <w:rPr>
          <w:i/>
          <w:sz w:val="20"/>
          <w:szCs w:val="20"/>
          <w:lang w:val="en-GB"/>
        </w:rPr>
        <w:t>.</w:t>
      </w:r>
      <w:r w:rsidRPr="00152A20">
        <w:rPr>
          <w:i/>
          <w:sz w:val="20"/>
          <w:szCs w:val="20"/>
          <w:lang w:val="en-GB"/>
        </w:rPr>
        <w:t xml:space="preserve"> </w:t>
      </w:r>
    </w:p>
    <w:p w14:paraId="5A3FA4D3" w14:textId="77777777" w:rsidR="00037D5F" w:rsidRPr="00152A20" w:rsidRDefault="00037D5F">
      <w:pPr>
        <w:spacing w:before="200" w:line="240" w:lineRule="auto"/>
        <w:rPr>
          <w:lang w:val="en-GB"/>
        </w:rPr>
      </w:pPr>
    </w:p>
    <w:p w14:paraId="56A30C57" w14:textId="77777777" w:rsidR="00037D5F" w:rsidRPr="00152A20" w:rsidRDefault="008E5AA1">
      <w:pPr>
        <w:pStyle w:val="Heading2"/>
        <w:rPr>
          <w:lang w:val="en-GB"/>
        </w:rPr>
      </w:pPr>
      <w:bookmarkStart w:id="5" w:name="_tyjcwt" w:colFirst="0" w:colLast="0"/>
      <w:bookmarkEnd w:id="5"/>
      <w:proofErr w:type="spellStart"/>
      <w:r w:rsidRPr="00152A20">
        <w:rPr>
          <w:lang w:val="en-GB"/>
        </w:rPr>
        <w:lastRenderedPageBreak/>
        <w:t>Massification</w:t>
      </w:r>
      <w:proofErr w:type="spellEnd"/>
    </w:p>
    <w:p w14:paraId="481D4FB4" w14:textId="4ACA9681" w:rsidR="00037D5F" w:rsidRPr="00152A20" w:rsidRDefault="008E5AA1">
      <w:pPr>
        <w:spacing w:before="200"/>
        <w:rPr>
          <w:lang w:val="en-GB"/>
        </w:rPr>
      </w:pPr>
      <w:r w:rsidRPr="00152A20">
        <w:rPr>
          <w:lang w:val="en-GB"/>
        </w:rPr>
        <w:t xml:space="preserve">New economic conditions and changes </w:t>
      </w:r>
      <w:r w:rsidR="004F5B10">
        <w:rPr>
          <w:lang w:val="en-GB"/>
        </w:rPr>
        <w:t xml:space="preserve">in </w:t>
      </w:r>
      <w:r w:rsidRPr="00152A20">
        <w:rPr>
          <w:lang w:val="en-GB"/>
        </w:rPr>
        <w:t>social attitudes underlie</w:t>
      </w:r>
      <w:r w:rsidR="00383DF1" w:rsidRPr="00152A20">
        <w:rPr>
          <w:lang w:val="en-GB"/>
        </w:rPr>
        <w:t xml:space="preserve"> the</w:t>
      </w:r>
      <w:r w:rsidRPr="00152A20">
        <w:rPr>
          <w:lang w:val="en-GB"/>
        </w:rPr>
        <w:t xml:space="preserve"> rapid </w:t>
      </w:r>
      <w:proofErr w:type="spellStart"/>
      <w:r w:rsidRPr="00152A20">
        <w:rPr>
          <w:lang w:val="en-GB"/>
        </w:rPr>
        <w:t>massification</w:t>
      </w:r>
      <w:proofErr w:type="spellEnd"/>
      <w:r w:rsidRPr="00152A20">
        <w:rPr>
          <w:lang w:val="en-GB"/>
        </w:rPr>
        <w:t xml:space="preserve"> of higher education in independent Russia. Contrary to the previous </w:t>
      </w:r>
      <w:r w:rsidR="00383DF1" w:rsidRPr="00152A20">
        <w:rPr>
          <w:lang w:val="en-GB"/>
        </w:rPr>
        <w:t>period (</w:t>
      </w:r>
      <w:r w:rsidRPr="00152A20">
        <w:rPr>
          <w:lang w:val="en-GB"/>
        </w:rPr>
        <w:t>1990-1995</w:t>
      </w:r>
      <w:r w:rsidR="00383DF1" w:rsidRPr="00152A20">
        <w:rPr>
          <w:lang w:val="en-GB"/>
        </w:rPr>
        <w:t>)</w:t>
      </w:r>
      <w:r w:rsidRPr="00152A20">
        <w:rPr>
          <w:lang w:val="en-GB"/>
        </w:rPr>
        <w:t xml:space="preserve"> when student enrolment</w:t>
      </w:r>
      <w:r w:rsidR="00383DF1" w:rsidRPr="00152A20">
        <w:rPr>
          <w:lang w:val="en-GB"/>
        </w:rPr>
        <w:t>s</w:t>
      </w:r>
      <w:r w:rsidRPr="00152A20">
        <w:rPr>
          <w:lang w:val="en-GB"/>
        </w:rPr>
        <w:t xml:space="preserve"> w</w:t>
      </w:r>
      <w:r w:rsidR="00383DF1" w:rsidRPr="00152A20">
        <w:rPr>
          <w:lang w:val="en-GB"/>
        </w:rPr>
        <w:t>ere</w:t>
      </w:r>
      <w:r w:rsidRPr="00152A20">
        <w:rPr>
          <w:lang w:val="en-GB"/>
        </w:rPr>
        <w:t xml:space="preserve"> declining, from </w:t>
      </w:r>
      <w:r w:rsidR="00383DF1" w:rsidRPr="00152A20">
        <w:rPr>
          <w:lang w:val="en-GB"/>
        </w:rPr>
        <w:t xml:space="preserve">the </w:t>
      </w:r>
      <w:r w:rsidRPr="00152A20">
        <w:rPr>
          <w:lang w:val="en-GB"/>
        </w:rPr>
        <w:t>mid-1990s new social values</w:t>
      </w:r>
      <w:r w:rsidR="004F5B10">
        <w:rPr>
          <w:lang w:val="en-GB"/>
        </w:rPr>
        <w:t xml:space="preserve"> led </w:t>
      </w:r>
      <w:r w:rsidRPr="00152A20">
        <w:rPr>
          <w:lang w:val="en-GB"/>
        </w:rPr>
        <w:t xml:space="preserve">youth </w:t>
      </w:r>
      <w:r w:rsidR="004F5B10">
        <w:rPr>
          <w:lang w:val="en-GB"/>
        </w:rPr>
        <w:t xml:space="preserve">to </w:t>
      </w:r>
      <w:r w:rsidRPr="00152A20">
        <w:rPr>
          <w:lang w:val="en-GB"/>
        </w:rPr>
        <w:t>invest in long-</w:t>
      </w:r>
      <w:r w:rsidR="004F5B10">
        <w:rPr>
          <w:lang w:val="en-GB"/>
        </w:rPr>
        <w:t>term</w:t>
      </w:r>
      <w:r w:rsidRPr="00152A20">
        <w:rPr>
          <w:lang w:val="en-GB"/>
        </w:rPr>
        <w:t xml:space="preserve"> targets, such as continuing their education. This phenomenon, which can be explained by the quick rise of </w:t>
      </w:r>
      <w:r w:rsidR="00383DF1" w:rsidRPr="00152A20">
        <w:rPr>
          <w:lang w:val="en-GB"/>
        </w:rPr>
        <w:t xml:space="preserve">the </w:t>
      </w:r>
      <w:r w:rsidRPr="00152A20">
        <w:rPr>
          <w:lang w:val="en-GB"/>
        </w:rPr>
        <w:t>wage premium after central control on salaries</w:t>
      </w:r>
      <w:r w:rsidR="00383DF1" w:rsidRPr="00152A20">
        <w:rPr>
          <w:lang w:val="en-GB"/>
        </w:rPr>
        <w:t xml:space="preserve"> was abolished</w:t>
      </w:r>
      <w:r w:rsidRPr="00152A20">
        <w:rPr>
          <w:lang w:val="en-GB"/>
        </w:rPr>
        <w:t xml:space="preserve"> (</w:t>
      </w:r>
      <w:proofErr w:type="spellStart"/>
      <w:r w:rsidRPr="00152A20">
        <w:rPr>
          <w:shd w:val="clear" w:color="auto" w:fill="FFF5BF"/>
          <w:lang w:val="en-GB"/>
        </w:rPr>
        <w:t>Kapeliushnikov</w:t>
      </w:r>
      <w:proofErr w:type="spellEnd"/>
      <w:r w:rsidRPr="00152A20">
        <w:rPr>
          <w:shd w:val="clear" w:color="auto" w:fill="FFF5BF"/>
          <w:lang w:val="en-GB"/>
        </w:rPr>
        <w:t xml:space="preserve"> 2006; </w:t>
      </w:r>
      <w:proofErr w:type="spellStart"/>
      <w:r w:rsidRPr="00152A20">
        <w:rPr>
          <w:shd w:val="clear" w:color="auto" w:fill="FFF5BF"/>
          <w:lang w:val="en-GB"/>
        </w:rPr>
        <w:t>Gimpelson</w:t>
      </w:r>
      <w:proofErr w:type="spellEnd"/>
      <w:r w:rsidRPr="00152A20">
        <w:rPr>
          <w:shd w:val="clear" w:color="auto" w:fill="FFF5BF"/>
          <w:lang w:val="en-GB"/>
        </w:rPr>
        <w:t xml:space="preserve"> et al. 2007</w:t>
      </w:r>
      <w:r w:rsidRPr="00152A20">
        <w:rPr>
          <w:lang w:val="en-GB"/>
        </w:rPr>
        <w:t>), is defined as “</w:t>
      </w:r>
      <w:proofErr w:type="spellStart"/>
      <w:r w:rsidRPr="00152A20">
        <w:rPr>
          <w:i/>
          <w:lang w:val="en-GB"/>
        </w:rPr>
        <w:t>proobrazovatel’nyi</w:t>
      </w:r>
      <w:proofErr w:type="spellEnd"/>
      <w:r w:rsidRPr="00152A20">
        <w:rPr>
          <w:i/>
          <w:lang w:val="en-GB"/>
        </w:rPr>
        <w:t xml:space="preserve"> </w:t>
      </w:r>
      <w:proofErr w:type="spellStart"/>
      <w:r w:rsidRPr="00152A20">
        <w:rPr>
          <w:i/>
          <w:lang w:val="en-GB"/>
        </w:rPr>
        <w:t>sdvig</w:t>
      </w:r>
      <w:proofErr w:type="spellEnd"/>
      <w:r w:rsidRPr="00152A20">
        <w:rPr>
          <w:i/>
          <w:lang w:val="en-GB"/>
        </w:rPr>
        <w:t>”</w:t>
      </w:r>
      <w:r w:rsidRPr="0029475F">
        <w:rPr>
          <w:lang w:val="en-GB"/>
        </w:rPr>
        <w:t xml:space="preserve"> (</w:t>
      </w:r>
      <w:r w:rsidRPr="00152A20">
        <w:rPr>
          <w:lang w:val="en-GB"/>
        </w:rPr>
        <w:t>the shift toward education in the life strategies of young people) (</w:t>
      </w:r>
      <w:proofErr w:type="spellStart"/>
      <w:r w:rsidRPr="00152A20">
        <w:rPr>
          <w:shd w:val="clear" w:color="auto" w:fill="FFF5BF"/>
          <w:lang w:val="en-GB"/>
        </w:rPr>
        <w:t>Magun</w:t>
      </w:r>
      <w:proofErr w:type="spellEnd"/>
      <w:r w:rsidRPr="00152A20">
        <w:rPr>
          <w:shd w:val="clear" w:color="auto" w:fill="FFF5BF"/>
          <w:lang w:val="en-GB"/>
        </w:rPr>
        <w:t xml:space="preserve"> and </w:t>
      </w:r>
      <w:proofErr w:type="spellStart"/>
      <w:r w:rsidRPr="00152A20">
        <w:rPr>
          <w:shd w:val="clear" w:color="auto" w:fill="FFF5BF"/>
          <w:lang w:val="en-GB"/>
        </w:rPr>
        <w:t>Engovatov</w:t>
      </w:r>
      <w:proofErr w:type="spellEnd"/>
      <w:r w:rsidRPr="00152A20">
        <w:rPr>
          <w:shd w:val="clear" w:color="auto" w:fill="FFF5BF"/>
          <w:lang w:val="en-GB"/>
        </w:rPr>
        <w:t xml:space="preserve"> 2006</w:t>
      </w:r>
      <w:r w:rsidRPr="00152A20">
        <w:rPr>
          <w:lang w:val="en-GB"/>
        </w:rPr>
        <w:t xml:space="preserve">).  </w:t>
      </w:r>
    </w:p>
    <w:p w14:paraId="27878E06" w14:textId="466E342C" w:rsidR="00037D5F" w:rsidRPr="00152A20" w:rsidRDefault="008E5AA1">
      <w:pPr>
        <w:spacing w:before="200"/>
        <w:rPr>
          <w:lang w:val="en-GB"/>
        </w:rPr>
      </w:pPr>
      <w:r w:rsidRPr="00152A20">
        <w:rPr>
          <w:shd w:val="clear" w:color="auto" w:fill="FFF5BF"/>
          <w:lang w:val="en-GB"/>
        </w:rPr>
        <w:t>Figure 3</w:t>
      </w:r>
      <w:r w:rsidRPr="00152A20">
        <w:rPr>
          <w:lang w:val="en-GB"/>
        </w:rPr>
        <w:t xml:space="preserve"> shows the pace of </w:t>
      </w:r>
      <w:proofErr w:type="spellStart"/>
      <w:r w:rsidRPr="00152A20">
        <w:rPr>
          <w:lang w:val="en-GB"/>
        </w:rPr>
        <w:t>massification</w:t>
      </w:r>
      <w:proofErr w:type="spellEnd"/>
      <w:r w:rsidRPr="00152A20">
        <w:rPr>
          <w:lang w:val="en-GB"/>
        </w:rPr>
        <w:t xml:space="preserve"> in absolute numbers and </w:t>
      </w:r>
      <w:r w:rsidR="004F5B10">
        <w:rPr>
          <w:lang w:val="en-GB"/>
        </w:rPr>
        <w:t xml:space="preserve">the </w:t>
      </w:r>
      <w:r w:rsidRPr="00152A20">
        <w:rPr>
          <w:lang w:val="en-GB"/>
        </w:rPr>
        <w:t xml:space="preserve">gross enrolment rate according to national statistics. All indicators have been growing since 1994, and </w:t>
      </w:r>
      <w:r w:rsidR="004F5B10">
        <w:rPr>
          <w:lang w:val="en-GB"/>
        </w:rPr>
        <w:t xml:space="preserve">it was </w:t>
      </w:r>
      <w:r w:rsidRPr="00152A20">
        <w:rPr>
          <w:lang w:val="en-GB"/>
        </w:rPr>
        <w:t xml:space="preserve">only after 2008 </w:t>
      </w:r>
      <w:r w:rsidR="004F5B10">
        <w:rPr>
          <w:lang w:val="en-GB"/>
        </w:rPr>
        <w:t xml:space="preserve">that </w:t>
      </w:r>
      <w:r w:rsidRPr="00152A20">
        <w:rPr>
          <w:lang w:val="en-GB"/>
        </w:rPr>
        <w:t>the trend turned down</w:t>
      </w:r>
      <w:r w:rsidR="004F5B10">
        <w:rPr>
          <w:lang w:val="en-GB"/>
        </w:rPr>
        <w:t>ward</w:t>
      </w:r>
      <w:r w:rsidRPr="00152A20">
        <w:rPr>
          <w:lang w:val="en-GB"/>
        </w:rPr>
        <w:t xml:space="preserve">. Today, </w:t>
      </w:r>
      <w:r w:rsidR="00383DF1" w:rsidRPr="00152A20">
        <w:rPr>
          <w:lang w:val="en-GB"/>
        </w:rPr>
        <w:t xml:space="preserve">the </w:t>
      </w:r>
      <w:r w:rsidRPr="00152A20">
        <w:rPr>
          <w:lang w:val="en-GB"/>
        </w:rPr>
        <w:t>age cohort participation among 17</w:t>
      </w:r>
      <w:r w:rsidR="004F5B10">
        <w:rPr>
          <w:lang w:val="en-GB"/>
        </w:rPr>
        <w:t xml:space="preserve"> to </w:t>
      </w:r>
      <w:r w:rsidRPr="00152A20">
        <w:rPr>
          <w:lang w:val="en-GB"/>
        </w:rPr>
        <w:t>25</w:t>
      </w:r>
      <w:r w:rsidR="004F5B10">
        <w:rPr>
          <w:lang w:val="en-GB"/>
        </w:rPr>
        <w:t>-</w:t>
      </w:r>
      <w:r w:rsidRPr="00152A20">
        <w:rPr>
          <w:lang w:val="en-GB"/>
        </w:rPr>
        <w:t>year-olds in higher education is about 32%. OECD data show the same up</w:t>
      </w:r>
      <w:r w:rsidR="00383DF1" w:rsidRPr="00152A20">
        <w:rPr>
          <w:lang w:val="en-GB"/>
        </w:rPr>
        <w:t>ward</w:t>
      </w:r>
      <w:r w:rsidRPr="00152A20">
        <w:rPr>
          <w:lang w:val="en-GB"/>
        </w:rPr>
        <w:t xml:space="preserve"> trend. T</w:t>
      </w:r>
      <w:r w:rsidR="00383DF1" w:rsidRPr="00152A20">
        <w:rPr>
          <w:lang w:val="en-GB"/>
        </w:rPr>
        <w:t>he t</w:t>
      </w:r>
      <w:r w:rsidRPr="00152A20">
        <w:rPr>
          <w:lang w:val="en-GB"/>
        </w:rPr>
        <w:t>ertiary</w:t>
      </w:r>
      <w:r w:rsidRPr="00152A20">
        <w:rPr>
          <w:vertAlign w:val="superscript"/>
          <w:lang w:val="en-GB"/>
        </w:rPr>
        <w:footnoteReference w:id="2"/>
      </w:r>
      <w:r w:rsidRPr="00152A20">
        <w:rPr>
          <w:lang w:val="en-GB"/>
        </w:rPr>
        <w:t xml:space="preserve"> enrolment rate among 20</w:t>
      </w:r>
      <w:r w:rsidR="004F5B10">
        <w:rPr>
          <w:lang w:val="en-GB"/>
        </w:rPr>
        <w:t xml:space="preserve"> to </w:t>
      </w:r>
      <w:r w:rsidRPr="00152A20">
        <w:rPr>
          <w:lang w:val="en-GB"/>
        </w:rPr>
        <w:t>24</w:t>
      </w:r>
      <w:r w:rsidR="004F5B10">
        <w:rPr>
          <w:lang w:val="en-GB"/>
        </w:rPr>
        <w:t>-</w:t>
      </w:r>
      <w:r w:rsidRPr="00152A20">
        <w:rPr>
          <w:lang w:val="en-GB"/>
        </w:rPr>
        <w:t>year-olds increased from 28</w:t>
      </w:r>
      <w:r w:rsidR="004F5B10">
        <w:rPr>
          <w:lang w:val="en-GB"/>
        </w:rPr>
        <w:t>.</w:t>
      </w:r>
      <w:r w:rsidRPr="00152A20">
        <w:rPr>
          <w:lang w:val="en-GB"/>
        </w:rPr>
        <w:t>8% to 30</w:t>
      </w:r>
      <w:r w:rsidR="004F5B10">
        <w:rPr>
          <w:lang w:val="en-GB"/>
        </w:rPr>
        <w:t>.</w:t>
      </w:r>
      <w:r w:rsidRPr="00152A20">
        <w:rPr>
          <w:lang w:val="en-GB"/>
        </w:rPr>
        <w:t xml:space="preserve">3% </w:t>
      </w:r>
      <w:r w:rsidR="008902C3">
        <w:rPr>
          <w:lang w:val="en-GB"/>
        </w:rPr>
        <w:t xml:space="preserve">between </w:t>
      </w:r>
      <w:r w:rsidRPr="00152A20">
        <w:rPr>
          <w:lang w:val="en-GB"/>
        </w:rPr>
        <w:t>2005</w:t>
      </w:r>
      <w:r w:rsidR="008902C3">
        <w:rPr>
          <w:lang w:val="en-GB"/>
        </w:rPr>
        <w:t xml:space="preserve"> and </w:t>
      </w:r>
      <w:r w:rsidRPr="00152A20">
        <w:rPr>
          <w:lang w:val="en-GB"/>
        </w:rPr>
        <w:t xml:space="preserve">2014 (OECD 2016). </w:t>
      </w:r>
      <w:r w:rsidR="004F5B10">
        <w:rPr>
          <w:lang w:val="en-GB"/>
        </w:rPr>
        <w:t>R</w:t>
      </w:r>
      <w:r w:rsidRPr="00152A20">
        <w:rPr>
          <w:lang w:val="en-GB"/>
        </w:rPr>
        <w:t>ussian higher education has</w:t>
      </w:r>
      <w:r w:rsidR="004F5B10">
        <w:rPr>
          <w:lang w:val="en-GB"/>
        </w:rPr>
        <w:t xml:space="preserve"> thus</w:t>
      </w:r>
      <w:r w:rsidRPr="00152A20">
        <w:rPr>
          <w:lang w:val="en-GB"/>
        </w:rPr>
        <w:t xml:space="preserve"> become ‘universal’</w:t>
      </w:r>
      <w:r w:rsidR="004F5B10">
        <w:rPr>
          <w:lang w:val="en-GB"/>
        </w:rPr>
        <w:t xml:space="preserve"> in the last decade</w:t>
      </w:r>
      <w:r w:rsidR="00383DF1" w:rsidRPr="00152A20">
        <w:rPr>
          <w:lang w:val="en-GB"/>
        </w:rPr>
        <w:t xml:space="preserve"> according to </w:t>
      </w:r>
      <w:proofErr w:type="spellStart"/>
      <w:r w:rsidR="00383DF1" w:rsidRPr="00152A20">
        <w:rPr>
          <w:lang w:val="en-GB"/>
        </w:rPr>
        <w:t>Trow´s</w:t>
      </w:r>
      <w:proofErr w:type="spellEnd"/>
      <w:r w:rsidR="00383DF1" w:rsidRPr="00152A20">
        <w:rPr>
          <w:lang w:val="en-GB"/>
        </w:rPr>
        <w:t xml:space="preserve"> terminology</w:t>
      </w:r>
      <w:r w:rsidRPr="00152A20">
        <w:rPr>
          <w:lang w:val="en-GB"/>
        </w:rPr>
        <w:t xml:space="preserve"> (</w:t>
      </w:r>
      <w:proofErr w:type="spellStart"/>
      <w:r w:rsidRPr="00152A20">
        <w:rPr>
          <w:shd w:val="clear" w:color="auto" w:fill="FFF5BF"/>
          <w:lang w:val="en-GB"/>
        </w:rPr>
        <w:t>Trow</w:t>
      </w:r>
      <w:proofErr w:type="spellEnd"/>
      <w:r w:rsidRPr="00152A20">
        <w:rPr>
          <w:shd w:val="clear" w:color="auto" w:fill="FFF5BF"/>
          <w:lang w:val="en-GB"/>
        </w:rPr>
        <w:t xml:space="preserve"> 1973</w:t>
      </w:r>
      <w:r w:rsidRPr="00152A20">
        <w:rPr>
          <w:lang w:val="en-GB"/>
        </w:rPr>
        <w:t>).</w:t>
      </w:r>
    </w:p>
    <w:p w14:paraId="166049A9" w14:textId="77777777" w:rsidR="00037D5F" w:rsidRPr="00152A20" w:rsidRDefault="008E5AA1">
      <w:pPr>
        <w:spacing w:before="200" w:line="240" w:lineRule="auto"/>
        <w:rPr>
          <w:lang w:val="en-GB"/>
        </w:rPr>
      </w:pPr>
      <w:r w:rsidRPr="00152A20">
        <w:rPr>
          <w:i/>
          <w:shd w:val="clear" w:color="auto" w:fill="FFF5BF"/>
          <w:lang w:val="en-GB"/>
        </w:rPr>
        <w:t>Figure 3.</w:t>
      </w:r>
      <w:r w:rsidRPr="00152A20">
        <w:rPr>
          <w:i/>
          <w:lang w:val="en-GB"/>
        </w:rPr>
        <w:t xml:space="preserve"> Number of students in HEIs and age cohort participation (17-25), 1991-2014, Russia</w:t>
      </w:r>
    </w:p>
    <w:p w14:paraId="06F684D5" w14:textId="0E3B1441" w:rsidR="00037D5F" w:rsidRPr="00152A20" w:rsidRDefault="00BF6FBE">
      <w:pPr>
        <w:spacing w:before="200" w:line="240" w:lineRule="auto"/>
        <w:jc w:val="left"/>
        <w:rPr>
          <w:lang w:val="en-GB"/>
        </w:rPr>
      </w:pPr>
      <w:r w:rsidRPr="00152A20">
        <w:rPr>
          <w:noProof/>
        </w:rPr>
        <w:drawing>
          <wp:inline distT="0" distB="0" distL="0" distR="0" wp14:anchorId="03359E66" wp14:editId="4DD362EE">
            <wp:extent cx="6152515" cy="2865120"/>
            <wp:effectExtent l="0" t="0" r="19685" b="3048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5287D7" w14:textId="0DB5B346" w:rsidR="00037D5F" w:rsidRPr="00152A20" w:rsidRDefault="008E5AA1">
      <w:pPr>
        <w:spacing w:before="200" w:line="240" w:lineRule="auto"/>
        <w:rPr>
          <w:lang w:val="en-GB"/>
        </w:rPr>
      </w:pPr>
      <w:r w:rsidRPr="00152A20">
        <w:rPr>
          <w:i/>
          <w:sz w:val="20"/>
          <w:szCs w:val="20"/>
          <w:lang w:val="en-GB"/>
        </w:rPr>
        <w:t>Source: Calculated by the authors</w:t>
      </w:r>
      <w:r w:rsidR="008515F6" w:rsidRPr="00152A20">
        <w:rPr>
          <w:i/>
          <w:sz w:val="20"/>
          <w:szCs w:val="20"/>
          <w:lang w:val="en-GB"/>
        </w:rPr>
        <w:t>. Data from</w:t>
      </w:r>
      <w:r w:rsidRPr="00152A20">
        <w:rPr>
          <w:i/>
          <w:sz w:val="20"/>
          <w:szCs w:val="20"/>
          <w:lang w:val="en-GB"/>
        </w:rPr>
        <w:t xml:space="preserve"> </w:t>
      </w:r>
      <w:r w:rsidR="008515F6" w:rsidRPr="00152A20">
        <w:rPr>
          <w:i/>
          <w:sz w:val="20"/>
          <w:szCs w:val="20"/>
          <w:lang w:val="en-GB"/>
        </w:rPr>
        <w:t>Federal State Statistics Service</w:t>
      </w:r>
      <w:r w:rsidR="008515F6" w:rsidRPr="00152A20">
        <w:rPr>
          <w:lang w:val="en-GB"/>
        </w:rPr>
        <w:t xml:space="preserve"> </w:t>
      </w:r>
      <w:r w:rsidR="008515F6" w:rsidRPr="00152A20">
        <w:rPr>
          <w:i/>
          <w:sz w:val="20"/>
          <w:szCs w:val="20"/>
          <w:lang w:val="en-GB"/>
        </w:rPr>
        <w:t>2015</w:t>
      </w:r>
      <w:r w:rsidR="004F5B10">
        <w:rPr>
          <w:i/>
          <w:sz w:val="20"/>
          <w:szCs w:val="20"/>
          <w:lang w:val="en-GB"/>
        </w:rPr>
        <w:t>.</w:t>
      </w:r>
    </w:p>
    <w:p w14:paraId="0B32203F" w14:textId="62763066" w:rsidR="00037D5F" w:rsidRPr="00152A20" w:rsidRDefault="008E5AA1">
      <w:pPr>
        <w:spacing w:before="200"/>
        <w:rPr>
          <w:lang w:val="en-GB"/>
        </w:rPr>
      </w:pPr>
      <w:r w:rsidRPr="00152A20">
        <w:rPr>
          <w:lang w:val="en-GB"/>
        </w:rPr>
        <w:lastRenderedPageBreak/>
        <w:t xml:space="preserve">As a response to </w:t>
      </w:r>
      <w:r w:rsidR="00383DF1" w:rsidRPr="00152A20">
        <w:rPr>
          <w:lang w:val="en-GB"/>
        </w:rPr>
        <w:t xml:space="preserve">the </w:t>
      </w:r>
      <w:r w:rsidRPr="00152A20">
        <w:rPr>
          <w:lang w:val="en-GB"/>
        </w:rPr>
        <w:t xml:space="preserve">massive demand, the number of HEIs doubled </w:t>
      </w:r>
      <w:r w:rsidR="00465728">
        <w:rPr>
          <w:lang w:val="en-GB"/>
        </w:rPr>
        <w:t>from</w:t>
      </w:r>
      <w:r w:rsidRPr="00152A20">
        <w:rPr>
          <w:lang w:val="en-GB"/>
        </w:rPr>
        <w:t xml:space="preserve"> 1991 to 2011. Moreover, </w:t>
      </w:r>
      <w:r w:rsidR="00383DF1" w:rsidRPr="00152A20">
        <w:rPr>
          <w:lang w:val="en-GB"/>
        </w:rPr>
        <w:t xml:space="preserve">the </w:t>
      </w:r>
      <w:r w:rsidRPr="00152A20">
        <w:rPr>
          <w:lang w:val="en-GB"/>
        </w:rPr>
        <w:t>establishment of HEI branches (satellite HEIs</w:t>
      </w:r>
      <w:r w:rsidRPr="00152A20">
        <w:rPr>
          <w:vertAlign w:val="superscript"/>
          <w:lang w:val="en-GB"/>
        </w:rPr>
        <w:footnoteReference w:id="3"/>
      </w:r>
      <w:r w:rsidRPr="00152A20">
        <w:rPr>
          <w:lang w:val="en-GB"/>
        </w:rPr>
        <w:t xml:space="preserve">) provided wider access to higher education in the regions. </w:t>
      </w:r>
      <w:r w:rsidR="00EF3FDE" w:rsidRPr="00152A20">
        <w:rPr>
          <w:lang w:val="en-GB"/>
        </w:rPr>
        <w:t xml:space="preserve">The majority of satellite HEIs has shaped a demand-absorbing segment along with small private HEIs. </w:t>
      </w:r>
      <w:r w:rsidRPr="00152A20">
        <w:rPr>
          <w:lang w:val="en-GB"/>
        </w:rPr>
        <w:t>In 1993 there were only about 200 public satellite HEIs (</w:t>
      </w:r>
      <w:r w:rsidR="00B37BA4" w:rsidRPr="00152A20">
        <w:rPr>
          <w:lang w:val="en-GB"/>
        </w:rPr>
        <w:t>National Centre for Public Accreditation</w:t>
      </w:r>
      <w:r w:rsidR="00B37BA4" w:rsidRPr="00152A20" w:rsidDel="00B37BA4">
        <w:rPr>
          <w:lang w:val="en-GB"/>
        </w:rPr>
        <w:t xml:space="preserve"> </w:t>
      </w:r>
      <w:proofErr w:type="spellStart"/>
      <w:r w:rsidR="00B37BA4" w:rsidRPr="00152A20">
        <w:rPr>
          <w:lang w:val="en-GB"/>
        </w:rPr>
        <w:t>n</w:t>
      </w:r>
      <w:r w:rsidRPr="00152A20">
        <w:rPr>
          <w:lang w:val="en-GB"/>
        </w:rPr>
        <w:t>.d.</w:t>
      </w:r>
      <w:proofErr w:type="spellEnd"/>
      <w:r w:rsidRPr="00152A20">
        <w:rPr>
          <w:lang w:val="en-GB"/>
        </w:rPr>
        <w:t xml:space="preserve">), </w:t>
      </w:r>
      <w:r w:rsidR="00465728">
        <w:rPr>
          <w:lang w:val="en-GB"/>
        </w:rPr>
        <w:t xml:space="preserve">but </w:t>
      </w:r>
      <w:r w:rsidRPr="00152A20">
        <w:rPr>
          <w:lang w:val="en-GB"/>
        </w:rPr>
        <w:t>in ten years the number increased more than six times</w:t>
      </w:r>
      <w:r w:rsidR="00465728">
        <w:rPr>
          <w:lang w:val="en-GB"/>
        </w:rPr>
        <w:t>;</w:t>
      </w:r>
      <w:r w:rsidRPr="00152A20">
        <w:rPr>
          <w:lang w:val="en-GB"/>
        </w:rPr>
        <w:t xml:space="preserve"> taking into account private establishments </w:t>
      </w:r>
      <w:r w:rsidR="00383DF1" w:rsidRPr="00152A20">
        <w:rPr>
          <w:lang w:val="en-GB"/>
        </w:rPr>
        <w:t xml:space="preserve">as well </w:t>
      </w:r>
      <w:r w:rsidR="002047F8">
        <w:rPr>
          <w:lang w:val="en-GB"/>
        </w:rPr>
        <w:t>increases the number</w:t>
      </w:r>
      <w:r w:rsidR="00465728">
        <w:rPr>
          <w:lang w:val="en-GB"/>
        </w:rPr>
        <w:t xml:space="preserve"> to </w:t>
      </w:r>
      <w:r w:rsidRPr="00152A20">
        <w:rPr>
          <w:lang w:val="en-GB"/>
        </w:rPr>
        <w:t xml:space="preserve">eight times. The growth originated from local initiatives </w:t>
      </w:r>
      <w:r w:rsidR="0026496F" w:rsidRPr="00152A20">
        <w:rPr>
          <w:lang w:val="en-GB"/>
        </w:rPr>
        <w:t>for</w:t>
      </w:r>
      <w:r w:rsidRPr="00152A20">
        <w:rPr>
          <w:lang w:val="en-GB"/>
        </w:rPr>
        <w:t xml:space="preserve"> new HEIs as well as </w:t>
      </w:r>
      <w:r w:rsidR="0026496F" w:rsidRPr="00152A20">
        <w:rPr>
          <w:lang w:val="en-GB"/>
        </w:rPr>
        <w:t xml:space="preserve">a </w:t>
      </w:r>
      <w:r w:rsidRPr="00152A20">
        <w:rPr>
          <w:lang w:val="en-GB"/>
        </w:rPr>
        <w:t>liberal government</w:t>
      </w:r>
      <w:r w:rsidR="0026496F" w:rsidRPr="00152A20">
        <w:rPr>
          <w:lang w:val="en-GB"/>
        </w:rPr>
        <w:t>al</w:t>
      </w:r>
      <w:r w:rsidRPr="00152A20">
        <w:rPr>
          <w:lang w:val="en-GB"/>
        </w:rPr>
        <w:t xml:space="preserve"> attitude to</w:t>
      </w:r>
      <w:r w:rsidR="0026496F" w:rsidRPr="00152A20">
        <w:rPr>
          <w:lang w:val="en-GB"/>
        </w:rPr>
        <w:t>wards</w:t>
      </w:r>
      <w:r w:rsidRPr="00152A20">
        <w:rPr>
          <w:lang w:val="en-GB"/>
        </w:rPr>
        <w:t xml:space="preserve"> newcomers on the higher education market. Moreover, the demographic situation and the financial abilities of some households to </w:t>
      </w:r>
      <w:r w:rsidR="0026496F" w:rsidRPr="00152A20">
        <w:rPr>
          <w:lang w:val="en-GB"/>
        </w:rPr>
        <w:t xml:space="preserve">enrol </w:t>
      </w:r>
      <w:r w:rsidR="00465728">
        <w:rPr>
          <w:lang w:val="en-GB"/>
        </w:rPr>
        <w:t xml:space="preserve">in </w:t>
      </w:r>
      <w:r w:rsidR="0026496F" w:rsidRPr="00152A20">
        <w:rPr>
          <w:lang w:val="en-GB"/>
        </w:rPr>
        <w:t xml:space="preserve">higher </w:t>
      </w:r>
      <w:r w:rsidRPr="00152A20">
        <w:rPr>
          <w:lang w:val="en-GB"/>
        </w:rPr>
        <w:t xml:space="preserve">education also contributed to </w:t>
      </w:r>
      <w:r w:rsidR="0026496F" w:rsidRPr="00152A20">
        <w:rPr>
          <w:lang w:val="en-GB"/>
        </w:rPr>
        <w:t xml:space="preserve">the </w:t>
      </w:r>
      <w:r w:rsidR="00465728">
        <w:rPr>
          <w:lang w:val="en-GB"/>
        </w:rPr>
        <w:t xml:space="preserve">expanding </w:t>
      </w:r>
      <w:r w:rsidRPr="00152A20">
        <w:rPr>
          <w:lang w:val="en-GB"/>
        </w:rPr>
        <w:t>supply.</w:t>
      </w:r>
    </w:p>
    <w:p w14:paraId="1D0BBBE6" w14:textId="5E63775D" w:rsidR="00037D5F" w:rsidRPr="00152A20" w:rsidRDefault="008E5AA1">
      <w:pPr>
        <w:spacing w:before="200"/>
        <w:rPr>
          <w:lang w:val="en-GB"/>
        </w:rPr>
      </w:pPr>
      <w:r w:rsidRPr="00152A20">
        <w:rPr>
          <w:lang w:val="en-GB"/>
        </w:rPr>
        <w:t xml:space="preserve">The government had concerns </w:t>
      </w:r>
      <w:r w:rsidR="0026496F" w:rsidRPr="00152A20">
        <w:rPr>
          <w:lang w:val="en-GB"/>
        </w:rPr>
        <w:t>about</w:t>
      </w:r>
      <w:r w:rsidRPr="00152A20">
        <w:rPr>
          <w:lang w:val="en-GB"/>
        </w:rPr>
        <w:t xml:space="preserve"> the quality of education provided by satellite HEIs </w:t>
      </w:r>
      <w:r w:rsidR="0026496F" w:rsidRPr="00152A20">
        <w:rPr>
          <w:lang w:val="en-GB"/>
        </w:rPr>
        <w:t xml:space="preserve">and there was a </w:t>
      </w:r>
      <w:r w:rsidRPr="00152A20">
        <w:rPr>
          <w:lang w:val="en-GB"/>
        </w:rPr>
        <w:t>general perception that the number of satellites increased too fast. Hence, the</w:t>
      </w:r>
      <w:r w:rsidR="0026496F" w:rsidRPr="00152A20">
        <w:rPr>
          <w:lang w:val="en-GB"/>
        </w:rPr>
        <w:t xml:space="preserve"> government</w:t>
      </w:r>
      <w:r w:rsidRPr="00152A20">
        <w:rPr>
          <w:lang w:val="en-GB"/>
        </w:rPr>
        <w:t xml:space="preserve"> limited the growth of these entities in 2006 by revoking the license of several dozen</w:t>
      </w:r>
      <w:r w:rsidR="00465728">
        <w:rPr>
          <w:lang w:val="en-GB"/>
        </w:rPr>
        <w:t xml:space="preserve"> </w:t>
      </w:r>
      <w:r w:rsidRPr="00152A20">
        <w:rPr>
          <w:lang w:val="en-GB"/>
        </w:rPr>
        <w:t>satellites. In 2005 there were about 2</w:t>
      </w:r>
      <w:r w:rsidR="0026496F" w:rsidRPr="00152A20">
        <w:rPr>
          <w:lang w:val="en-GB"/>
        </w:rPr>
        <w:t>,</w:t>
      </w:r>
      <w:r w:rsidRPr="00152A20">
        <w:rPr>
          <w:lang w:val="en-GB"/>
        </w:rPr>
        <w:t>200 satellite HEIs (1</w:t>
      </w:r>
      <w:r w:rsidR="00E06391" w:rsidRPr="00152A20">
        <w:rPr>
          <w:lang w:val="en-GB"/>
        </w:rPr>
        <w:t>,</w:t>
      </w:r>
      <w:r w:rsidRPr="00152A20">
        <w:rPr>
          <w:lang w:val="en-GB"/>
        </w:rPr>
        <w:t>823 public and 378 private), while in 20</w:t>
      </w:r>
      <w:r w:rsidR="00D220D2" w:rsidRPr="00152A20">
        <w:rPr>
          <w:lang w:val="en-GB"/>
        </w:rPr>
        <w:t>0</w:t>
      </w:r>
      <w:r w:rsidRPr="00152A20">
        <w:rPr>
          <w:lang w:val="en-GB"/>
        </w:rPr>
        <w:t xml:space="preserve">7 </w:t>
      </w:r>
      <w:r w:rsidR="0026496F" w:rsidRPr="00152A20">
        <w:rPr>
          <w:lang w:val="en-GB"/>
        </w:rPr>
        <w:t>there were</w:t>
      </w:r>
      <w:r w:rsidRPr="00152A20">
        <w:rPr>
          <w:lang w:val="en-GB"/>
        </w:rPr>
        <w:t xml:space="preserve"> </w:t>
      </w:r>
      <w:r w:rsidR="00465728">
        <w:rPr>
          <w:lang w:val="en-GB"/>
        </w:rPr>
        <w:t xml:space="preserve">only </w:t>
      </w:r>
      <w:r w:rsidRPr="00152A20">
        <w:rPr>
          <w:lang w:val="en-GB"/>
        </w:rPr>
        <w:t>1</w:t>
      </w:r>
      <w:r w:rsidR="0026496F" w:rsidRPr="00152A20">
        <w:rPr>
          <w:lang w:val="en-GB"/>
        </w:rPr>
        <w:t>,</w:t>
      </w:r>
      <w:r w:rsidRPr="00152A20">
        <w:rPr>
          <w:lang w:val="en-GB"/>
        </w:rPr>
        <w:t>646 (1</w:t>
      </w:r>
      <w:r w:rsidR="0026496F" w:rsidRPr="00152A20">
        <w:rPr>
          <w:lang w:val="en-GB"/>
        </w:rPr>
        <w:t>,</w:t>
      </w:r>
      <w:r w:rsidRPr="00152A20">
        <w:rPr>
          <w:lang w:val="en-GB"/>
        </w:rPr>
        <w:t xml:space="preserve">114 public and 532 private). </w:t>
      </w:r>
      <w:r w:rsidR="0026496F" w:rsidRPr="00152A20">
        <w:rPr>
          <w:lang w:val="en-GB"/>
        </w:rPr>
        <w:t>The</w:t>
      </w:r>
      <w:r w:rsidRPr="00152A20">
        <w:rPr>
          <w:lang w:val="en-GB"/>
        </w:rPr>
        <w:t xml:space="preserve"> same concerns </w:t>
      </w:r>
      <w:r w:rsidR="0026496F" w:rsidRPr="00152A20">
        <w:rPr>
          <w:lang w:val="en-GB"/>
        </w:rPr>
        <w:t xml:space="preserve">in the period </w:t>
      </w:r>
      <w:r w:rsidR="00465728">
        <w:rPr>
          <w:lang w:val="en-GB"/>
        </w:rPr>
        <w:t xml:space="preserve">between </w:t>
      </w:r>
      <w:r w:rsidRPr="00152A20">
        <w:rPr>
          <w:lang w:val="en-GB"/>
        </w:rPr>
        <w:t>2012</w:t>
      </w:r>
      <w:r w:rsidR="00465728">
        <w:rPr>
          <w:lang w:val="en-GB"/>
        </w:rPr>
        <w:t xml:space="preserve"> and </w:t>
      </w:r>
      <w:r w:rsidRPr="00152A20">
        <w:rPr>
          <w:lang w:val="en-GB"/>
        </w:rPr>
        <w:t xml:space="preserve">2015 </w:t>
      </w:r>
      <w:r w:rsidR="0026496F" w:rsidRPr="00152A20">
        <w:rPr>
          <w:lang w:val="en-GB"/>
        </w:rPr>
        <w:t xml:space="preserve">led the </w:t>
      </w:r>
      <w:r w:rsidRPr="00152A20">
        <w:rPr>
          <w:lang w:val="en-GB"/>
        </w:rPr>
        <w:t>M</w:t>
      </w:r>
      <w:r w:rsidR="00D220D2" w:rsidRPr="00152A20">
        <w:rPr>
          <w:lang w:val="en-GB"/>
        </w:rPr>
        <w:t xml:space="preserve">inistry of Education and </w:t>
      </w:r>
      <w:r w:rsidRPr="00152A20">
        <w:rPr>
          <w:lang w:val="en-GB"/>
        </w:rPr>
        <w:t>S</w:t>
      </w:r>
      <w:r w:rsidR="00D220D2" w:rsidRPr="00152A20">
        <w:rPr>
          <w:lang w:val="en-GB"/>
        </w:rPr>
        <w:t>cience</w:t>
      </w:r>
      <w:r w:rsidR="003228D8" w:rsidRPr="00152A20">
        <w:rPr>
          <w:lang w:val="en-GB"/>
        </w:rPr>
        <w:t xml:space="preserve"> (</w:t>
      </w:r>
      <w:proofErr w:type="spellStart"/>
      <w:r w:rsidR="003228D8" w:rsidRPr="00152A20">
        <w:rPr>
          <w:lang w:val="en-GB"/>
        </w:rPr>
        <w:t>MoES</w:t>
      </w:r>
      <w:proofErr w:type="spellEnd"/>
      <w:r w:rsidR="003228D8" w:rsidRPr="00152A20">
        <w:rPr>
          <w:lang w:val="en-GB"/>
        </w:rPr>
        <w:t>)</w:t>
      </w:r>
      <w:r w:rsidRPr="00152A20">
        <w:rPr>
          <w:lang w:val="en-GB"/>
        </w:rPr>
        <w:t xml:space="preserve"> </w:t>
      </w:r>
      <w:r w:rsidR="0026496F" w:rsidRPr="00152A20">
        <w:rPr>
          <w:lang w:val="en-GB"/>
        </w:rPr>
        <w:t xml:space="preserve">to once </w:t>
      </w:r>
      <w:r w:rsidR="00465728">
        <w:rPr>
          <w:lang w:val="en-GB"/>
        </w:rPr>
        <w:t>again</w:t>
      </w:r>
      <w:r w:rsidR="0026496F" w:rsidRPr="00152A20">
        <w:rPr>
          <w:lang w:val="en-GB"/>
        </w:rPr>
        <w:t xml:space="preserve"> reduce the</w:t>
      </w:r>
      <w:r w:rsidRPr="00152A20">
        <w:rPr>
          <w:lang w:val="en-GB"/>
        </w:rPr>
        <w:t xml:space="preserve"> </w:t>
      </w:r>
      <w:r w:rsidR="0026496F" w:rsidRPr="00152A20">
        <w:rPr>
          <w:lang w:val="en-GB"/>
        </w:rPr>
        <w:t xml:space="preserve">number </w:t>
      </w:r>
      <w:r w:rsidR="00465728">
        <w:rPr>
          <w:lang w:val="en-GB"/>
        </w:rPr>
        <w:t xml:space="preserve">of </w:t>
      </w:r>
      <w:r w:rsidRPr="00152A20">
        <w:rPr>
          <w:lang w:val="en-GB"/>
        </w:rPr>
        <w:t>satellites</w:t>
      </w:r>
      <w:r w:rsidR="00D220D2" w:rsidRPr="00152A20">
        <w:rPr>
          <w:lang w:val="en-GB"/>
        </w:rPr>
        <w:t>, this time on the basis of performance evaluation</w:t>
      </w:r>
      <w:r w:rsidRPr="00152A20">
        <w:rPr>
          <w:lang w:val="en-GB"/>
        </w:rPr>
        <w:t>.</w:t>
      </w:r>
      <w:hyperlink r:id="rId12"/>
    </w:p>
    <w:p w14:paraId="66342412" w14:textId="5FB65CCF" w:rsidR="00037D5F" w:rsidRPr="00152A20" w:rsidRDefault="00465728">
      <w:pPr>
        <w:rPr>
          <w:lang w:val="en-GB"/>
        </w:rPr>
      </w:pPr>
      <w:bookmarkStart w:id="6" w:name="_3dy6vkm" w:colFirst="0" w:colLast="0"/>
      <w:bookmarkEnd w:id="6"/>
      <w:proofErr w:type="spellStart"/>
      <w:r>
        <w:rPr>
          <w:lang w:val="en-GB"/>
        </w:rPr>
        <w:t>M</w:t>
      </w:r>
      <w:r w:rsidR="008E5AA1" w:rsidRPr="00152A20">
        <w:rPr>
          <w:lang w:val="en-GB"/>
        </w:rPr>
        <w:t>assification</w:t>
      </w:r>
      <w:proofErr w:type="spellEnd"/>
      <w:r w:rsidR="008E5AA1" w:rsidRPr="00152A20">
        <w:rPr>
          <w:lang w:val="en-GB"/>
        </w:rPr>
        <w:t xml:space="preserve"> is also associated with the influential trend of expansion </w:t>
      </w:r>
      <w:r>
        <w:rPr>
          <w:lang w:val="en-GB"/>
        </w:rPr>
        <w:t xml:space="preserve">in </w:t>
      </w:r>
      <w:r w:rsidR="008E5AA1" w:rsidRPr="00152A20">
        <w:rPr>
          <w:lang w:val="en-GB"/>
        </w:rPr>
        <w:t xml:space="preserve">part-time HE. </w:t>
      </w:r>
      <w:r w:rsidR="0026496F" w:rsidRPr="00152A20">
        <w:rPr>
          <w:lang w:val="en-GB"/>
        </w:rPr>
        <w:t xml:space="preserve">The number </w:t>
      </w:r>
      <w:r w:rsidR="008E5AA1" w:rsidRPr="00152A20">
        <w:rPr>
          <w:lang w:val="en-GB"/>
        </w:rPr>
        <w:t>of part-time students increased three times over the 25-year period. In 1991</w:t>
      </w:r>
      <w:r w:rsidR="0026496F" w:rsidRPr="00152A20">
        <w:rPr>
          <w:lang w:val="en-GB"/>
        </w:rPr>
        <w:t>,</w:t>
      </w:r>
      <w:r w:rsidR="008E5AA1" w:rsidRPr="00152A20">
        <w:rPr>
          <w:lang w:val="en-GB"/>
        </w:rPr>
        <w:t xml:space="preserve"> the share of students learning in evening and correspondence courses was 39%</w:t>
      </w:r>
      <w:r>
        <w:rPr>
          <w:lang w:val="en-GB"/>
        </w:rPr>
        <w:t>,</w:t>
      </w:r>
      <w:r w:rsidR="008E5AA1" w:rsidRPr="00152A20">
        <w:rPr>
          <w:lang w:val="en-GB"/>
        </w:rPr>
        <w:t xml:space="preserve"> and by 2014 it </w:t>
      </w:r>
      <w:r w:rsidRPr="00152A20">
        <w:rPr>
          <w:lang w:val="en-GB"/>
        </w:rPr>
        <w:t>ha</w:t>
      </w:r>
      <w:r>
        <w:rPr>
          <w:lang w:val="en-GB"/>
        </w:rPr>
        <w:t xml:space="preserve">d </w:t>
      </w:r>
      <w:r w:rsidR="008E5AA1" w:rsidRPr="00152A20">
        <w:rPr>
          <w:lang w:val="en-GB"/>
        </w:rPr>
        <w:t xml:space="preserve">risen to 53%. </w:t>
      </w:r>
      <w:r w:rsidR="0026496F" w:rsidRPr="00152A20">
        <w:rPr>
          <w:lang w:val="en-GB"/>
        </w:rPr>
        <w:t>The m</w:t>
      </w:r>
      <w:r w:rsidR="008E5AA1" w:rsidRPr="00152A20">
        <w:rPr>
          <w:lang w:val="en-GB"/>
        </w:rPr>
        <w:t>ajority of part-time program</w:t>
      </w:r>
      <w:r w:rsidR="0026496F" w:rsidRPr="00152A20">
        <w:rPr>
          <w:lang w:val="en-GB"/>
        </w:rPr>
        <w:t>me</w:t>
      </w:r>
      <w:r w:rsidR="008E5AA1" w:rsidRPr="00152A20">
        <w:rPr>
          <w:lang w:val="en-GB"/>
        </w:rPr>
        <w:t>s are not supported by state</w:t>
      </w:r>
      <w:r>
        <w:rPr>
          <w:lang w:val="en-GB"/>
        </w:rPr>
        <w:t xml:space="preserve"> </w:t>
      </w:r>
      <w:r w:rsidR="008E5AA1" w:rsidRPr="00152A20">
        <w:rPr>
          <w:lang w:val="en-GB"/>
        </w:rPr>
        <w:t xml:space="preserve">funding. </w:t>
      </w:r>
    </w:p>
    <w:p w14:paraId="7958A53F" w14:textId="77777777" w:rsidR="00037D5F" w:rsidRPr="00152A20" w:rsidRDefault="008E5AA1">
      <w:pPr>
        <w:pStyle w:val="Heading2"/>
        <w:rPr>
          <w:lang w:val="en-GB"/>
        </w:rPr>
      </w:pPr>
      <w:bookmarkStart w:id="7" w:name="_1t3h5sf" w:colFirst="0" w:colLast="0"/>
      <w:bookmarkEnd w:id="7"/>
      <w:r w:rsidRPr="00152A20">
        <w:rPr>
          <w:lang w:val="en-GB"/>
        </w:rPr>
        <w:t>Private Sector and Cost-sharing</w:t>
      </w:r>
    </w:p>
    <w:p w14:paraId="58C85281" w14:textId="1CAB43E8" w:rsidR="00037D5F" w:rsidRPr="00152A20" w:rsidRDefault="008E5AA1">
      <w:pPr>
        <w:rPr>
          <w:lang w:val="en-GB"/>
        </w:rPr>
      </w:pPr>
      <w:r w:rsidRPr="00152A20">
        <w:rPr>
          <w:lang w:val="en-GB"/>
        </w:rPr>
        <w:t xml:space="preserve">The new legislation adopted in 1992 allowed </w:t>
      </w:r>
      <w:r w:rsidR="0026496F" w:rsidRPr="00152A20">
        <w:rPr>
          <w:lang w:val="en-GB"/>
        </w:rPr>
        <w:t xml:space="preserve">the </w:t>
      </w:r>
      <w:r w:rsidRPr="00152A20">
        <w:rPr>
          <w:lang w:val="en-GB"/>
        </w:rPr>
        <w:t>establishment of private HEIs (the Federal Law “On Education”).</w:t>
      </w:r>
      <w:r w:rsidR="0026496F" w:rsidRPr="00152A20">
        <w:rPr>
          <w:lang w:val="en-GB"/>
        </w:rPr>
        <w:t xml:space="preserve"> </w:t>
      </w:r>
      <w:r w:rsidRPr="00152A20">
        <w:rPr>
          <w:lang w:val="en-GB"/>
        </w:rPr>
        <w:t xml:space="preserve">The expansion of </w:t>
      </w:r>
      <w:r w:rsidR="0026496F" w:rsidRPr="00152A20">
        <w:rPr>
          <w:lang w:val="en-GB"/>
        </w:rPr>
        <w:t xml:space="preserve">the </w:t>
      </w:r>
      <w:r w:rsidRPr="00152A20">
        <w:rPr>
          <w:lang w:val="en-GB"/>
        </w:rPr>
        <w:t>HE system was</w:t>
      </w:r>
      <w:r w:rsidR="00465728">
        <w:rPr>
          <w:lang w:val="en-GB"/>
        </w:rPr>
        <w:t xml:space="preserve"> therefore</w:t>
      </w:r>
      <w:r w:rsidRPr="00152A20">
        <w:rPr>
          <w:lang w:val="en-GB"/>
        </w:rPr>
        <w:t xml:space="preserve"> partially due to </w:t>
      </w:r>
      <w:r w:rsidR="0026496F" w:rsidRPr="00152A20">
        <w:rPr>
          <w:lang w:val="en-GB"/>
        </w:rPr>
        <w:t xml:space="preserve">the </w:t>
      </w:r>
      <w:r w:rsidRPr="00152A20">
        <w:rPr>
          <w:lang w:val="en-GB"/>
        </w:rPr>
        <w:t xml:space="preserve">growth of </w:t>
      </w:r>
      <w:r w:rsidR="0026496F" w:rsidRPr="00152A20">
        <w:rPr>
          <w:lang w:val="en-GB"/>
        </w:rPr>
        <w:t xml:space="preserve">the </w:t>
      </w:r>
      <w:r w:rsidRPr="00152A20">
        <w:rPr>
          <w:lang w:val="en-GB"/>
        </w:rPr>
        <w:t xml:space="preserve">private </w:t>
      </w:r>
      <w:r w:rsidR="0026496F" w:rsidRPr="00152A20">
        <w:rPr>
          <w:lang w:val="en-GB"/>
        </w:rPr>
        <w:t xml:space="preserve">higher education </w:t>
      </w:r>
      <w:r w:rsidRPr="00152A20">
        <w:rPr>
          <w:lang w:val="en-GB"/>
        </w:rPr>
        <w:t xml:space="preserve">sector. The number of private HEIs </w:t>
      </w:r>
      <w:r w:rsidR="0026496F" w:rsidRPr="00152A20">
        <w:rPr>
          <w:lang w:val="en-GB"/>
        </w:rPr>
        <w:t>grew to</w:t>
      </w:r>
      <w:r w:rsidRPr="00152A20">
        <w:rPr>
          <w:lang w:val="en-GB"/>
        </w:rPr>
        <w:t xml:space="preserve"> 358, although only 7% of students were</w:t>
      </w:r>
      <w:r w:rsidR="0026496F" w:rsidRPr="00152A20">
        <w:rPr>
          <w:lang w:val="en-GB"/>
        </w:rPr>
        <w:t xml:space="preserve"> enrolled</w:t>
      </w:r>
      <w:r w:rsidRPr="00152A20">
        <w:rPr>
          <w:lang w:val="en-GB"/>
        </w:rPr>
        <w:t xml:space="preserve"> in </w:t>
      </w:r>
      <w:r w:rsidR="0026496F" w:rsidRPr="00152A20">
        <w:rPr>
          <w:lang w:val="en-GB"/>
        </w:rPr>
        <w:t xml:space="preserve">the </w:t>
      </w:r>
      <w:r w:rsidRPr="00152A20">
        <w:rPr>
          <w:lang w:val="en-GB"/>
        </w:rPr>
        <w:t xml:space="preserve">private sector. </w:t>
      </w:r>
    </w:p>
    <w:p w14:paraId="1811F901" w14:textId="7AD655C9" w:rsidR="00037D5F" w:rsidRPr="00152A20" w:rsidRDefault="008E5AA1">
      <w:pPr>
        <w:spacing w:before="200"/>
        <w:rPr>
          <w:lang w:val="en-GB"/>
        </w:rPr>
      </w:pPr>
      <w:bookmarkStart w:id="8" w:name="_4d34og8" w:colFirst="0" w:colLast="0"/>
      <w:bookmarkEnd w:id="8"/>
      <w:r w:rsidRPr="00152A20">
        <w:rPr>
          <w:lang w:val="en-GB"/>
        </w:rPr>
        <w:t xml:space="preserve">After 2000, </w:t>
      </w:r>
      <w:r w:rsidR="00290E43" w:rsidRPr="00152A20">
        <w:rPr>
          <w:lang w:val="en-GB"/>
        </w:rPr>
        <w:t xml:space="preserve">the </w:t>
      </w:r>
      <w:r w:rsidRPr="00152A20">
        <w:rPr>
          <w:lang w:val="en-GB"/>
        </w:rPr>
        <w:t xml:space="preserve">private sector </w:t>
      </w:r>
      <w:r w:rsidR="00290E43" w:rsidRPr="00152A20">
        <w:rPr>
          <w:lang w:val="en-GB"/>
        </w:rPr>
        <w:t>form</w:t>
      </w:r>
      <w:r w:rsidR="00D07DB1">
        <w:rPr>
          <w:lang w:val="en-GB"/>
        </w:rPr>
        <w:t>ed</w:t>
      </w:r>
      <w:r w:rsidR="00290E43" w:rsidRPr="00152A20">
        <w:rPr>
          <w:lang w:val="en-GB"/>
        </w:rPr>
        <w:t xml:space="preserve"> a</w:t>
      </w:r>
      <w:r w:rsidRPr="00152A20">
        <w:rPr>
          <w:lang w:val="en-GB"/>
        </w:rPr>
        <w:t xml:space="preserve"> substantive part of</w:t>
      </w:r>
      <w:r w:rsidR="00D07DB1">
        <w:rPr>
          <w:lang w:val="en-GB"/>
        </w:rPr>
        <w:t xml:space="preserve"> the</w:t>
      </w:r>
      <w:r w:rsidRPr="00152A20">
        <w:rPr>
          <w:lang w:val="en-GB"/>
        </w:rPr>
        <w:t xml:space="preserve"> higher education system</w:t>
      </w:r>
      <w:r w:rsidR="00290E43" w:rsidRPr="00152A20">
        <w:rPr>
          <w:lang w:val="en-GB"/>
        </w:rPr>
        <w:t>,</w:t>
      </w:r>
      <w:r w:rsidRPr="00152A20">
        <w:rPr>
          <w:lang w:val="en-GB"/>
        </w:rPr>
        <w:t xml:space="preserve"> not only in terms of </w:t>
      </w:r>
      <w:r w:rsidR="00290E43" w:rsidRPr="00152A20">
        <w:rPr>
          <w:lang w:val="en-GB"/>
        </w:rPr>
        <w:t xml:space="preserve">the </w:t>
      </w:r>
      <w:r w:rsidRPr="00152A20">
        <w:rPr>
          <w:lang w:val="en-GB"/>
        </w:rPr>
        <w:t xml:space="preserve">number of HEIs (there were more than 400 private HEIs), but also in terms of </w:t>
      </w:r>
      <w:r w:rsidRPr="00152A20">
        <w:rPr>
          <w:lang w:val="en-GB"/>
        </w:rPr>
        <w:lastRenderedPageBreak/>
        <w:t>student body. About 14% of students were in private HEIs in 2014. Moreover, private education expanded through the privati</w:t>
      </w:r>
      <w:r w:rsidR="00D07DB1">
        <w:rPr>
          <w:lang w:val="en-GB"/>
        </w:rPr>
        <w:t>s</w:t>
      </w:r>
      <w:r w:rsidRPr="00152A20">
        <w:rPr>
          <w:lang w:val="en-GB"/>
        </w:rPr>
        <w:t xml:space="preserve">ation of public HEIs. </w:t>
      </w:r>
      <w:r w:rsidR="00290E43" w:rsidRPr="00152A20">
        <w:rPr>
          <w:lang w:val="en-GB"/>
        </w:rPr>
        <w:t>N</w:t>
      </w:r>
      <w:r w:rsidRPr="00152A20">
        <w:rPr>
          <w:lang w:val="en-GB"/>
        </w:rPr>
        <w:t xml:space="preserve">ew legislation adopted in 1992 allowed public HEIs to attract </w:t>
      </w:r>
      <w:r w:rsidR="00290E43" w:rsidRPr="00152A20">
        <w:rPr>
          <w:lang w:val="en-GB"/>
        </w:rPr>
        <w:t xml:space="preserve">so-called </w:t>
      </w:r>
      <w:r w:rsidRPr="00152A20">
        <w:rPr>
          <w:lang w:val="en-GB"/>
        </w:rPr>
        <w:t xml:space="preserve">non-budgetary funding. </w:t>
      </w:r>
      <w:r w:rsidR="00290E43" w:rsidRPr="00152A20">
        <w:rPr>
          <w:lang w:val="en-GB"/>
        </w:rPr>
        <w:t xml:space="preserve">In line with that regulation, HEIs started to </w:t>
      </w:r>
      <w:r w:rsidRPr="00152A20">
        <w:rPr>
          <w:lang w:val="en-GB"/>
        </w:rPr>
        <w:t>introduc</w:t>
      </w:r>
      <w:r w:rsidR="00290E43" w:rsidRPr="00152A20">
        <w:rPr>
          <w:lang w:val="en-GB"/>
        </w:rPr>
        <w:t>e a</w:t>
      </w:r>
      <w:r w:rsidRPr="00152A20">
        <w:rPr>
          <w:lang w:val="en-GB"/>
        </w:rPr>
        <w:t xml:space="preserve"> </w:t>
      </w:r>
      <w:r w:rsidRPr="00152A20">
        <w:rPr>
          <w:i/>
          <w:lang w:val="en-GB"/>
        </w:rPr>
        <w:t xml:space="preserve">dual tuition track system </w:t>
      </w:r>
      <w:r w:rsidRPr="00152A20">
        <w:rPr>
          <w:lang w:val="en-GB"/>
        </w:rPr>
        <w:t>(</w:t>
      </w:r>
      <w:proofErr w:type="spellStart"/>
      <w:r w:rsidRPr="00152A20">
        <w:rPr>
          <w:shd w:val="clear" w:color="auto" w:fill="FFF5BF"/>
          <w:lang w:val="en-GB"/>
        </w:rPr>
        <w:t>Johnstone</w:t>
      </w:r>
      <w:proofErr w:type="spellEnd"/>
      <w:r w:rsidRPr="00152A20">
        <w:rPr>
          <w:shd w:val="clear" w:color="auto" w:fill="FFF5BF"/>
          <w:lang w:val="en-GB"/>
        </w:rPr>
        <w:t xml:space="preserve"> 2004</w:t>
      </w:r>
      <w:r w:rsidRPr="00152A20">
        <w:rPr>
          <w:lang w:val="en-GB"/>
        </w:rPr>
        <w:t>)</w:t>
      </w:r>
      <w:r w:rsidR="00290E43" w:rsidRPr="00152A20">
        <w:rPr>
          <w:lang w:val="en-GB"/>
        </w:rPr>
        <w:t>. This</w:t>
      </w:r>
      <w:r w:rsidRPr="00152A20">
        <w:rPr>
          <w:lang w:val="en-GB"/>
        </w:rPr>
        <w:t xml:space="preserve"> means that in public HEIs the state </w:t>
      </w:r>
      <w:r w:rsidR="00290E43" w:rsidRPr="00152A20">
        <w:rPr>
          <w:lang w:val="en-GB"/>
        </w:rPr>
        <w:t>provides</w:t>
      </w:r>
      <w:r w:rsidRPr="00152A20">
        <w:rPr>
          <w:lang w:val="en-GB"/>
        </w:rPr>
        <w:t xml:space="preserve"> </w:t>
      </w:r>
      <w:r w:rsidR="00290E43" w:rsidRPr="00152A20">
        <w:rPr>
          <w:lang w:val="en-GB"/>
        </w:rPr>
        <w:t>tuition-</w:t>
      </w:r>
      <w:r w:rsidRPr="00152A20">
        <w:rPr>
          <w:lang w:val="en-GB"/>
        </w:rPr>
        <w:t xml:space="preserve">free </w:t>
      </w:r>
      <w:r w:rsidR="00290E43" w:rsidRPr="00152A20">
        <w:rPr>
          <w:lang w:val="en-GB"/>
        </w:rPr>
        <w:t xml:space="preserve">student places </w:t>
      </w:r>
      <w:r w:rsidRPr="00152A20">
        <w:rPr>
          <w:lang w:val="en-GB"/>
        </w:rPr>
        <w:t xml:space="preserve">and </w:t>
      </w:r>
      <w:r w:rsidR="00290E43" w:rsidRPr="00152A20">
        <w:rPr>
          <w:lang w:val="en-GB"/>
        </w:rPr>
        <w:t xml:space="preserve">that HEIs can </w:t>
      </w:r>
      <w:r w:rsidRPr="00152A20">
        <w:rPr>
          <w:lang w:val="en-GB"/>
        </w:rPr>
        <w:t>add private tuition track</w:t>
      </w:r>
      <w:r w:rsidR="00290E43" w:rsidRPr="00152A20">
        <w:rPr>
          <w:lang w:val="en-GB"/>
        </w:rPr>
        <w:t>s</w:t>
      </w:r>
      <w:r w:rsidRPr="00152A20">
        <w:rPr>
          <w:lang w:val="en-GB"/>
        </w:rPr>
        <w:t xml:space="preserve">. A </w:t>
      </w:r>
      <w:r w:rsidR="00290E43" w:rsidRPr="00152A20">
        <w:rPr>
          <w:lang w:val="en-GB"/>
        </w:rPr>
        <w:t xml:space="preserve">student </w:t>
      </w:r>
      <w:r w:rsidRPr="00152A20">
        <w:rPr>
          <w:lang w:val="en-GB"/>
        </w:rPr>
        <w:t xml:space="preserve">can apply </w:t>
      </w:r>
      <w:r w:rsidR="00290E43" w:rsidRPr="00152A20">
        <w:rPr>
          <w:lang w:val="en-GB"/>
        </w:rPr>
        <w:t>for</w:t>
      </w:r>
      <w:r w:rsidRPr="00152A20">
        <w:rPr>
          <w:lang w:val="en-GB"/>
        </w:rPr>
        <w:t xml:space="preserve"> either state funding (more competitive) or </w:t>
      </w:r>
      <w:r w:rsidR="00D07DB1">
        <w:rPr>
          <w:lang w:val="en-GB"/>
        </w:rPr>
        <w:t xml:space="preserve">pursue </w:t>
      </w:r>
      <w:r w:rsidR="00290E43" w:rsidRPr="00152A20">
        <w:rPr>
          <w:lang w:val="en-GB"/>
        </w:rPr>
        <w:t xml:space="preserve">a </w:t>
      </w:r>
      <w:r w:rsidRPr="00152A20">
        <w:rPr>
          <w:lang w:val="en-GB"/>
        </w:rPr>
        <w:t>self-paid place</w:t>
      </w:r>
      <w:r w:rsidR="00B37BA4" w:rsidRPr="00152A20">
        <w:rPr>
          <w:lang w:val="en-GB"/>
        </w:rPr>
        <w:t xml:space="preserve"> in public or private HEIs</w:t>
      </w:r>
      <w:r w:rsidRPr="00152A20">
        <w:rPr>
          <w:lang w:val="en-GB"/>
        </w:rPr>
        <w:t xml:space="preserve"> (less competitive)</w:t>
      </w:r>
      <w:r w:rsidR="00B37BA4" w:rsidRPr="00152A20">
        <w:rPr>
          <w:lang w:val="en-GB"/>
        </w:rPr>
        <w:t>.</w:t>
      </w:r>
      <w:r w:rsidR="00B37BA4" w:rsidRPr="00152A20">
        <w:rPr>
          <w:rFonts w:asciiTheme="minorHAnsi" w:hAnsiTheme="minorHAnsi"/>
          <w:lang w:val="en-GB"/>
        </w:rPr>
        <w:t xml:space="preserve">  </w:t>
      </w:r>
      <w:r w:rsidR="00111DFA" w:rsidRPr="00152A20">
        <w:rPr>
          <w:rFonts w:asciiTheme="minorHAnsi" w:hAnsiTheme="minorHAnsi"/>
          <w:lang w:val="en-GB"/>
        </w:rPr>
        <w:t xml:space="preserve">The </w:t>
      </w:r>
      <w:r w:rsidR="003F424F" w:rsidRPr="00152A20">
        <w:rPr>
          <w:rFonts w:asciiTheme="minorHAnsi" w:hAnsiTheme="minorHAnsi"/>
          <w:lang w:val="en-GB"/>
        </w:rPr>
        <w:t xml:space="preserve">competition for state-funded places </w:t>
      </w:r>
      <w:r w:rsidR="00111DFA" w:rsidRPr="00152A20">
        <w:rPr>
          <w:rFonts w:asciiTheme="minorHAnsi" w:hAnsiTheme="minorHAnsi"/>
          <w:lang w:val="en-GB"/>
        </w:rPr>
        <w:t xml:space="preserve">is based on merit. In general, students with the highest entry exam scores enrol </w:t>
      </w:r>
      <w:r w:rsidR="00D07DB1">
        <w:rPr>
          <w:rFonts w:asciiTheme="minorHAnsi" w:hAnsiTheme="minorHAnsi"/>
          <w:lang w:val="en-GB"/>
        </w:rPr>
        <w:t xml:space="preserve">in </w:t>
      </w:r>
      <w:r w:rsidR="00111DFA" w:rsidRPr="00152A20">
        <w:rPr>
          <w:rFonts w:asciiTheme="minorHAnsi" w:hAnsiTheme="minorHAnsi"/>
          <w:lang w:val="en-GB"/>
        </w:rPr>
        <w:t xml:space="preserve">public HEIs </w:t>
      </w:r>
      <w:r w:rsidR="003F424F" w:rsidRPr="00152A20">
        <w:rPr>
          <w:rFonts w:asciiTheme="minorHAnsi" w:hAnsiTheme="minorHAnsi"/>
          <w:lang w:val="en-GB"/>
        </w:rPr>
        <w:t>for state-funded places</w:t>
      </w:r>
      <w:r w:rsidR="00D07DB1">
        <w:rPr>
          <w:rFonts w:asciiTheme="minorHAnsi" w:hAnsiTheme="minorHAnsi"/>
          <w:lang w:val="en-GB"/>
        </w:rPr>
        <w:t>,</w:t>
      </w:r>
      <w:r w:rsidR="00111DFA" w:rsidRPr="00152A20">
        <w:rPr>
          <w:rFonts w:asciiTheme="minorHAnsi" w:hAnsiTheme="minorHAnsi"/>
          <w:lang w:val="en-GB"/>
        </w:rPr>
        <w:t xml:space="preserve"> and students with the lowest exam scores enrol</w:t>
      </w:r>
      <w:r w:rsidR="00D07DB1">
        <w:rPr>
          <w:rFonts w:asciiTheme="minorHAnsi" w:hAnsiTheme="minorHAnsi"/>
          <w:lang w:val="en-GB"/>
        </w:rPr>
        <w:t xml:space="preserve"> in</w:t>
      </w:r>
      <w:r w:rsidR="00111DFA" w:rsidRPr="00152A20">
        <w:rPr>
          <w:rFonts w:asciiTheme="minorHAnsi" w:hAnsiTheme="minorHAnsi"/>
          <w:lang w:val="en-GB"/>
        </w:rPr>
        <w:t xml:space="preserve"> third-rate private HEIs.</w:t>
      </w:r>
      <w:r w:rsidR="00111DFA" w:rsidRPr="00152A20">
        <w:rPr>
          <w:rFonts w:asciiTheme="minorHAnsi" w:hAnsiTheme="minorHAnsi" w:cs="Times New Roman"/>
          <w:lang w:val="en-GB"/>
        </w:rPr>
        <w:t xml:space="preserve"> The latter </w:t>
      </w:r>
      <w:r w:rsidR="003F424F" w:rsidRPr="00152A20">
        <w:rPr>
          <w:rFonts w:asciiTheme="minorHAnsi" w:hAnsiTheme="minorHAnsi" w:cs="Times New Roman"/>
          <w:lang w:val="en-GB"/>
        </w:rPr>
        <w:t xml:space="preserve">are </w:t>
      </w:r>
      <w:r w:rsidR="00E06391" w:rsidRPr="00152A20">
        <w:rPr>
          <w:rFonts w:asciiTheme="minorHAnsi" w:hAnsiTheme="minorHAnsi" w:cs="Times New Roman"/>
          <w:lang w:val="en-GB"/>
        </w:rPr>
        <w:t xml:space="preserve">less </w:t>
      </w:r>
      <w:r w:rsidR="003F424F" w:rsidRPr="00152A20">
        <w:rPr>
          <w:rFonts w:asciiTheme="minorHAnsi" w:hAnsiTheme="minorHAnsi" w:cs="Times New Roman"/>
          <w:lang w:val="en-GB"/>
        </w:rPr>
        <w:t xml:space="preserve">competitive </w:t>
      </w:r>
      <w:r w:rsidR="00111DFA" w:rsidRPr="00152A20">
        <w:rPr>
          <w:rFonts w:asciiTheme="minorHAnsi" w:hAnsiTheme="minorHAnsi" w:cs="Times New Roman"/>
          <w:lang w:val="en-GB"/>
        </w:rPr>
        <w:t xml:space="preserve">HEIs </w:t>
      </w:r>
      <w:r w:rsidR="003F424F" w:rsidRPr="00152A20">
        <w:rPr>
          <w:rFonts w:asciiTheme="minorHAnsi" w:hAnsiTheme="minorHAnsi" w:cs="Times New Roman"/>
          <w:lang w:val="en-GB"/>
        </w:rPr>
        <w:t xml:space="preserve">that </w:t>
      </w:r>
      <w:r w:rsidR="00111DFA" w:rsidRPr="00152A20">
        <w:rPr>
          <w:rFonts w:asciiTheme="minorHAnsi" w:hAnsiTheme="minorHAnsi" w:cs="Times New Roman"/>
          <w:lang w:val="en-GB"/>
        </w:rPr>
        <w:t xml:space="preserve">accept </w:t>
      </w:r>
      <w:r w:rsidR="00D07DB1">
        <w:rPr>
          <w:rFonts w:asciiTheme="minorHAnsi" w:hAnsiTheme="minorHAnsi" w:cs="Times New Roman"/>
          <w:lang w:val="en-GB"/>
        </w:rPr>
        <w:t xml:space="preserve">the </w:t>
      </w:r>
      <w:r w:rsidR="00111DFA" w:rsidRPr="00152A20">
        <w:rPr>
          <w:rFonts w:asciiTheme="minorHAnsi" w:hAnsiTheme="minorHAnsi" w:cs="Times New Roman"/>
          <w:lang w:val="en-GB"/>
        </w:rPr>
        <w:t>majority of low</w:t>
      </w:r>
      <w:r w:rsidR="00D07DB1">
        <w:rPr>
          <w:rFonts w:asciiTheme="minorHAnsi" w:hAnsiTheme="minorHAnsi" w:cs="Times New Roman"/>
          <w:lang w:val="en-GB"/>
        </w:rPr>
        <w:t xml:space="preserve"> </w:t>
      </w:r>
      <w:r w:rsidR="00111DFA" w:rsidRPr="00152A20">
        <w:rPr>
          <w:rFonts w:asciiTheme="minorHAnsi" w:hAnsiTheme="minorHAnsi" w:cs="Times New Roman"/>
          <w:lang w:val="en-GB"/>
        </w:rPr>
        <w:t>performers</w:t>
      </w:r>
      <w:r w:rsidR="003F424F" w:rsidRPr="00152A20">
        <w:rPr>
          <w:rFonts w:asciiTheme="minorHAnsi" w:hAnsiTheme="minorHAnsi" w:cs="Times New Roman"/>
          <w:lang w:val="en-GB"/>
        </w:rPr>
        <w:t>.</w:t>
      </w:r>
      <w:r w:rsidR="003F424F" w:rsidRPr="00152A20">
        <w:rPr>
          <w:rFonts w:ascii="Times New Roman" w:hAnsi="Times New Roman" w:cs="Times New Roman"/>
          <w:lang w:val="en-GB"/>
        </w:rPr>
        <w:t xml:space="preserve"> </w:t>
      </w:r>
      <w:r w:rsidR="00111DFA" w:rsidRPr="00152A20">
        <w:rPr>
          <w:lang w:val="en-GB"/>
        </w:rPr>
        <w:t xml:space="preserve"> </w:t>
      </w:r>
    </w:p>
    <w:p w14:paraId="048A628D" w14:textId="27A0979E" w:rsidR="00037D5F" w:rsidRPr="00152A20" w:rsidRDefault="008E5AA1">
      <w:pPr>
        <w:spacing w:before="200"/>
        <w:rPr>
          <w:lang w:val="en-GB"/>
        </w:rPr>
      </w:pPr>
      <w:bookmarkStart w:id="9" w:name="_2s8eyo1" w:colFirst="0" w:colLast="0"/>
      <w:bookmarkEnd w:id="9"/>
      <w:r w:rsidRPr="00152A20">
        <w:rPr>
          <w:lang w:val="en-GB"/>
        </w:rPr>
        <w:t xml:space="preserve">As </w:t>
      </w:r>
      <w:r w:rsidR="00D07DB1">
        <w:rPr>
          <w:shd w:val="clear" w:color="auto" w:fill="FFF5BF"/>
          <w:lang w:val="en-GB"/>
        </w:rPr>
        <w:t>F</w:t>
      </w:r>
      <w:r w:rsidRPr="00152A20">
        <w:rPr>
          <w:shd w:val="clear" w:color="auto" w:fill="FFF5BF"/>
          <w:lang w:val="en-GB"/>
        </w:rPr>
        <w:t>igure 4</w:t>
      </w:r>
      <w:r w:rsidRPr="00152A20">
        <w:rPr>
          <w:lang w:val="en-GB"/>
        </w:rPr>
        <w:t xml:space="preserve"> depicts, </w:t>
      </w:r>
      <w:r w:rsidR="00290E43" w:rsidRPr="00152A20">
        <w:rPr>
          <w:lang w:val="en-GB"/>
        </w:rPr>
        <w:t xml:space="preserve">the </w:t>
      </w:r>
      <w:r w:rsidRPr="00152A20">
        <w:rPr>
          <w:lang w:val="en-GB"/>
        </w:rPr>
        <w:t xml:space="preserve">balance between </w:t>
      </w:r>
      <w:r w:rsidR="00290E43" w:rsidRPr="00152A20">
        <w:rPr>
          <w:lang w:val="en-GB"/>
        </w:rPr>
        <w:t xml:space="preserve">the </w:t>
      </w:r>
      <w:r w:rsidRPr="00152A20">
        <w:rPr>
          <w:lang w:val="en-GB"/>
        </w:rPr>
        <w:t xml:space="preserve">numbers of state-funded students and students paying tuition </w:t>
      </w:r>
      <w:r w:rsidR="00D07DB1">
        <w:rPr>
          <w:lang w:val="en-GB"/>
        </w:rPr>
        <w:t xml:space="preserve">is </w:t>
      </w:r>
      <w:r w:rsidRPr="00152A20">
        <w:rPr>
          <w:lang w:val="en-GB"/>
        </w:rPr>
        <w:t xml:space="preserve">inverted </w:t>
      </w:r>
      <w:r w:rsidR="00290E43" w:rsidRPr="00152A20">
        <w:rPr>
          <w:lang w:val="en-GB"/>
        </w:rPr>
        <w:t>when the 19</w:t>
      </w:r>
      <w:r w:rsidRPr="00152A20">
        <w:rPr>
          <w:lang w:val="en-GB"/>
        </w:rPr>
        <w:t>90s a</w:t>
      </w:r>
      <w:r w:rsidR="00290E43" w:rsidRPr="00152A20">
        <w:rPr>
          <w:lang w:val="en-GB"/>
        </w:rPr>
        <w:t>re compared with the 20</w:t>
      </w:r>
      <w:r w:rsidRPr="00152A20">
        <w:rPr>
          <w:lang w:val="en-GB"/>
        </w:rPr>
        <w:t>00s. In 1995 only 13</w:t>
      </w:r>
      <w:r w:rsidR="00D07DB1">
        <w:rPr>
          <w:lang w:val="en-GB"/>
        </w:rPr>
        <w:t>.</w:t>
      </w:r>
      <w:r w:rsidRPr="00152A20">
        <w:rPr>
          <w:lang w:val="en-GB"/>
        </w:rPr>
        <w:t>7% students enrolled in public HEIs without state support, but since 2000 more than 40% of students</w:t>
      </w:r>
      <w:r w:rsidR="00D07DB1">
        <w:rPr>
          <w:lang w:val="en-GB"/>
        </w:rPr>
        <w:t xml:space="preserve"> </w:t>
      </w:r>
      <w:r w:rsidRPr="00152A20">
        <w:rPr>
          <w:lang w:val="en-GB"/>
        </w:rPr>
        <w:t xml:space="preserve">enrolled </w:t>
      </w:r>
      <w:r w:rsidR="00D07DB1">
        <w:rPr>
          <w:lang w:val="en-GB"/>
        </w:rPr>
        <w:t>in</w:t>
      </w:r>
      <w:r w:rsidRPr="00152A20">
        <w:rPr>
          <w:lang w:val="en-GB"/>
        </w:rPr>
        <w:t xml:space="preserve"> public HEIs </w:t>
      </w:r>
      <w:r w:rsidR="00290E43" w:rsidRPr="00152A20">
        <w:rPr>
          <w:lang w:val="en-GB"/>
        </w:rPr>
        <w:t>are</w:t>
      </w:r>
      <w:r w:rsidRPr="00152A20">
        <w:rPr>
          <w:lang w:val="en-GB"/>
        </w:rPr>
        <w:t xml:space="preserve"> paying fees. </w:t>
      </w:r>
      <w:r w:rsidR="00645DFB">
        <w:rPr>
          <w:lang w:val="en-GB"/>
        </w:rPr>
        <w:t xml:space="preserve">If </w:t>
      </w:r>
      <w:r w:rsidRPr="00152A20">
        <w:rPr>
          <w:lang w:val="en-GB"/>
        </w:rPr>
        <w:t>private HEI</w:t>
      </w:r>
      <w:r w:rsidR="00645DFB">
        <w:rPr>
          <w:lang w:val="en-GB"/>
        </w:rPr>
        <w:t xml:space="preserve"> enrolment is included</w:t>
      </w:r>
      <w:r w:rsidR="00290E43" w:rsidRPr="00152A20">
        <w:rPr>
          <w:lang w:val="en-GB"/>
        </w:rPr>
        <w:t xml:space="preserve">, </w:t>
      </w:r>
      <w:r w:rsidRPr="00152A20">
        <w:rPr>
          <w:lang w:val="en-GB"/>
        </w:rPr>
        <w:t xml:space="preserve">more than 60% </w:t>
      </w:r>
      <w:r w:rsidR="00D07DB1">
        <w:rPr>
          <w:lang w:val="en-GB"/>
        </w:rPr>
        <w:t xml:space="preserve">of </w:t>
      </w:r>
      <w:r w:rsidRPr="00152A20">
        <w:rPr>
          <w:lang w:val="en-GB"/>
        </w:rPr>
        <w:t xml:space="preserve">students </w:t>
      </w:r>
      <w:r w:rsidR="00645DFB">
        <w:rPr>
          <w:lang w:val="en-GB"/>
        </w:rPr>
        <w:t xml:space="preserve">in Russia </w:t>
      </w:r>
      <w:r w:rsidRPr="00152A20">
        <w:rPr>
          <w:lang w:val="en-GB"/>
        </w:rPr>
        <w:t>are paying for their education by themselves</w:t>
      </w:r>
      <w:r w:rsidR="00290E43" w:rsidRPr="00152A20">
        <w:rPr>
          <w:lang w:val="en-GB"/>
        </w:rPr>
        <w:t xml:space="preserve"> (since 2002)</w:t>
      </w:r>
      <w:r w:rsidRPr="00152A20">
        <w:rPr>
          <w:lang w:val="en-GB"/>
        </w:rPr>
        <w:t xml:space="preserve">.   </w:t>
      </w:r>
    </w:p>
    <w:p w14:paraId="4BF35DC4" w14:textId="56E556EC" w:rsidR="00037D5F" w:rsidRPr="00152A20" w:rsidRDefault="008E5AA1">
      <w:pPr>
        <w:spacing w:before="200"/>
        <w:rPr>
          <w:lang w:val="en-GB"/>
        </w:rPr>
      </w:pPr>
      <w:r w:rsidRPr="00152A20">
        <w:rPr>
          <w:i/>
          <w:shd w:val="clear" w:color="auto" w:fill="FFF5BF"/>
          <w:lang w:val="en-GB"/>
        </w:rPr>
        <w:t xml:space="preserve">Figure 4. </w:t>
      </w:r>
      <w:r w:rsidRPr="00152A20">
        <w:rPr>
          <w:i/>
          <w:highlight w:val="white"/>
          <w:lang w:val="en-GB"/>
        </w:rPr>
        <w:t>Enrolment by source of financing and type of HEIs, 1995-2013, Russia</w:t>
      </w:r>
    </w:p>
    <w:p w14:paraId="5260F7ED" w14:textId="765C52F3" w:rsidR="00037D5F" w:rsidRPr="00152A20" w:rsidRDefault="003A4F5C">
      <w:pPr>
        <w:spacing w:before="200" w:line="276" w:lineRule="auto"/>
        <w:jc w:val="center"/>
        <w:rPr>
          <w:lang w:val="en-GB"/>
        </w:rPr>
      </w:pPr>
      <w:r w:rsidRPr="00152A20">
        <w:rPr>
          <w:noProof/>
        </w:rPr>
        <w:drawing>
          <wp:inline distT="0" distB="0" distL="0" distR="0" wp14:anchorId="1379C262" wp14:editId="1D92C628">
            <wp:extent cx="6152515" cy="2776220"/>
            <wp:effectExtent l="0" t="0" r="19685" b="1778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142320" w14:textId="52013C9B" w:rsidR="00037D5F" w:rsidRPr="00152A20" w:rsidRDefault="008E5AA1">
      <w:pPr>
        <w:spacing w:before="200" w:line="276" w:lineRule="auto"/>
        <w:rPr>
          <w:lang w:val="en-GB"/>
        </w:rPr>
      </w:pPr>
      <w:r w:rsidRPr="00152A20">
        <w:rPr>
          <w:i/>
          <w:sz w:val="20"/>
          <w:szCs w:val="20"/>
          <w:lang w:val="en-GB"/>
        </w:rPr>
        <w:t>Source: Calculated by authors. Data from: before 2000</w:t>
      </w:r>
      <w:r w:rsidR="00E43BE4">
        <w:rPr>
          <w:i/>
          <w:sz w:val="20"/>
          <w:szCs w:val="20"/>
          <w:lang w:val="en-GB"/>
        </w:rPr>
        <w:t xml:space="preserve">, </w:t>
      </w:r>
      <w:r w:rsidRPr="00152A20">
        <w:rPr>
          <w:i/>
          <w:sz w:val="20"/>
          <w:szCs w:val="20"/>
          <w:lang w:val="en-GB"/>
        </w:rPr>
        <w:t>Education in the R</w:t>
      </w:r>
      <w:r w:rsidR="00983365" w:rsidRPr="00152A20">
        <w:rPr>
          <w:i/>
          <w:sz w:val="20"/>
          <w:szCs w:val="20"/>
          <w:lang w:val="en-GB"/>
        </w:rPr>
        <w:t xml:space="preserve">ussian </w:t>
      </w:r>
      <w:r w:rsidRPr="00152A20">
        <w:rPr>
          <w:i/>
          <w:sz w:val="20"/>
          <w:szCs w:val="20"/>
          <w:lang w:val="en-GB"/>
        </w:rPr>
        <w:t>F</w:t>
      </w:r>
      <w:r w:rsidR="00983365" w:rsidRPr="00152A20">
        <w:rPr>
          <w:i/>
          <w:sz w:val="20"/>
          <w:szCs w:val="20"/>
          <w:lang w:val="en-GB"/>
        </w:rPr>
        <w:t>ederation</w:t>
      </w:r>
      <w:r w:rsidRPr="00152A20">
        <w:rPr>
          <w:i/>
          <w:sz w:val="20"/>
          <w:szCs w:val="20"/>
          <w:lang w:val="en-GB"/>
        </w:rPr>
        <w:t xml:space="preserve"> 2006; for 2000-2010</w:t>
      </w:r>
      <w:r w:rsidR="00E43BE4">
        <w:rPr>
          <w:i/>
          <w:sz w:val="20"/>
          <w:szCs w:val="20"/>
          <w:lang w:val="en-GB"/>
        </w:rPr>
        <w:t xml:space="preserve">, </w:t>
      </w:r>
      <w:r w:rsidRPr="00152A20">
        <w:rPr>
          <w:i/>
          <w:sz w:val="20"/>
          <w:szCs w:val="20"/>
          <w:lang w:val="en-GB"/>
        </w:rPr>
        <w:t xml:space="preserve"> Education in the R</w:t>
      </w:r>
      <w:r w:rsidR="00983365" w:rsidRPr="00152A20">
        <w:rPr>
          <w:i/>
          <w:sz w:val="20"/>
          <w:szCs w:val="20"/>
          <w:lang w:val="en-GB"/>
        </w:rPr>
        <w:t xml:space="preserve">ussian </w:t>
      </w:r>
      <w:r w:rsidRPr="00152A20">
        <w:rPr>
          <w:i/>
          <w:sz w:val="20"/>
          <w:szCs w:val="20"/>
          <w:lang w:val="en-GB"/>
        </w:rPr>
        <w:t>F</w:t>
      </w:r>
      <w:r w:rsidR="00983365" w:rsidRPr="00152A20">
        <w:rPr>
          <w:i/>
          <w:sz w:val="20"/>
          <w:szCs w:val="20"/>
          <w:lang w:val="en-GB"/>
        </w:rPr>
        <w:t>ederation</w:t>
      </w:r>
      <w:r w:rsidRPr="00152A20">
        <w:rPr>
          <w:i/>
          <w:sz w:val="20"/>
          <w:szCs w:val="20"/>
          <w:lang w:val="en-GB"/>
        </w:rPr>
        <w:t xml:space="preserve"> 2012; after 2010</w:t>
      </w:r>
      <w:r w:rsidR="00E43BE4">
        <w:rPr>
          <w:i/>
          <w:sz w:val="20"/>
          <w:szCs w:val="20"/>
          <w:lang w:val="en-GB"/>
        </w:rPr>
        <w:t xml:space="preserve">, </w:t>
      </w:r>
      <w:r w:rsidR="00983365" w:rsidRPr="00152A20">
        <w:rPr>
          <w:i/>
          <w:sz w:val="20"/>
          <w:szCs w:val="20"/>
          <w:lang w:val="en-GB"/>
        </w:rPr>
        <w:t>Federal State Statistics Service</w:t>
      </w:r>
      <w:r w:rsidR="00983365" w:rsidRPr="00152A20">
        <w:rPr>
          <w:lang w:val="en-GB"/>
        </w:rPr>
        <w:t xml:space="preserve"> </w:t>
      </w:r>
      <w:r w:rsidR="00983365" w:rsidRPr="00152A20">
        <w:rPr>
          <w:i/>
          <w:sz w:val="20"/>
          <w:szCs w:val="20"/>
          <w:lang w:val="en-GB"/>
        </w:rPr>
        <w:t>2015</w:t>
      </w:r>
      <w:r w:rsidR="00E43BE4">
        <w:rPr>
          <w:i/>
          <w:sz w:val="20"/>
          <w:szCs w:val="20"/>
          <w:lang w:val="en-GB"/>
        </w:rPr>
        <w:t>.</w:t>
      </w:r>
    </w:p>
    <w:p w14:paraId="38946F46" w14:textId="5B36FCF9" w:rsidR="00037D5F" w:rsidRPr="00152A20" w:rsidRDefault="008E5AA1">
      <w:pPr>
        <w:spacing w:before="200"/>
        <w:rPr>
          <w:lang w:val="en-GB"/>
        </w:rPr>
      </w:pPr>
      <w:r w:rsidRPr="00152A20">
        <w:rPr>
          <w:lang w:val="en-GB"/>
        </w:rPr>
        <w:lastRenderedPageBreak/>
        <w:t xml:space="preserve">Most of </w:t>
      </w:r>
      <w:r w:rsidR="005731AD" w:rsidRPr="00152A20">
        <w:rPr>
          <w:lang w:val="en-GB"/>
        </w:rPr>
        <w:t xml:space="preserve">the </w:t>
      </w:r>
      <w:r w:rsidR="00645DFB" w:rsidRPr="00152A20">
        <w:rPr>
          <w:lang w:val="en-GB"/>
        </w:rPr>
        <w:t xml:space="preserve">higher education </w:t>
      </w:r>
      <w:r w:rsidRPr="00152A20">
        <w:rPr>
          <w:lang w:val="en-GB"/>
        </w:rPr>
        <w:t xml:space="preserve">private sector </w:t>
      </w:r>
      <w:r w:rsidR="00645DFB">
        <w:rPr>
          <w:lang w:val="en-GB"/>
        </w:rPr>
        <w:t xml:space="preserve">is </w:t>
      </w:r>
      <w:r w:rsidRPr="00152A20">
        <w:rPr>
          <w:lang w:val="en-GB"/>
        </w:rPr>
        <w:t xml:space="preserve">oriented </w:t>
      </w:r>
      <w:r w:rsidR="005731AD" w:rsidRPr="00152A20">
        <w:rPr>
          <w:lang w:val="en-GB"/>
        </w:rPr>
        <w:t xml:space="preserve">towards providing </w:t>
      </w:r>
      <w:r w:rsidRPr="00152A20">
        <w:rPr>
          <w:lang w:val="en-GB"/>
        </w:rPr>
        <w:t>popular program</w:t>
      </w:r>
      <w:r w:rsidR="005731AD" w:rsidRPr="00152A20">
        <w:rPr>
          <w:lang w:val="en-GB"/>
        </w:rPr>
        <w:t>me</w:t>
      </w:r>
      <w:r w:rsidRPr="00152A20">
        <w:rPr>
          <w:lang w:val="en-GB"/>
        </w:rPr>
        <w:t>s (e.g. economics, law</w:t>
      </w:r>
      <w:r w:rsidR="005731AD" w:rsidRPr="00152A20">
        <w:rPr>
          <w:lang w:val="en-GB"/>
        </w:rPr>
        <w:t xml:space="preserve"> and</w:t>
      </w:r>
      <w:r w:rsidRPr="00152A20">
        <w:rPr>
          <w:lang w:val="en-GB"/>
        </w:rPr>
        <w:t xml:space="preserve"> management). </w:t>
      </w:r>
      <w:r w:rsidR="005731AD" w:rsidRPr="00152A20">
        <w:rPr>
          <w:lang w:val="en-GB"/>
        </w:rPr>
        <w:t>The g</w:t>
      </w:r>
      <w:r w:rsidRPr="00152A20">
        <w:rPr>
          <w:lang w:val="en-GB"/>
        </w:rPr>
        <w:t xml:space="preserve">overnment </w:t>
      </w:r>
      <w:r w:rsidR="00645DFB">
        <w:rPr>
          <w:lang w:val="en-GB"/>
        </w:rPr>
        <w:t>made s</w:t>
      </w:r>
      <w:r w:rsidRPr="00152A20">
        <w:rPr>
          <w:lang w:val="en-GB"/>
        </w:rPr>
        <w:t xml:space="preserve">everal attempts to restrain </w:t>
      </w:r>
      <w:r w:rsidR="005731AD" w:rsidRPr="00152A20">
        <w:rPr>
          <w:lang w:val="en-GB"/>
        </w:rPr>
        <w:t xml:space="preserve">the </w:t>
      </w:r>
      <w:r w:rsidRPr="00152A20">
        <w:rPr>
          <w:lang w:val="en-GB"/>
        </w:rPr>
        <w:t xml:space="preserve">growing supply, including quotas for privately funded places in public HEIs in 1996, </w:t>
      </w:r>
      <w:r w:rsidR="00645DFB">
        <w:rPr>
          <w:lang w:val="en-GB"/>
        </w:rPr>
        <w:t xml:space="preserve">but </w:t>
      </w:r>
      <w:r w:rsidRPr="00152A20">
        <w:rPr>
          <w:lang w:val="en-GB"/>
        </w:rPr>
        <w:t xml:space="preserve">the quota was abolished </w:t>
      </w:r>
      <w:r w:rsidRPr="00152A20">
        <w:rPr>
          <w:shd w:val="clear" w:color="auto" w:fill="FFE599"/>
          <w:lang w:val="en-GB"/>
        </w:rPr>
        <w:t>(</w:t>
      </w:r>
      <w:proofErr w:type="spellStart"/>
      <w:r w:rsidRPr="00152A20">
        <w:rPr>
          <w:shd w:val="clear" w:color="auto" w:fill="FFE599"/>
          <w:lang w:val="en-GB"/>
        </w:rPr>
        <w:t>Klyachko</w:t>
      </w:r>
      <w:proofErr w:type="spellEnd"/>
      <w:r w:rsidRPr="00152A20">
        <w:rPr>
          <w:shd w:val="clear" w:color="auto" w:fill="FFE599"/>
          <w:lang w:val="en-GB"/>
        </w:rPr>
        <w:t xml:space="preserve"> et al. 2002, 17).</w:t>
      </w:r>
      <w:r w:rsidRPr="00152A20">
        <w:rPr>
          <w:shd w:val="clear" w:color="auto" w:fill="FF9900"/>
          <w:lang w:val="en-GB"/>
        </w:rPr>
        <w:t xml:space="preserve"> </w:t>
      </w:r>
    </w:p>
    <w:p w14:paraId="317D9298" w14:textId="40E99B11" w:rsidR="00037D5F" w:rsidRPr="00152A20" w:rsidRDefault="008E5AA1">
      <w:pPr>
        <w:spacing w:before="200"/>
        <w:rPr>
          <w:lang w:val="en-GB"/>
        </w:rPr>
      </w:pPr>
      <w:r w:rsidRPr="00152A20">
        <w:rPr>
          <w:lang w:val="en-GB"/>
        </w:rPr>
        <w:t xml:space="preserve">The explicit </w:t>
      </w:r>
      <w:r w:rsidR="00645DFB" w:rsidRPr="00152A20">
        <w:rPr>
          <w:lang w:val="en-GB"/>
        </w:rPr>
        <w:t xml:space="preserve">higher education </w:t>
      </w:r>
      <w:r w:rsidRPr="00152A20">
        <w:rPr>
          <w:lang w:val="en-GB"/>
        </w:rPr>
        <w:t>financial policy was</w:t>
      </w:r>
      <w:r w:rsidR="00645DFB">
        <w:rPr>
          <w:lang w:val="en-GB"/>
        </w:rPr>
        <w:t xml:space="preserve"> thus</w:t>
      </w:r>
      <w:r w:rsidRPr="00152A20">
        <w:rPr>
          <w:lang w:val="en-GB"/>
        </w:rPr>
        <w:t xml:space="preserve"> cost-sharing that took </w:t>
      </w:r>
      <w:r w:rsidR="005731AD" w:rsidRPr="00152A20">
        <w:rPr>
          <w:lang w:val="en-GB"/>
        </w:rPr>
        <w:t>the</w:t>
      </w:r>
      <w:r w:rsidRPr="00152A20">
        <w:rPr>
          <w:lang w:val="en-GB"/>
        </w:rPr>
        <w:t xml:space="preserve"> form of </w:t>
      </w:r>
      <w:r w:rsidR="005731AD" w:rsidRPr="00152A20">
        <w:rPr>
          <w:lang w:val="en-GB"/>
        </w:rPr>
        <w:t xml:space="preserve">a </w:t>
      </w:r>
      <w:r w:rsidRPr="00152A20">
        <w:rPr>
          <w:lang w:val="en-GB"/>
        </w:rPr>
        <w:t xml:space="preserve">double tuition fee track system. Students with high exam scores almost automatically get free access to a public HEI, whereas students with lower grades can </w:t>
      </w:r>
      <w:r w:rsidR="005731AD" w:rsidRPr="00152A20">
        <w:rPr>
          <w:lang w:val="en-GB"/>
        </w:rPr>
        <w:t>register for</w:t>
      </w:r>
      <w:r w:rsidRPr="00152A20">
        <w:rPr>
          <w:lang w:val="en-GB"/>
        </w:rPr>
        <w:t xml:space="preserve"> </w:t>
      </w:r>
      <w:r w:rsidR="005731AD" w:rsidRPr="00152A20">
        <w:rPr>
          <w:lang w:val="en-GB"/>
        </w:rPr>
        <w:t xml:space="preserve">a </w:t>
      </w:r>
      <w:r w:rsidRPr="00152A20">
        <w:rPr>
          <w:lang w:val="en-GB"/>
        </w:rPr>
        <w:t xml:space="preserve">tuition fee track. The support </w:t>
      </w:r>
      <w:r w:rsidR="003A23CF" w:rsidRPr="00152A20">
        <w:rPr>
          <w:lang w:val="en-GB"/>
        </w:rPr>
        <w:t>for</w:t>
      </w:r>
      <w:r w:rsidRPr="00152A20">
        <w:rPr>
          <w:lang w:val="en-GB"/>
        </w:rPr>
        <w:t xml:space="preserve"> regularly admitted students at public HEIs ha</w:t>
      </w:r>
      <w:r w:rsidR="003A23CF" w:rsidRPr="00152A20">
        <w:rPr>
          <w:lang w:val="en-GB"/>
        </w:rPr>
        <w:t>s</w:t>
      </w:r>
      <w:r w:rsidRPr="00152A20">
        <w:rPr>
          <w:lang w:val="en-GB"/>
        </w:rPr>
        <w:t xml:space="preserve"> not changed since Soviet times, </w:t>
      </w:r>
      <w:r w:rsidR="00645DFB">
        <w:rPr>
          <w:lang w:val="en-GB"/>
        </w:rPr>
        <w:t xml:space="preserve">and </w:t>
      </w:r>
      <w:r w:rsidRPr="00152A20">
        <w:rPr>
          <w:lang w:val="en-GB"/>
        </w:rPr>
        <w:t xml:space="preserve">is implemented through </w:t>
      </w:r>
      <w:r w:rsidR="003A23CF" w:rsidRPr="00152A20">
        <w:rPr>
          <w:lang w:val="en-GB"/>
        </w:rPr>
        <w:t xml:space="preserve">the </w:t>
      </w:r>
      <w:r w:rsidRPr="00152A20">
        <w:rPr>
          <w:lang w:val="en-GB"/>
        </w:rPr>
        <w:t xml:space="preserve">dispersion of state-funded slots to HEIs. In the mid-2000s, there was an attempt to introduce </w:t>
      </w:r>
      <w:r w:rsidR="003A23CF" w:rsidRPr="00152A20">
        <w:rPr>
          <w:lang w:val="en-GB"/>
        </w:rPr>
        <w:t xml:space="preserve">a </w:t>
      </w:r>
      <w:r w:rsidRPr="00152A20">
        <w:rPr>
          <w:lang w:val="en-GB"/>
        </w:rPr>
        <w:t>student</w:t>
      </w:r>
      <w:r w:rsidR="003A23CF" w:rsidRPr="00152A20">
        <w:rPr>
          <w:lang w:val="en-GB"/>
        </w:rPr>
        <w:t xml:space="preserve"> </w:t>
      </w:r>
      <w:r w:rsidRPr="00152A20">
        <w:rPr>
          <w:lang w:val="en-GB"/>
        </w:rPr>
        <w:t>grant system</w:t>
      </w:r>
      <w:r w:rsidR="00645DFB">
        <w:rPr>
          <w:lang w:val="en-GB"/>
        </w:rPr>
        <w:t>;</w:t>
      </w:r>
      <w:r w:rsidRPr="00152A20">
        <w:rPr>
          <w:lang w:val="en-GB"/>
        </w:rPr>
        <w:t xml:space="preserve"> however</w:t>
      </w:r>
      <w:r w:rsidR="00645DFB">
        <w:rPr>
          <w:lang w:val="en-GB"/>
        </w:rPr>
        <w:t>,</w:t>
      </w:r>
      <w:r w:rsidRPr="00152A20">
        <w:rPr>
          <w:lang w:val="en-GB"/>
        </w:rPr>
        <w:t xml:space="preserve"> it faced </w:t>
      </w:r>
      <w:r w:rsidR="003A23CF" w:rsidRPr="00152A20">
        <w:rPr>
          <w:lang w:val="en-GB"/>
        </w:rPr>
        <w:t>opposition</w:t>
      </w:r>
      <w:r w:rsidRPr="00152A20">
        <w:rPr>
          <w:lang w:val="en-GB"/>
        </w:rPr>
        <w:t xml:space="preserve"> from academics and society in general (</w:t>
      </w:r>
      <w:proofErr w:type="spellStart"/>
      <w:r w:rsidRPr="00152A20">
        <w:rPr>
          <w:shd w:val="clear" w:color="auto" w:fill="FFF5BF"/>
          <w:lang w:val="en-GB"/>
        </w:rPr>
        <w:t>Zaretskaya</w:t>
      </w:r>
      <w:proofErr w:type="spellEnd"/>
      <w:r w:rsidRPr="00152A20">
        <w:rPr>
          <w:shd w:val="clear" w:color="auto" w:fill="FFF5BF"/>
          <w:lang w:val="en-GB"/>
        </w:rPr>
        <w:t xml:space="preserve"> and </w:t>
      </w:r>
      <w:proofErr w:type="spellStart"/>
      <w:r w:rsidRPr="00152A20">
        <w:rPr>
          <w:shd w:val="clear" w:color="auto" w:fill="FFF5BF"/>
          <w:lang w:val="en-GB"/>
        </w:rPr>
        <w:t>Kapranova</w:t>
      </w:r>
      <w:proofErr w:type="spellEnd"/>
      <w:r w:rsidRPr="00152A20">
        <w:rPr>
          <w:shd w:val="clear" w:color="auto" w:fill="FFF5BF"/>
          <w:lang w:val="en-GB"/>
        </w:rPr>
        <w:t xml:space="preserve"> 2003</w:t>
      </w:r>
      <w:r w:rsidRPr="00152A20">
        <w:rPr>
          <w:lang w:val="en-GB"/>
        </w:rPr>
        <w:t xml:space="preserve">). </w:t>
      </w:r>
    </w:p>
    <w:p w14:paraId="396D939B" w14:textId="4EBCB3F1" w:rsidR="00037D5F" w:rsidRPr="00152A20" w:rsidRDefault="003A23CF">
      <w:pPr>
        <w:spacing w:before="200"/>
        <w:rPr>
          <w:lang w:val="en-GB"/>
        </w:rPr>
      </w:pPr>
      <w:r w:rsidRPr="00152A20">
        <w:rPr>
          <w:lang w:val="en-GB"/>
        </w:rPr>
        <w:t>The l</w:t>
      </w:r>
      <w:r w:rsidR="008E5AA1" w:rsidRPr="00152A20">
        <w:rPr>
          <w:lang w:val="en-GB"/>
        </w:rPr>
        <w:t>ingering economic cris</w:t>
      </w:r>
      <w:r w:rsidRPr="00152A20">
        <w:rPr>
          <w:lang w:val="en-GB"/>
        </w:rPr>
        <w:t>i</w:t>
      </w:r>
      <w:r w:rsidR="008E5AA1" w:rsidRPr="00152A20">
        <w:rPr>
          <w:lang w:val="en-GB"/>
        </w:rPr>
        <w:t>s partially determined the financial policy direction</w:t>
      </w:r>
      <w:r w:rsidRPr="00152A20">
        <w:rPr>
          <w:lang w:val="en-GB"/>
        </w:rPr>
        <w:t>s</w:t>
      </w:r>
      <w:r w:rsidR="008E5AA1" w:rsidRPr="00152A20">
        <w:rPr>
          <w:lang w:val="en-GB"/>
        </w:rPr>
        <w:t xml:space="preserve"> during the first decade</w:t>
      </w:r>
      <w:r w:rsidRPr="00152A20">
        <w:rPr>
          <w:lang w:val="en-GB"/>
        </w:rPr>
        <w:t xml:space="preserve"> of independence</w:t>
      </w:r>
      <w:r w:rsidR="008E5AA1" w:rsidRPr="00152A20">
        <w:rPr>
          <w:lang w:val="en-GB"/>
        </w:rPr>
        <w:t>. By 1998</w:t>
      </w:r>
      <w:r w:rsidRPr="00152A20">
        <w:rPr>
          <w:lang w:val="en-GB"/>
        </w:rPr>
        <w:t xml:space="preserve">, the funding allocated per </w:t>
      </w:r>
      <w:r w:rsidR="008E5AA1" w:rsidRPr="00152A20">
        <w:rPr>
          <w:lang w:val="en-GB"/>
        </w:rPr>
        <w:t>student decreased by 70% compa</w:t>
      </w:r>
      <w:r w:rsidR="00645DFB">
        <w:rPr>
          <w:lang w:val="en-GB"/>
        </w:rPr>
        <w:t>red</w:t>
      </w:r>
      <w:r w:rsidR="008E5AA1" w:rsidRPr="00152A20">
        <w:rPr>
          <w:lang w:val="en-GB"/>
        </w:rPr>
        <w:t xml:space="preserve"> with the end of </w:t>
      </w:r>
      <w:r w:rsidR="005731AD" w:rsidRPr="00152A20">
        <w:rPr>
          <w:lang w:val="en-GB"/>
        </w:rPr>
        <w:t>the 19</w:t>
      </w:r>
      <w:r w:rsidR="008E5AA1" w:rsidRPr="00152A20">
        <w:rPr>
          <w:lang w:val="en-GB"/>
        </w:rPr>
        <w:t>80s (</w:t>
      </w:r>
      <w:proofErr w:type="spellStart"/>
      <w:r w:rsidR="008E5AA1" w:rsidRPr="00152A20">
        <w:rPr>
          <w:shd w:val="clear" w:color="auto" w:fill="FFF5BF"/>
          <w:lang w:val="en-GB"/>
        </w:rPr>
        <w:t>Klyachko</w:t>
      </w:r>
      <w:proofErr w:type="spellEnd"/>
      <w:r w:rsidR="008E5AA1" w:rsidRPr="00152A20">
        <w:rPr>
          <w:shd w:val="clear" w:color="auto" w:fill="FFF5BF"/>
          <w:lang w:val="en-GB"/>
        </w:rPr>
        <w:t xml:space="preserve"> and </w:t>
      </w:r>
      <w:proofErr w:type="spellStart"/>
      <w:r w:rsidR="008E5AA1" w:rsidRPr="00152A20">
        <w:rPr>
          <w:shd w:val="clear" w:color="auto" w:fill="FFF5BF"/>
          <w:lang w:val="en-GB"/>
        </w:rPr>
        <w:t>Rojdestvenskaya</w:t>
      </w:r>
      <w:proofErr w:type="spellEnd"/>
      <w:r w:rsidR="008E5AA1" w:rsidRPr="00152A20">
        <w:rPr>
          <w:shd w:val="clear" w:color="auto" w:fill="FFF5BF"/>
          <w:lang w:val="en-GB"/>
        </w:rPr>
        <w:t xml:space="preserve"> 1999, 4</w:t>
      </w:r>
      <w:r w:rsidR="008E5AA1" w:rsidRPr="00152A20">
        <w:rPr>
          <w:lang w:val="en-GB"/>
        </w:rPr>
        <w:t xml:space="preserve">). </w:t>
      </w:r>
      <w:r w:rsidR="008E5AA1" w:rsidRPr="00152A20">
        <w:rPr>
          <w:shd w:val="clear" w:color="auto" w:fill="FFF5BF"/>
          <w:lang w:val="en-GB"/>
        </w:rPr>
        <w:t>Figure 5</w:t>
      </w:r>
      <w:r w:rsidR="008E5AA1" w:rsidRPr="00152A20">
        <w:rPr>
          <w:lang w:val="en-GB"/>
        </w:rPr>
        <w:t xml:space="preserve"> shows the gap in HE funding during </w:t>
      </w:r>
      <w:r w:rsidR="00645DFB">
        <w:rPr>
          <w:lang w:val="en-GB"/>
        </w:rPr>
        <w:t xml:space="preserve">the </w:t>
      </w:r>
      <w:r w:rsidR="008E5AA1" w:rsidRPr="00152A20">
        <w:rPr>
          <w:lang w:val="en-GB"/>
        </w:rPr>
        <w:t xml:space="preserve">late </w:t>
      </w:r>
      <w:r w:rsidRPr="00152A20">
        <w:rPr>
          <w:lang w:val="en-GB"/>
        </w:rPr>
        <w:t>19</w:t>
      </w:r>
      <w:r w:rsidR="008E5AA1" w:rsidRPr="00152A20">
        <w:rPr>
          <w:lang w:val="en-GB"/>
        </w:rPr>
        <w:t>90s. Compar</w:t>
      </w:r>
      <w:r w:rsidR="00645DFB">
        <w:rPr>
          <w:lang w:val="en-GB"/>
        </w:rPr>
        <w:t>ed</w:t>
      </w:r>
      <w:r w:rsidR="008E5AA1" w:rsidRPr="00152A20">
        <w:rPr>
          <w:lang w:val="en-GB"/>
        </w:rPr>
        <w:t xml:space="preserve"> with Soviet Russia, the importance of HE in public expenditure on education dropped from 17% in 1987 to less than 10% in 1995-1999. </w:t>
      </w:r>
    </w:p>
    <w:p w14:paraId="3BC4789A" w14:textId="69E17487" w:rsidR="00037D5F" w:rsidRPr="00152A20" w:rsidRDefault="008E5AA1">
      <w:pPr>
        <w:spacing w:before="200"/>
        <w:rPr>
          <w:lang w:val="en-GB"/>
        </w:rPr>
      </w:pPr>
      <w:r w:rsidRPr="00152A20">
        <w:rPr>
          <w:lang w:val="en-GB"/>
        </w:rPr>
        <w:t>Public resources</w:t>
      </w:r>
      <w:r w:rsidR="003A23CF" w:rsidRPr="00152A20">
        <w:rPr>
          <w:lang w:val="en-GB"/>
        </w:rPr>
        <w:t>, or lack thereof,</w:t>
      </w:r>
      <w:r w:rsidRPr="00152A20">
        <w:rPr>
          <w:lang w:val="en-GB"/>
        </w:rPr>
        <w:t xml:space="preserve"> </w:t>
      </w:r>
      <w:r w:rsidR="003A23CF" w:rsidRPr="00152A20">
        <w:rPr>
          <w:lang w:val="en-GB"/>
        </w:rPr>
        <w:t xml:space="preserve">affected the operation of </w:t>
      </w:r>
      <w:r w:rsidRPr="00152A20">
        <w:rPr>
          <w:lang w:val="en-GB"/>
        </w:rPr>
        <w:t xml:space="preserve">HEIs. Most </w:t>
      </w:r>
      <w:r w:rsidR="003A23CF" w:rsidRPr="00152A20">
        <w:rPr>
          <w:lang w:val="en-GB"/>
        </w:rPr>
        <w:t>HEIs</w:t>
      </w:r>
      <w:r w:rsidRPr="00152A20">
        <w:rPr>
          <w:lang w:val="en-GB"/>
        </w:rPr>
        <w:t xml:space="preserve"> accumulated bad debts due to</w:t>
      </w:r>
      <w:r w:rsidR="003A23CF" w:rsidRPr="00152A20">
        <w:rPr>
          <w:lang w:val="en-GB"/>
        </w:rPr>
        <w:t xml:space="preserve"> </w:t>
      </w:r>
      <w:r w:rsidRPr="00152A20">
        <w:rPr>
          <w:lang w:val="en-GB"/>
        </w:rPr>
        <w:t xml:space="preserve">inability to pay for utilities. </w:t>
      </w:r>
      <w:r w:rsidR="00645DFB">
        <w:rPr>
          <w:lang w:val="en-GB"/>
        </w:rPr>
        <w:t>F</w:t>
      </w:r>
      <w:r w:rsidRPr="00152A20">
        <w:rPr>
          <w:lang w:val="en-GB"/>
        </w:rPr>
        <w:t>inancial distress and new legal abilities</w:t>
      </w:r>
      <w:r w:rsidR="00645DFB">
        <w:rPr>
          <w:lang w:val="en-GB"/>
        </w:rPr>
        <w:t xml:space="preserve"> provided a catalyst for</w:t>
      </w:r>
      <w:r w:rsidRPr="00152A20">
        <w:rPr>
          <w:lang w:val="en-GB"/>
        </w:rPr>
        <w:t xml:space="preserve"> active fundraising through </w:t>
      </w:r>
      <w:r w:rsidR="00645DFB">
        <w:rPr>
          <w:lang w:val="en-GB"/>
        </w:rPr>
        <w:t xml:space="preserve">the creation of </w:t>
      </w:r>
      <w:r w:rsidRPr="00152A20">
        <w:rPr>
          <w:lang w:val="en-GB"/>
        </w:rPr>
        <w:t xml:space="preserve">fee-paying slots and </w:t>
      </w:r>
      <w:r w:rsidR="003A23CF" w:rsidRPr="00152A20">
        <w:rPr>
          <w:lang w:val="en-GB"/>
        </w:rPr>
        <w:t xml:space="preserve">the </w:t>
      </w:r>
      <w:r w:rsidRPr="00152A20">
        <w:rPr>
          <w:lang w:val="en-GB"/>
        </w:rPr>
        <w:t>leas</w:t>
      </w:r>
      <w:r w:rsidR="00645DFB">
        <w:rPr>
          <w:lang w:val="en-GB"/>
        </w:rPr>
        <w:t>ing</w:t>
      </w:r>
      <w:r w:rsidR="003A23CF" w:rsidRPr="00152A20">
        <w:rPr>
          <w:lang w:val="en-GB"/>
        </w:rPr>
        <w:t xml:space="preserve"> </w:t>
      </w:r>
      <w:r w:rsidRPr="00152A20">
        <w:rPr>
          <w:lang w:val="en-GB"/>
        </w:rPr>
        <w:t>of facilities</w:t>
      </w:r>
      <w:r w:rsidRPr="00152A20">
        <w:rPr>
          <w:shd w:val="clear" w:color="auto" w:fill="FFE599"/>
          <w:lang w:val="en-GB"/>
        </w:rPr>
        <w:t xml:space="preserve"> (</w:t>
      </w:r>
      <w:proofErr w:type="spellStart"/>
      <w:r w:rsidRPr="00152A20">
        <w:rPr>
          <w:shd w:val="clear" w:color="auto" w:fill="FFE599"/>
          <w:lang w:val="en-GB"/>
        </w:rPr>
        <w:t>Klyachko</w:t>
      </w:r>
      <w:proofErr w:type="spellEnd"/>
      <w:r w:rsidRPr="00152A20">
        <w:rPr>
          <w:shd w:val="clear" w:color="auto" w:fill="FFE599"/>
          <w:lang w:val="en-GB"/>
        </w:rPr>
        <w:t xml:space="preserve"> and </w:t>
      </w:r>
      <w:proofErr w:type="spellStart"/>
      <w:r w:rsidRPr="00152A20">
        <w:rPr>
          <w:shd w:val="clear" w:color="auto" w:fill="FFE599"/>
          <w:lang w:val="en-GB"/>
        </w:rPr>
        <w:t>Rojdestvenskaya</w:t>
      </w:r>
      <w:proofErr w:type="spellEnd"/>
      <w:r w:rsidRPr="00152A20">
        <w:rPr>
          <w:shd w:val="clear" w:color="auto" w:fill="FFE599"/>
          <w:lang w:val="en-GB"/>
        </w:rPr>
        <w:t xml:space="preserve"> 1999).</w:t>
      </w:r>
      <w:r w:rsidRPr="00152A20">
        <w:rPr>
          <w:rFonts w:ascii="Times New Roman" w:eastAsia="Times New Roman" w:hAnsi="Times New Roman" w:cs="Times New Roman"/>
          <w:highlight w:val="red"/>
          <w:lang w:val="en-GB"/>
        </w:rPr>
        <w:t xml:space="preserve"> </w:t>
      </w:r>
    </w:p>
    <w:p w14:paraId="7B5376DF" w14:textId="6CF47FC5" w:rsidR="00037D5F" w:rsidRPr="00152A20" w:rsidRDefault="008E5AA1">
      <w:pPr>
        <w:rPr>
          <w:lang w:val="en-GB"/>
        </w:rPr>
      </w:pPr>
      <w:r w:rsidRPr="00152A20">
        <w:rPr>
          <w:lang w:val="en-GB"/>
        </w:rPr>
        <w:t>From the beginning of 2000, government policy was focus</w:t>
      </w:r>
      <w:r w:rsidR="008B094B">
        <w:rPr>
          <w:lang w:val="en-GB"/>
        </w:rPr>
        <w:t>sed</w:t>
      </w:r>
      <w:r w:rsidRPr="00152A20">
        <w:rPr>
          <w:lang w:val="en-GB"/>
        </w:rPr>
        <w:t xml:space="preserve"> on education as </w:t>
      </w:r>
      <w:r w:rsidR="008B094B">
        <w:rPr>
          <w:lang w:val="en-GB"/>
        </w:rPr>
        <w:t xml:space="preserve">a </w:t>
      </w:r>
      <w:r w:rsidRPr="00152A20">
        <w:rPr>
          <w:lang w:val="en-GB"/>
        </w:rPr>
        <w:t xml:space="preserve">priority </w:t>
      </w:r>
      <w:r w:rsidRPr="00152A20">
        <w:rPr>
          <w:shd w:val="clear" w:color="auto" w:fill="FFF5BF"/>
          <w:lang w:val="en-GB"/>
        </w:rPr>
        <w:t>(Johnson 2008)</w:t>
      </w:r>
      <w:r w:rsidRPr="00152A20">
        <w:rPr>
          <w:lang w:val="en-GB"/>
        </w:rPr>
        <w:t xml:space="preserve">. </w:t>
      </w:r>
      <w:r w:rsidR="003A23CF" w:rsidRPr="00152A20">
        <w:rPr>
          <w:lang w:val="en-GB"/>
        </w:rPr>
        <w:t>The n</w:t>
      </w:r>
      <w:r w:rsidRPr="00152A20">
        <w:rPr>
          <w:lang w:val="en-GB"/>
        </w:rPr>
        <w:t xml:space="preserve">ew legal basis </w:t>
      </w:r>
      <w:r w:rsidR="003A23CF" w:rsidRPr="00152A20">
        <w:rPr>
          <w:lang w:val="en-GB"/>
        </w:rPr>
        <w:t>for the</w:t>
      </w:r>
      <w:r w:rsidRPr="00152A20">
        <w:rPr>
          <w:lang w:val="en-GB"/>
        </w:rPr>
        <w:t xml:space="preserve"> development of HE (e.g. National </w:t>
      </w:r>
      <w:r w:rsidR="003F05F9">
        <w:rPr>
          <w:lang w:val="en-GB"/>
        </w:rPr>
        <w:t>D</w:t>
      </w:r>
      <w:r w:rsidRPr="00152A20">
        <w:rPr>
          <w:lang w:val="en-GB"/>
        </w:rPr>
        <w:t xml:space="preserve">octrine for </w:t>
      </w:r>
      <w:r w:rsidR="003F05F9">
        <w:rPr>
          <w:lang w:val="en-GB"/>
        </w:rPr>
        <w:t>E</w:t>
      </w:r>
      <w:r w:rsidRPr="00152A20">
        <w:rPr>
          <w:lang w:val="en-GB"/>
        </w:rPr>
        <w:t>ducation</w:t>
      </w:r>
      <w:r w:rsidR="008B094B">
        <w:rPr>
          <w:lang w:val="en-GB"/>
        </w:rPr>
        <w:t xml:space="preserve">, </w:t>
      </w:r>
      <w:r w:rsidRPr="00152A20">
        <w:rPr>
          <w:lang w:val="en-GB"/>
        </w:rPr>
        <w:t>2000</w:t>
      </w:r>
      <w:r w:rsidR="008B094B">
        <w:rPr>
          <w:lang w:val="en-GB"/>
        </w:rPr>
        <w:t>;</w:t>
      </w:r>
      <w:r w:rsidRPr="00152A20">
        <w:rPr>
          <w:lang w:val="en-GB"/>
        </w:rPr>
        <w:t xml:space="preserve"> the Concept of </w:t>
      </w:r>
      <w:r w:rsidR="008B094B">
        <w:rPr>
          <w:lang w:val="en-GB"/>
        </w:rPr>
        <w:t>M</w:t>
      </w:r>
      <w:r w:rsidRPr="00152A20">
        <w:rPr>
          <w:lang w:val="en-GB"/>
        </w:rPr>
        <w:t>oderni</w:t>
      </w:r>
      <w:r w:rsidR="008B094B">
        <w:rPr>
          <w:lang w:val="en-GB"/>
        </w:rPr>
        <w:t>s</w:t>
      </w:r>
      <w:r w:rsidRPr="00152A20">
        <w:rPr>
          <w:lang w:val="en-GB"/>
        </w:rPr>
        <w:t xml:space="preserve">ation </w:t>
      </w:r>
      <w:r w:rsidR="008B094B">
        <w:rPr>
          <w:lang w:val="en-GB"/>
        </w:rPr>
        <w:t>for</w:t>
      </w:r>
      <w:r w:rsidRPr="00152A20">
        <w:rPr>
          <w:lang w:val="en-GB"/>
        </w:rPr>
        <w:t xml:space="preserve"> Russian </w:t>
      </w:r>
      <w:r w:rsidR="008B094B">
        <w:rPr>
          <w:lang w:val="en-GB"/>
        </w:rPr>
        <w:t>E</w:t>
      </w:r>
      <w:r w:rsidRPr="00152A20">
        <w:rPr>
          <w:lang w:val="en-GB"/>
        </w:rPr>
        <w:t>ducation</w:t>
      </w:r>
      <w:r w:rsidR="008B094B">
        <w:rPr>
          <w:lang w:val="en-GB"/>
        </w:rPr>
        <w:t xml:space="preserve">, </w:t>
      </w:r>
      <w:r w:rsidRPr="00152A20">
        <w:rPr>
          <w:lang w:val="en-GB"/>
        </w:rPr>
        <w:t>2001</w:t>
      </w:r>
      <w:r w:rsidR="008B094B">
        <w:rPr>
          <w:lang w:val="en-GB"/>
        </w:rPr>
        <w:t>;</w:t>
      </w:r>
      <w:r w:rsidRPr="00152A20">
        <w:rPr>
          <w:lang w:val="en-GB"/>
        </w:rPr>
        <w:t xml:space="preserve"> and the Federal </w:t>
      </w:r>
      <w:r w:rsidR="008B094B">
        <w:rPr>
          <w:lang w:val="en-GB"/>
        </w:rPr>
        <w:t>S</w:t>
      </w:r>
      <w:r w:rsidRPr="00152A20">
        <w:rPr>
          <w:lang w:val="en-GB"/>
        </w:rPr>
        <w:t xml:space="preserve">trategic </w:t>
      </w:r>
      <w:r w:rsidR="008B094B">
        <w:rPr>
          <w:lang w:val="en-GB"/>
        </w:rPr>
        <w:t>P</w:t>
      </w:r>
      <w:r w:rsidRPr="00152A20">
        <w:rPr>
          <w:lang w:val="en-GB"/>
        </w:rPr>
        <w:t>rogram</w:t>
      </w:r>
      <w:r w:rsidR="003A23CF" w:rsidRPr="00152A20">
        <w:rPr>
          <w:lang w:val="en-GB"/>
        </w:rPr>
        <w:t>me</w:t>
      </w:r>
      <w:r w:rsidRPr="00152A20">
        <w:rPr>
          <w:lang w:val="en-GB"/>
        </w:rPr>
        <w:t xml:space="preserve"> for the </w:t>
      </w:r>
      <w:r w:rsidR="008B094B">
        <w:rPr>
          <w:lang w:val="en-GB"/>
        </w:rPr>
        <w:t>D</w:t>
      </w:r>
      <w:r w:rsidRPr="00152A20">
        <w:rPr>
          <w:lang w:val="en-GB"/>
        </w:rPr>
        <w:t xml:space="preserve">evelopment of </w:t>
      </w:r>
      <w:r w:rsidR="008B094B">
        <w:rPr>
          <w:lang w:val="en-GB"/>
        </w:rPr>
        <w:t>E</w:t>
      </w:r>
      <w:r w:rsidRPr="00152A20">
        <w:rPr>
          <w:lang w:val="en-GB"/>
        </w:rPr>
        <w:t>ducation</w:t>
      </w:r>
      <w:r w:rsidR="008B094B">
        <w:rPr>
          <w:lang w:val="en-GB"/>
        </w:rPr>
        <w:t xml:space="preserve">, </w:t>
      </w:r>
      <w:r w:rsidRPr="00152A20">
        <w:rPr>
          <w:lang w:val="en-GB"/>
        </w:rPr>
        <w:t xml:space="preserve">2005) along with rapid economic growth enabled large-scale changes in </w:t>
      </w:r>
      <w:r w:rsidR="003A23CF" w:rsidRPr="00152A20">
        <w:rPr>
          <w:lang w:val="en-GB"/>
        </w:rPr>
        <w:t xml:space="preserve">the </w:t>
      </w:r>
      <w:r w:rsidRPr="00152A20">
        <w:rPr>
          <w:lang w:val="en-GB"/>
        </w:rPr>
        <w:t xml:space="preserve">design of </w:t>
      </w:r>
      <w:r w:rsidR="003A23CF" w:rsidRPr="00152A20">
        <w:rPr>
          <w:lang w:val="en-GB"/>
        </w:rPr>
        <w:t xml:space="preserve">the </w:t>
      </w:r>
      <w:r w:rsidRPr="00152A20">
        <w:rPr>
          <w:lang w:val="en-GB"/>
        </w:rPr>
        <w:t xml:space="preserve">HE system. </w:t>
      </w:r>
      <w:r w:rsidRPr="00152A20">
        <w:rPr>
          <w:highlight w:val="white"/>
          <w:lang w:val="en-GB"/>
        </w:rPr>
        <w:t>Firstly</w:t>
      </w:r>
      <w:r w:rsidRPr="00152A20">
        <w:rPr>
          <w:lang w:val="en-GB"/>
        </w:rPr>
        <w:t xml:space="preserve">, these circumstances conditioned substantial growth of public expenditure on HE </w:t>
      </w:r>
      <w:r w:rsidR="008B094B">
        <w:rPr>
          <w:lang w:val="en-GB"/>
        </w:rPr>
        <w:t xml:space="preserve">from </w:t>
      </w:r>
      <w:r w:rsidRPr="00152A20">
        <w:rPr>
          <w:lang w:val="en-GB"/>
        </w:rPr>
        <w:t>2000</w:t>
      </w:r>
      <w:r w:rsidR="008B094B">
        <w:rPr>
          <w:lang w:val="en-GB"/>
        </w:rPr>
        <w:t xml:space="preserve"> to </w:t>
      </w:r>
      <w:r w:rsidRPr="00152A20">
        <w:rPr>
          <w:lang w:val="en-GB"/>
        </w:rPr>
        <w:t xml:space="preserve">2010 (see </w:t>
      </w:r>
      <w:r w:rsidR="003378D8">
        <w:rPr>
          <w:shd w:val="clear" w:color="auto" w:fill="FFF5BF"/>
          <w:lang w:val="en-GB"/>
        </w:rPr>
        <w:t>F</w:t>
      </w:r>
      <w:r w:rsidRPr="00152A20">
        <w:rPr>
          <w:shd w:val="clear" w:color="auto" w:fill="FFF5BF"/>
          <w:lang w:val="en-GB"/>
        </w:rPr>
        <w:t>igure 5)</w:t>
      </w:r>
      <w:r w:rsidRPr="00152A20">
        <w:rPr>
          <w:lang w:val="en-GB"/>
        </w:rPr>
        <w:t xml:space="preserve">, </w:t>
      </w:r>
      <w:r w:rsidR="003A23CF" w:rsidRPr="00152A20">
        <w:rPr>
          <w:lang w:val="en-GB"/>
        </w:rPr>
        <w:t xml:space="preserve">although this share dropped </w:t>
      </w:r>
      <w:r w:rsidR="008B094B">
        <w:rPr>
          <w:lang w:val="en-GB"/>
        </w:rPr>
        <w:t xml:space="preserve">between </w:t>
      </w:r>
      <w:r w:rsidRPr="00152A20">
        <w:rPr>
          <w:lang w:val="en-GB"/>
        </w:rPr>
        <w:t>2009</w:t>
      </w:r>
      <w:r w:rsidR="008B094B">
        <w:rPr>
          <w:lang w:val="en-GB"/>
        </w:rPr>
        <w:t xml:space="preserve"> and </w:t>
      </w:r>
      <w:r w:rsidRPr="00152A20">
        <w:rPr>
          <w:lang w:val="en-GB"/>
        </w:rPr>
        <w:t xml:space="preserve">2014. </w:t>
      </w:r>
    </w:p>
    <w:p w14:paraId="4C043B6D" w14:textId="2F5D3B03" w:rsidR="00037D5F" w:rsidRPr="00152A20" w:rsidRDefault="008E5AA1">
      <w:pPr>
        <w:spacing w:before="200" w:line="276" w:lineRule="auto"/>
        <w:rPr>
          <w:lang w:val="en-GB"/>
        </w:rPr>
      </w:pPr>
      <w:r w:rsidRPr="00152A20">
        <w:rPr>
          <w:i/>
          <w:shd w:val="clear" w:color="auto" w:fill="FFF5BF"/>
          <w:lang w:val="en-GB"/>
        </w:rPr>
        <w:t>Figure 5</w:t>
      </w:r>
      <w:r w:rsidR="008B094B">
        <w:rPr>
          <w:i/>
          <w:shd w:val="clear" w:color="auto" w:fill="FFF5BF"/>
          <w:lang w:val="en-GB"/>
        </w:rPr>
        <w:t>.</w:t>
      </w:r>
      <w:r w:rsidRPr="00152A20">
        <w:rPr>
          <w:i/>
          <w:lang w:val="en-GB"/>
        </w:rPr>
        <w:t xml:space="preserve"> Public spending on higher education as </w:t>
      </w:r>
      <w:r w:rsidR="008B094B">
        <w:rPr>
          <w:i/>
          <w:lang w:val="en-GB"/>
        </w:rPr>
        <w:t xml:space="preserve">a </w:t>
      </w:r>
      <w:r w:rsidRPr="00152A20">
        <w:rPr>
          <w:i/>
          <w:lang w:val="en-GB"/>
        </w:rPr>
        <w:t xml:space="preserve">share of total public expenditure on education and public spending on education as </w:t>
      </w:r>
      <w:r w:rsidR="008B094B">
        <w:rPr>
          <w:i/>
          <w:lang w:val="en-GB"/>
        </w:rPr>
        <w:t xml:space="preserve">a </w:t>
      </w:r>
      <w:r w:rsidRPr="00152A20">
        <w:rPr>
          <w:i/>
          <w:lang w:val="en-GB"/>
        </w:rPr>
        <w:t xml:space="preserve">share of total public expenditure (per cent). </w:t>
      </w:r>
    </w:p>
    <w:p w14:paraId="5968AC86" w14:textId="2DEAE025" w:rsidR="00037D5F" w:rsidRPr="00152A20" w:rsidRDefault="00BF6FBE">
      <w:pPr>
        <w:spacing w:before="200" w:line="276" w:lineRule="auto"/>
        <w:jc w:val="center"/>
        <w:rPr>
          <w:lang w:val="en-GB"/>
        </w:rPr>
      </w:pPr>
      <w:r w:rsidRPr="00152A20">
        <w:rPr>
          <w:noProof/>
        </w:rPr>
        <w:lastRenderedPageBreak/>
        <w:drawing>
          <wp:inline distT="0" distB="0" distL="0" distR="0" wp14:anchorId="4D5024D0" wp14:editId="27C606DA">
            <wp:extent cx="6152515" cy="2867025"/>
            <wp:effectExtent l="0" t="0" r="19685" b="285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AF680C" w14:textId="1796E502" w:rsidR="00037D5F" w:rsidRPr="00152A20" w:rsidRDefault="008E5AA1">
      <w:pPr>
        <w:spacing w:before="200" w:line="276" w:lineRule="auto"/>
        <w:rPr>
          <w:lang w:val="en-GB"/>
        </w:rPr>
      </w:pPr>
      <w:r w:rsidRPr="00152A20">
        <w:rPr>
          <w:i/>
          <w:sz w:val="20"/>
          <w:szCs w:val="20"/>
          <w:lang w:val="en-GB"/>
        </w:rPr>
        <w:t>Source: Calculated by author</w:t>
      </w:r>
      <w:r w:rsidR="008B094B">
        <w:rPr>
          <w:i/>
          <w:sz w:val="20"/>
          <w:szCs w:val="20"/>
          <w:lang w:val="en-GB"/>
        </w:rPr>
        <w:t>s</w:t>
      </w:r>
      <w:r w:rsidRPr="00152A20">
        <w:rPr>
          <w:i/>
          <w:sz w:val="20"/>
          <w:szCs w:val="20"/>
          <w:lang w:val="en-GB"/>
        </w:rPr>
        <w:t>. Data for expenditure from: before 2003</w:t>
      </w:r>
      <w:r w:rsidR="008B094B">
        <w:rPr>
          <w:i/>
          <w:sz w:val="20"/>
          <w:szCs w:val="20"/>
          <w:lang w:val="en-GB"/>
        </w:rPr>
        <w:t xml:space="preserve">, </w:t>
      </w:r>
      <w:r w:rsidRPr="00152A20">
        <w:rPr>
          <w:i/>
          <w:sz w:val="20"/>
          <w:szCs w:val="20"/>
          <w:lang w:val="en-GB"/>
        </w:rPr>
        <w:t>Education in the R</w:t>
      </w:r>
      <w:r w:rsidR="003F424F" w:rsidRPr="00152A20">
        <w:rPr>
          <w:i/>
          <w:sz w:val="20"/>
          <w:szCs w:val="20"/>
          <w:lang w:val="en-GB"/>
        </w:rPr>
        <w:t xml:space="preserve">ussian </w:t>
      </w:r>
      <w:r w:rsidRPr="00152A20">
        <w:rPr>
          <w:i/>
          <w:sz w:val="20"/>
          <w:szCs w:val="20"/>
          <w:lang w:val="en-GB"/>
        </w:rPr>
        <w:t>F</w:t>
      </w:r>
      <w:r w:rsidR="003F424F" w:rsidRPr="00152A20">
        <w:rPr>
          <w:i/>
          <w:sz w:val="20"/>
          <w:szCs w:val="20"/>
          <w:lang w:val="en-GB"/>
        </w:rPr>
        <w:t>ederation</w:t>
      </w:r>
      <w:r w:rsidRPr="00152A20">
        <w:rPr>
          <w:i/>
          <w:sz w:val="20"/>
          <w:szCs w:val="20"/>
          <w:lang w:val="en-GB"/>
        </w:rPr>
        <w:t xml:space="preserve"> 2006; after 2003</w:t>
      </w:r>
      <w:r w:rsidR="008B094B">
        <w:rPr>
          <w:i/>
          <w:sz w:val="20"/>
          <w:szCs w:val="20"/>
          <w:lang w:val="en-GB"/>
        </w:rPr>
        <w:t xml:space="preserve">, </w:t>
      </w:r>
      <w:proofErr w:type="spellStart"/>
      <w:r w:rsidRPr="00152A20">
        <w:rPr>
          <w:i/>
          <w:sz w:val="20"/>
          <w:szCs w:val="20"/>
          <w:lang w:val="en-GB"/>
        </w:rPr>
        <w:t>Roskozna</w:t>
      </w:r>
      <w:proofErr w:type="spellEnd"/>
      <w:r w:rsidRPr="00152A20">
        <w:rPr>
          <w:i/>
          <w:sz w:val="20"/>
          <w:szCs w:val="20"/>
          <w:lang w:val="en-GB"/>
        </w:rPr>
        <w:t xml:space="preserve"> 2015; FSSS 2015</w:t>
      </w:r>
      <w:r w:rsidR="008B094B">
        <w:rPr>
          <w:i/>
          <w:sz w:val="20"/>
          <w:szCs w:val="20"/>
          <w:lang w:val="en-GB"/>
        </w:rPr>
        <w:t>.</w:t>
      </w:r>
      <w:hyperlink r:id="rId15"/>
    </w:p>
    <w:p w14:paraId="27376642" w14:textId="12DC2D4F" w:rsidR="00037D5F" w:rsidRPr="00152A20" w:rsidRDefault="008E5AA1">
      <w:pPr>
        <w:spacing w:before="200" w:line="276" w:lineRule="auto"/>
        <w:rPr>
          <w:lang w:val="en-GB"/>
        </w:rPr>
      </w:pPr>
      <w:r w:rsidRPr="00152A20">
        <w:rPr>
          <w:i/>
          <w:sz w:val="20"/>
          <w:szCs w:val="20"/>
          <w:lang w:val="en-GB"/>
        </w:rPr>
        <w:t>Note: Due to the reform of</w:t>
      </w:r>
      <w:r w:rsidR="008B094B">
        <w:rPr>
          <w:i/>
          <w:sz w:val="20"/>
          <w:szCs w:val="20"/>
          <w:lang w:val="en-GB"/>
        </w:rPr>
        <w:t xml:space="preserve"> the</w:t>
      </w:r>
      <w:r w:rsidRPr="00152A20">
        <w:rPr>
          <w:i/>
          <w:sz w:val="20"/>
          <w:szCs w:val="20"/>
          <w:lang w:val="en-GB"/>
        </w:rPr>
        <w:t xml:space="preserve"> financial system in 2003, the data before and after 2003 c</w:t>
      </w:r>
      <w:r w:rsidR="008B094B">
        <w:rPr>
          <w:i/>
          <w:sz w:val="20"/>
          <w:szCs w:val="20"/>
          <w:lang w:val="en-GB"/>
        </w:rPr>
        <w:t>an</w:t>
      </w:r>
      <w:r w:rsidRPr="00152A20">
        <w:rPr>
          <w:i/>
          <w:sz w:val="20"/>
          <w:szCs w:val="20"/>
          <w:lang w:val="en-GB"/>
        </w:rPr>
        <w:t xml:space="preserve">not be directly compared. </w:t>
      </w:r>
    </w:p>
    <w:p w14:paraId="135AB9E9" w14:textId="77777777" w:rsidR="00037D5F" w:rsidRPr="00152A20" w:rsidRDefault="00037D5F">
      <w:pPr>
        <w:spacing w:before="200" w:line="276" w:lineRule="auto"/>
        <w:rPr>
          <w:lang w:val="en-GB"/>
        </w:rPr>
      </w:pPr>
    </w:p>
    <w:p w14:paraId="1A9AE182" w14:textId="5EB8FC1B" w:rsidR="00037D5F" w:rsidRPr="00152A20" w:rsidRDefault="008E5AA1">
      <w:pPr>
        <w:rPr>
          <w:lang w:val="en-GB"/>
        </w:rPr>
      </w:pPr>
      <w:r w:rsidRPr="00152A20">
        <w:rPr>
          <w:lang w:val="en-GB"/>
        </w:rPr>
        <w:t xml:space="preserve">The described developments </w:t>
      </w:r>
      <w:r w:rsidR="003A23CF" w:rsidRPr="00152A20">
        <w:rPr>
          <w:lang w:val="en-GB"/>
        </w:rPr>
        <w:t xml:space="preserve">affected </w:t>
      </w:r>
      <w:r w:rsidRPr="00152A20">
        <w:rPr>
          <w:lang w:val="en-GB"/>
        </w:rPr>
        <w:t xml:space="preserve">the horizontal differentiation </w:t>
      </w:r>
      <w:r w:rsidR="003378D8">
        <w:rPr>
          <w:lang w:val="en-GB"/>
        </w:rPr>
        <w:t>of</w:t>
      </w:r>
      <w:r w:rsidRPr="00152A20">
        <w:rPr>
          <w:lang w:val="en-GB"/>
        </w:rPr>
        <w:t xml:space="preserve"> Russian higher education. Before </w:t>
      </w:r>
      <w:r w:rsidR="003A23CF" w:rsidRPr="00152A20">
        <w:rPr>
          <w:lang w:val="en-GB"/>
        </w:rPr>
        <w:t xml:space="preserve">2010, </w:t>
      </w:r>
      <w:r w:rsidRPr="00152A20">
        <w:rPr>
          <w:lang w:val="en-GB"/>
        </w:rPr>
        <w:t xml:space="preserve">the main changes took place in the field of </w:t>
      </w:r>
      <w:r w:rsidR="003378D8">
        <w:rPr>
          <w:lang w:val="en-GB"/>
        </w:rPr>
        <w:t xml:space="preserve">HEI </w:t>
      </w:r>
      <w:r w:rsidRPr="00152A20">
        <w:rPr>
          <w:lang w:val="en-GB"/>
        </w:rPr>
        <w:t xml:space="preserve">education activities </w:t>
      </w:r>
      <w:r w:rsidR="003A23CF" w:rsidRPr="00152A20">
        <w:rPr>
          <w:lang w:val="en-GB"/>
        </w:rPr>
        <w:t>(mix of subjects</w:t>
      </w:r>
      <w:r w:rsidR="003F05F9">
        <w:rPr>
          <w:lang w:val="en-GB"/>
        </w:rPr>
        <w:t>, as</w:t>
      </w:r>
      <w:r w:rsidR="003A23CF" w:rsidRPr="00152A20">
        <w:rPr>
          <w:lang w:val="en-GB"/>
        </w:rPr>
        <w:t xml:space="preserve"> addressed earlier)</w:t>
      </w:r>
      <w:r w:rsidRPr="00152A20">
        <w:rPr>
          <w:lang w:val="en-GB"/>
        </w:rPr>
        <w:t>. Economy and labo</w:t>
      </w:r>
      <w:r w:rsidR="003378D8">
        <w:rPr>
          <w:lang w:val="en-GB"/>
        </w:rPr>
        <w:t>u</w:t>
      </w:r>
      <w:r w:rsidRPr="00152A20">
        <w:rPr>
          <w:lang w:val="en-GB"/>
        </w:rPr>
        <w:t xml:space="preserve">r market transformations, </w:t>
      </w:r>
      <w:r w:rsidR="003378D8">
        <w:rPr>
          <w:lang w:val="en-GB"/>
        </w:rPr>
        <w:t xml:space="preserve">along with </w:t>
      </w:r>
      <w:r w:rsidRPr="00152A20">
        <w:rPr>
          <w:lang w:val="en-GB"/>
        </w:rPr>
        <w:t>lack of public financing</w:t>
      </w:r>
      <w:r w:rsidR="003A23CF" w:rsidRPr="00152A20">
        <w:rPr>
          <w:lang w:val="en-GB"/>
        </w:rPr>
        <w:t xml:space="preserve"> and</w:t>
      </w:r>
      <w:r w:rsidRPr="00152A20">
        <w:rPr>
          <w:lang w:val="en-GB"/>
        </w:rPr>
        <w:t xml:space="preserve"> state deregulation urged HEIs to find new sources and broaden </w:t>
      </w:r>
      <w:r w:rsidR="003A23CF" w:rsidRPr="00152A20">
        <w:rPr>
          <w:lang w:val="en-GB"/>
        </w:rPr>
        <w:t xml:space="preserve">their </w:t>
      </w:r>
      <w:r w:rsidRPr="00152A20">
        <w:rPr>
          <w:lang w:val="en-GB"/>
        </w:rPr>
        <w:t>supply. Liberali</w:t>
      </w:r>
      <w:r w:rsidR="003A23CF" w:rsidRPr="00152A20">
        <w:rPr>
          <w:lang w:val="en-GB"/>
        </w:rPr>
        <w:t>s</w:t>
      </w:r>
      <w:r w:rsidRPr="00152A20">
        <w:rPr>
          <w:lang w:val="en-GB"/>
        </w:rPr>
        <w:t>ation and decentrali</w:t>
      </w:r>
      <w:r w:rsidR="003A23CF" w:rsidRPr="00152A20">
        <w:rPr>
          <w:lang w:val="en-GB"/>
        </w:rPr>
        <w:t>s</w:t>
      </w:r>
      <w:r w:rsidRPr="00152A20">
        <w:rPr>
          <w:lang w:val="en-GB"/>
        </w:rPr>
        <w:t xml:space="preserve">ation supported “natural” differentiation </w:t>
      </w:r>
      <w:r w:rsidR="003378D8">
        <w:rPr>
          <w:lang w:val="en-GB"/>
        </w:rPr>
        <w:t xml:space="preserve">by </w:t>
      </w:r>
      <w:r w:rsidRPr="00152A20">
        <w:rPr>
          <w:lang w:val="en-GB"/>
        </w:rPr>
        <w:t>legitim</w:t>
      </w:r>
      <w:r w:rsidR="003378D8">
        <w:rPr>
          <w:lang w:val="en-GB"/>
        </w:rPr>
        <w:t>ising</w:t>
      </w:r>
      <w:r w:rsidRPr="00152A20">
        <w:rPr>
          <w:lang w:val="en-GB"/>
        </w:rPr>
        <w:t xml:space="preserve"> </w:t>
      </w:r>
      <w:r w:rsidR="003A23CF" w:rsidRPr="00152A20">
        <w:rPr>
          <w:lang w:val="en-GB"/>
        </w:rPr>
        <w:t xml:space="preserve">the emergence of a </w:t>
      </w:r>
      <w:r w:rsidRPr="00152A20">
        <w:rPr>
          <w:lang w:val="en-GB"/>
        </w:rPr>
        <w:t xml:space="preserve">private sector, </w:t>
      </w:r>
      <w:r w:rsidR="003A23CF" w:rsidRPr="00152A20">
        <w:rPr>
          <w:lang w:val="en-GB"/>
        </w:rPr>
        <w:t xml:space="preserve">a </w:t>
      </w:r>
      <w:r w:rsidRPr="00152A20">
        <w:rPr>
          <w:lang w:val="en-GB"/>
        </w:rPr>
        <w:t>dual tuition track system and relatively unrestricted internal program</w:t>
      </w:r>
      <w:r w:rsidR="003A23CF" w:rsidRPr="00152A20">
        <w:rPr>
          <w:lang w:val="en-GB"/>
        </w:rPr>
        <w:t>me</w:t>
      </w:r>
      <w:r w:rsidRPr="00152A20">
        <w:rPr>
          <w:lang w:val="en-GB"/>
        </w:rPr>
        <w:t xml:space="preserve"> diversification. </w:t>
      </w:r>
    </w:p>
    <w:p w14:paraId="42CA051A" w14:textId="77777777" w:rsidR="00037D5F" w:rsidRPr="00152A20" w:rsidRDefault="008E5AA1">
      <w:pPr>
        <w:pStyle w:val="Heading1"/>
        <w:rPr>
          <w:lang w:val="en-GB"/>
        </w:rPr>
      </w:pPr>
      <w:bookmarkStart w:id="10" w:name="_17dp8vu" w:colFirst="0" w:colLast="0"/>
      <w:bookmarkEnd w:id="10"/>
      <w:r w:rsidRPr="00152A20">
        <w:rPr>
          <w:lang w:val="en-GB"/>
        </w:rPr>
        <w:t>Higher Education Governance and Reforms</w:t>
      </w:r>
    </w:p>
    <w:p w14:paraId="5B329E38" w14:textId="77777777" w:rsidR="00037D5F" w:rsidRPr="00152A20" w:rsidRDefault="008E5AA1">
      <w:pPr>
        <w:pStyle w:val="Heading2"/>
        <w:rPr>
          <w:lang w:val="en-GB"/>
        </w:rPr>
      </w:pPr>
      <w:r w:rsidRPr="00152A20">
        <w:rPr>
          <w:lang w:val="en-GB"/>
        </w:rPr>
        <w:t>Governance Structure</w:t>
      </w:r>
    </w:p>
    <w:p w14:paraId="3FECBA23" w14:textId="3F05E661" w:rsidR="00037D5F" w:rsidRPr="00152A20" w:rsidRDefault="008E5AA1">
      <w:pPr>
        <w:rPr>
          <w:lang w:val="en-GB"/>
        </w:rPr>
      </w:pPr>
      <w:r w:rsidRPr="00152A20">
        <w:rPr>
          <w:lang w:val="en-GB"/>
        </w:rPr>
        <w:t>Despite</w:t>
      </w:r>
      <w:r w:rsidR="003378D8">
        <w:rPr>
          <w:lang w:val="en-GB"/>
        </w:rPr>
        <w:t xml:space="preserve"> the fact that</w:t>
      </w:r>
      <w:r w:rsidRPr="00152A20">
        <w:rPr>
          <w:lang w:val="en-GB"/>
        </w:rPr>
        <w:t xml:space="preserve"> Russia </w:t>
      </w:r>
      <w:r w:rsidR="003378D8">
        <w:rPr>
          <w:lang w:val="en-GB"/>
        </w:rPr>
        <w:t xml:space="preserve">is </w:t>
      </w:r>
      <w:r w:rsidRPr="00152A20">
        <w:rPr>
          <w:lang w:val="en-GB"/>
        </w:rPr>
        <w:t>a federal country</w:t>
      </w:r>
      <w:r w:rsidR="003378D8">
        <w:rPr>
          <w:lang w:val="en-GB"/>
        </w:rPr>
        <w:t>,</w:t>
      </w:r>
      <w:r w:rsidRPr="00152A20">
        <w:rPr>
          <w:lang w:val="en-GB"/>
        </w:rPr>
        <w:t xml:space="preserve"> the decentrali</w:t>
      </w:r>
      <w:r w:rsidR="003378D8">
        <w:rPr>
          <w:lang w:val="en-GB"/>
        </w:rPr>
        <w:t>s</w:t>
      </w:r>
      <w:r w:rsidRPr="00152A20">
        <w:rPr>
          <w:lang w:val="en-GB"/>
        </w:rPr>
        <w:t xml:space="preserve">ation of state authority over higher education did not go </w:t>
      </w:r>
      <w:r w:rsidR="003A23CF" w:rsidRPr="00152A20">
        <w:rPr>
          <w:lang w:val="en-GB"/>
        </w:rPr>
        <w:t>far</w:t>
      </w:r>
      <w:r w:rsidRPr="00152A20">
        <w:rPr>
          <w:lang w:val="en-GB"/>
        </w:rPr>
        <w:t xml:space="preserve">. In </w:t>
      </w:r>
      <w:r w:rsidR="003A23CF" w:rsidRPr="00152A20">
        <w:rPr>
          <w:lang w:val="en-GB"/>
        </w:rPr>
        <w:t>the 19</w:t>
      </w:r>
      <w:r w:rsidRPr="00152A20">
        <w:rPr>
          <w:lang w:val="en-GB"/>
        </w:rPr>
        <w:t>90s some regions established their own HEIs</w:t>
      </w:r>
      <w:r w:rsidR="003A23CF" w:rsidRPr="00152A20">
        <w:rPr>
          <w:lang w:val="en-GB"/>
        </w:rPr>
        <w:t>, but v</w:t>
      </w:r>
      <w:r w:rsidRPr="00152A20">
        <w:rPr>
          <w:lang w:val="en-GB"/>
        </w:rPr>
        <w:t xml:space="preserve">ery few HEIs were </w:t>
      </w:r>
      <w:r w:rsidR="003378D8" w:rsidRPr="00152A20">
        <w:rPr>
          <w:lang w:val="en-GB"/>
        </w:rPr>
        <w:t xml:space="preserve">actually </w:t>
      </w:r>
      <w:r w:rsidRPr="00152A20">
        <w:rPr>
          <w:lang w:val="en-GB"/>
        </w:rPr>
        <w:t xml:space="preserve">under regional control. Since </w:t>
      </w:r>
      <w:r w:rsidR="003A23CF" w:rsidRPr="00152A20">
        <w:rPr>
          <w:lang w:val="en-GB"/>
        </w:rPr>
        <w:t xml:space="preserve">the </w:t>
      </w:r>
      <w:r w:rsidRPr="00152A20">
        <w:rPr>
          <w:lang w:val="en-GB"/>
        </w:rPr>
        <w:t>early 2000s, greater centrali</w:t>
      </w:r>
      <w:r w:rsidR="003A23CF" w:rsidRPr="00152A20">
        <w:rPr>
          <w:lang w:val="en-GB"/>
        </w:rPr>
        <w:t>s</w:t>
      </w:r>
      <w:r w:rsidRPr="00152A20">
        <w:rPr>
          <w:lang w:val="en-GB"/>
        </w:rPr>
        <w:t xml:space="preserve">ation </w:t>
      </w:r>
      <w:r w:rsidR="003378D8">
        <w:rPr>
          <w:lang w:val="en-GB"/>
        </w:rPr>
        <w:t xml:space="preserve">has </w:t>
      </w:r>
      <w:r w:rsidRPr="00152A20">
        <w:rPr>
          <w:lang w:val="en-GB"/>
        </w:rPr>
        <w:t xml:space="preserve">affected </w:t>
      </w:r>
      <w:r w:rsidR="003A23CF" w:rsidRPr="00152A20">
        <w:rPr>
          <w:lang w:val="en-GB"/>
        </w:rPr>
        <w:t xml:space="preserve">the </w:t>
      </w:r>
      <w:r w:rsidRPr="00152A20">
        <w:rPr>
          <w:lang w:val="en-GB"/>
        </w:rPr>
        <w:t>HE system</w:t>
      </w:r>
      <w:r w:rsidR="003A23CF" w:rsidRPr="00152A20">
        <w:rPr>
          <w:lang w:val="en-GB"/>
        </w:rPr>
        <w:t xml:space="preserve">. </w:t>
      </w:r>
      <w:r w:rsidR="003378D8">
        <w:rPr>
          <w:lang w:val="en-GB"/>
        </w:rPr>
        <w:t>T</w:t>
      </w:r>
      <w:r w:rsidRPr="00152A20">
        <w:rPr>
          <w:lang w:val="en-GB"/>
        </w:rPr>
        <w:t>here are few HEIs subordinated by regional authorities (70 HEIs, including satellite HEIs with only 2.5% of students, see</w:t>
      </w:r>
      <w:r w:rsidRPr="00152A20">
        <w:rPr>
          <w:shd w:val="clear" w:color="auto" w:fill="FFF5BF"/>
          <w:lang w:val="en-GB"/>
        </w:rPr>
        <w:t xml:space="preserve"> </w:t>
      </w:r>
      <w:r w:rsidR="003378D8">
        <w:rPr>
          <w:shd w:val="clear" w:color="auto" w:fill="FFF5BF"/>
          <w:lang w:val="en-GB"/>
        </w:rPr>
        <w:t>T</w:t>
      </w:r>
      <w:r w:rsidRPr="00152A20">
        <w:rPr>
          <w:shd w:val="clear" w:color="auto" w:fill="FFF5BF"/>
          <w:lang w:val="en-GB"/>
        </w:rPr>
        <w:t>able 5)</w:t>
      </w:r>
      <w:r w:rsidRPr="00152A20">
        <w:rPr>
          <w:lang w:val="en-GB"/>
        </w:rPr>
        <w:t xml:space="preserve"> and more than 95% of budgetary funding is federal (</w:t>
      </w:r>
      <w:proofErr w:type="spellStart"/>
      <w:r w:rsidRPr="00152A20">
        <w:rPr>
          <w:shd w:val="clear" w:color="auto" w:fill="FFF5BF"/>
          <w:lang w:val="en-GB"/>
        </w:rPr>
        <w:t>Froumin</w:t>
      </w:r>
      <w:proofErr w:type="spellEnd"/>
      <w:r w:rsidRPr="00152A20">
        <w:rPr>
          <w:shd w:val="clear" w:color="auto" w:fill="FFF5BF"/>
          <w:lang w:val="en-GB"/>
        </w:rPr>
        <w:t xml:space="preserve"> and </w:t>
      </w:r>
      <w:proofErr w:type="spellStart"/>
      <w:r w:rsidRPr="00152A20">
        <w:rPr>
          <w:shd w:val="clear" w:color="auto" w:fill="FFF5BF"/>
          <w:lang w:val="en-GB"/>
        </w:rPr>
        <w:t>Leshukov</w:t>
      </w:r>
      <w:proofErr w:type="spellEnd"/>
      <w:r w:rsidRPr="00152A20">
        <w:rPr>
          <w:shd w:val="clear" w:color="auto" w:fill="FFF5BF"/>
          <w:lang w:val="en-GB"/>
        </w:rPr>
        <w:t>, forthcoming</w:t>
      </w:r>
      <w:r w:rsidRPr="00152A20">
        <w:rPr>
          <w:lang w:val="en-GB"/>
        </w:rPr>
        <w:t>).</w:t>
      </w:r>
    </w:p>
    <w:p w14:paraId="77ADAADA" w14:textId="3A8F55D7" w:rsidR="00037D5F" w:rsidRPr="00152A20" w:rsidRDefault="008E5AA1">
      <w:pPr>
        <w:rPr>
          <w:lang w:val="en-GB"/>
        </w:rPr>
      </w:pPr>
      <w:r w:rsidRPr="00152A20">
        <w:rPr>
          <w:lang w:val="en-GB"/>
        </w:rPr>
        <w:lastRenderedPageBreak/>
        <w:t xml:space="preserve">HEIs </w:t>
      </w:r>
      <w:r w:rsidR="003378D8" w:rsidRPr="00152A20">
        <w:rPr>
          <w:lang w:val="en-GB"/>
        </w:rPr>
        <w:t xml:space="preserve">report </w:t>
      </w:r>
      <w:r w:rsidRPr="00152A20">
        <w:rPr>
          <w:lang w:val="en-GB"/>
        </w:rPr>
        <w:t xml:space="preserve">directly to </w:t>
      </w:r>
      <w:r w:rsidR="003A23CF" w:rsidRPr="00152A20">
        <w:rPr>
          <w:lang w:val="en-GB"/>
        </w:rPr>
        <w:t xml:space="preserve">the </w:t>
      </w:r>
      <w:r w:rsidRPr="00152A20">
        <w:rPr>
          <w:lang w:val="en-GB"/>
        </w:rPr>
        <w:t xml:space="preserve">various bodies of executive power. By the end of Soviet times, there were 28 different ministries supervising HE. In modern Russia there are still 21 different bodies, including the </w:t>
      </w:r>
      <w:proofErr w:type="spellStart"/>
      <w:r w:rsidRPr="00152A20">
        <w:rPr>
          <w:lang w:val="en-GB"/>
        </w:rPr>
        <w:t>MoES</w:t>
      </w:r>
      <w:proofErr w:type="spellEnd"/>
      <w:r w:rsidRPr="00152A20">
        <w:rPr>
          <w:lang w:val="en-GB"/>
        </w:rPr>
        <w:t xml:space="preserve">. In general, the </w:t>
      </w:r>
      <w:proofErr w:type="spellStart"/>
      <w:r w:rsidRPr="00152A20">
        <w:rPr>
          <w:lang w:val="en-GB"/>
        </w:rPr>
        <w:t>MoES</w:t>
      </w:r>
      <w:proofErr w:type="spellEnd"/>
      <w:r w:rsidRPr="00152A20">
        <w:rPr>
          <w:lang w:val="en-GB"/>
        </w:rPr>
        <w:t xml:space="preserve"> provide</w:t>
      </w:r>
      <w:r w:rsidR="003378D8">
        <w:rPr>
          <w:lang w:val="en-GB"/>
        </w:rPr>
        <w:t>s</w:t>
      </w:r>
      <w:r w:rsidRPr="00152A20">
        <w:rPr>
          <w:lang w:val="en-GB"/>
        </w:rPr>
        <w:t xml:space="preserve"> a broad framework for HE system operation through </w:t>
      </w:r>
      <w:r w:rsidR="003878E3" w:rsidRPr="00152A20">
        <w:rPr>
          <w:lang w:val="en-GB"/>
        </w:rPr>
        <w:t xml:space="preserve">its </w:t>
      </w:r>
      <w:r w:rsidRPr="00152A20">
        <w:rPr>
          <w:lang w:val="en-GB"/>
        </w:rPr>
        <w:t>right to grant licen</w:t>
      </w:r>
      <w:r w:rsidR="005A0997">
        <w:rPr>
          <w:lang w:val="en-GB"/>
        </w:rPr>
        <w:t>c</w:t>
      </w:r>
      <w:r w:rsidRPr="00152A20">
        <w:rPr>
          <w:lang w:val="en-GB"/>
        </w:rPr>
        <w:t>es, accredit</w:t>
      </w:r>
      <w:r w:rsidR="003878E3" w:rsidRPr="00152A20">
        <w:rPr>
          <w:lang w:val="en-GB"/>
        </w:rPr>
        <w:t xml:space="preserve"> institutions</w:t>
      </w:r>
      <w:r w:rsidRPr="00152A20">
        <w:rPr>
          <w:lang w:val="en-GB"/>
        </w:rPr>
        <w:t>, assign admission quotas</w:t>
      </w:r>
      <w:r w:rsidR="003878E3" w:rsidRPr="00152A20">
        <w:rPr>
          <w:lang w:val="en-GB"/>
        </w:rPr>
        <w:t>,</w:t>
      </w:r>
      <w:r w:rsidRPr="00152A20">
        <w:rPr>
          <w:lang w:val="en-GB"/>
        </w:rPr>
        <w:t xml:space="preserve"> and implement federal program</w:t>
      </w:r>
      <w:r w:rsidR="003878E3" w:rsidRPr="00152A20">
        <w:rPr>
          <w:lang w:val="en-GB"/>
        </w:rPr>
        <w:t>me</w:t>
      </w:r>
      <w:r w:rsidRPr="00152A20">
        <w:rPr>
          <w:lang w:val="en-GB"/>
        </w:rPr>
        <w:t>s for HE development.</w:t>
      </w:r>
    </w:p>
    <w:p w14:paraId="5C805ABD" w14:textId="07648AB5" w:rsidR="00037D5F" w:rsidRPr="00152A20" w:rsidRDefault="008E5AA1">
      <w:pPr>
        <w:rPr>
          <w:lang w:val="en-GB"/>
        </w:rPr>
      </w:pPr>
      <w:r w:rsidRPr="00152A20">
        <w:rPr>
          <w:lang w:val="en-GB"/>
        </w:rPr>
        <w:t xml:space="preserve">Most HEIs </w:t>
      </w:r>
      <w:r w:rsidR="003878E3" w:rsidRPr="00152A20">
        <w:rPr>
          <w:lang w:val="en-GB"/>
        </w:rPr>
        <w:t xml:space="preserve">(catering for 60% of all students) </w:t>
      </w:r>
      <w:r w:rsidRPr="00152A20">
        <w:rPr>
          <w:lang w:val="en-GB"/>
        </w:rPr>
        <w:t xml:space="preserve">report directly to the </w:t>
      </w:r>
      <w:proofErr w:type="spellStart"/>
      <w:r w:rsidRPr="00152A20">
        <w:rPr>
          <w:lang w:val="en-GB"/>
        </w:rPr>
        <w:t>MoES</w:t>
      </w:r>
      <w:proofErr w:type="spellEnd"/>
      <w:r w:rsidRPr="00152A20">
        <w:rPr>
          <w:lang w:val="en-GB"/>
        </w:rPr>
        <w:t xml:space="preserve">. </w:t>
      </w:r>
      <w:r w:rsidR="003878E3" w:rsidRPr="00152A20">
        <w:rPr>
          <w:lang w:val="en-GB"/>
        </w:rPr>
        <w:t>The two o</w:t>
      </w:r>
      <w:r w:rsidRPr="00152A20">
        <w:rPr>
          <w:lang w:val="en-GB"/>
        </w:rPr>
        <w:t xml:space="preserve">ther major </w:t>
      </w:r>
      <w:r w:rsidR="003878E3" w:rsidRPr="00152A20">
        <w:rPr>
          <w:lang w:val="en-GB"/>
        </w:rPr>
        <w:t>ministries</w:t>
      </w:r>
      <w:r w:rsidRPr="00152A20">
        <w:rPr>
          <w:lang w:val="en-GB"/>
        </w:rPr>
        <w:t xml:space="preserve"> are the Ministry of Agriculture and the Ministry of Health and Social Development (medical HEIs). </w:t>
      </w:r>
    </w:p>
    <w:p w14:paraId="4325F414" w14:textId="3729F947" w:rsidR="00037D5F" w:rsidRPr="00152A20" w:rsidRDefault="008E5AA1">
      <w:pPr>
        <w:rPr>
          <w:lang w:val="en-GB"/>
        </w:rPr>
      </w:pPr>
      <w:r w:rsidRPr="00152A20">
        <w:rPr>
          <w:i/>
          <w:shd w:val="clear" w:color="auto" w:fill="FFF5BF"/>
          <w:lang w:val="en-GB"/>
        </w:rPr>
        <w:t>Table 5</w:t>
      </w:r>
      <w:r w:rsidRPr="00152A20">
        <w:rPr>
          <w:i/>
          <w:lang w:val="en-GB"/>
        </w:rPr>
        <w:t xml:space="preserve">. Distribution of HEIs by </w:t>
      </w:r>
      <w:r w:rsidR="003878E3" w:rsidRPr="00152A20">
        <w:rPr>
          <w:i/>
          <w:lang w:val="en-GB"/>
        </w:rPr>
        <w:t>ministr</w:t>
      </w:r>
      <w:r w:rsidR="003378D8">
        <w:rPr>
          <w:i/>
          <w:lang w:val="en-GB"/>
        </w:rPr>
        <w:t>y</w:t>
      </w:r>
      <w:r w:rsidR="003878E3" w:rsidRPr="00152A20">
        <w:rPr>
          <w:i/>
          <w:lang w:val="en-GB"/>
        </w:rPr>
        <w:t xml:space="preserve"> and other agencies</w:t>
      </w:r>
      <w:r w:rsidRPr="00152A20">
        <w:rPr>
          <w:i/>
          <w:lang w:val="en-GB"/>
        </w:rPr>
        <w:t>, Russia, 2014</w:t>
      </w:r>
    </w:p>
    <w:tbl>
      <w:tblPr>
        <w:tblStyle w:val="a3"/>
        <w:tblW w:w="930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3945"/>
        <w:gridCol w:w="1500"/>
        <w:gridCol w:w="1380"/>
        <w:gridCol w:w="2475"/>
      </w:tblGrid>
      <w:tr w:rsidR="00037D5F" w:rsidRPr="0029475F" w14:paraId="04DC3690" w14:textId="77777777">
        <w:tc>
          <w:tcPr>
            <w:tcW w:w="3945" w:type="dxa"/>
            <w:tcBorders>
              <w:bottom w:val="single" w:sz="6" w:space="0" w:color="95B3D7"/>
            </w:tcBorders>
            <w:tcMar>
              <w:left w:w="40" w:type="dxa"/>
              <w:right w:w="40" w:type="dxa"/>
            </w:tcMar>
            <w:vAlign w:val="bottom"/>
          </w:tcPr>
          <w:p w14:paraId="221180EE" w14:textId="77777777" w:rsidR="00037D5F" w:rsidRPr="00152A20" w:rsidRDefault="00037D5F">
            <w:pPr>
              <w:spacing w:line="240" w:lineRule="auto"/>
              <w:contextualSpacing w:val="0"/>
              <w:rPr>
                <w:lang w:val="en-GB"/>
              </w:rPr>
            </w:pPr>
          </w:p>
        </w:tc>
        <w:tc>
          <w:tcPr>
            <w:tcW w:w="1500" w:type="dxa"/>
            <w:tcBorders>
              <w:bottom w:val="single" w:sz="6" w:space="0" w:color="95B3D7"/>
            </w:tcBorders>
            <w:tcMar>
              <w:left w:w="40" w:type="dxa"/>
              <w:right w:w="40" w:type="dxa"/>
            </w:tcMar>
            <w:vAlign w:val="bottom"/>
          </w:tcPr>
          <w:p w14:paraId="148BDFE3" w14:textId="77777777" w:rsidR="00037D5F" w:rsidRPr="00152A20" w:rsidRDefault="008E5AA1">
            <w:pPr>
              <w:spacing w:line="240" w:lineRule="auto"/>
              <w:contextualSpacing w:val="0"/>
              <w:jc w:val="center"/>
              <w:rPr>
                <w:lang w:val="en-GB"/>
              </w:rPr>
            </w:pPr>
            <w:r w:rsidRPr="00152A20">
              <w:rPr>
                <w:sz w:val="20"/>
                <w:szCs w:val="20"/>
                <w:lang w:val="en-GB"/>
              </w:rPr>
              <w:t>Number of HEIs (satellites and parent)</w:t>
            </w:r>
          </w:p>
        </w:tc>
        <w:tc>
          <w:tcPr>
            <w:tcW w:w="1380" w:type="dxa"/>
            <w:tcBorders>
              <w:bottom w:val="single" w:sz="6" w:space="0" w:color="95B3D7"/>
            </w:tcBorders>
            <w:tcMar>
              <w:left w:w="40" w:type="dxa"/>
              <w:right w:w="40" w:type="dxa"/>
            </w:tcMar>
            <w:vAlign w:val="bottom"/>
          </w:tcPr>
          <w:p w14:paraId="5518CE7F" w14:textId="77777777" w:rsidR="00037D5F" w:rsidRPr="00152A20" w:rsidRDefault="008E5AA1">
            <w:pPr>
              <w:spacing w:line="240" w:lineRule="auto"/>
              <w:contextualSpacing w:val="0"/>
              <w:jc w:val="center"/>
              <w:rPr>
                <w:lang w:val="en-GB"/>
              </w:rPr>
            </w:pPr>
            <w:r w:rsidRPr="00152A20">
              <w:rPr>
                <w:sz w:val="20"/>
                <w:szCs w:val="20"/>
                <w:lang w:val="en-GB"/>
              </w:rPr>
              <w:t>Number of Parent HEIs</w:t>
            </w:r>
          </w:p>
        </w:tc>
        <w:tc>
          <w:tcPr>
            <w:tcW w:w="2475" w:type="dxa"/>
            <w:tcBorders>
              <w:bottom w:val="single" w:sz="6" w:space="0" w:color="95B3D7"/>
            </w:tcBorders>
            <w:tcMar>
              <w:left w:w="40" w:type="dxa"/>
              <w:right w:w="40" w:type="dxa"/>
            </w:tcMar>
            <w:vAlign w:val="bottom"/>
          </w:tcPr>
          <w:p w14:paraId="33B6BF78" w14:textId="77777777" w:rsidR="00037D5F" w:rsidRPr="00152A20" w:rsidRDefault="008E5AA1">
            <w:pPr>
              <w:spacing w:line="240" w:lineRule="auto"/>
              <w:contextualSpacing w:val="0"/>
              <w:jc w:val="center"/>
              <w:rPr>
                <w:lang w:val="en-GB"/>
              </w:rPr>
            </w:pPr>
            <w:r w:rsidRPr="00152A20">
              <w:rPr>
                <w:sz w:val="20"/>
                <w:szCs w:val="20"/>
                <w:lang w:val="en-GB"/>
              </w:rPr>
              <w:t>Share of students (head count) in total number of students</w:t>
            </w:r>
          </w:p>
        </w:tc>
      </w:tr>
      <w:tr w:rsidR="00037D5F" w:rsidRPr="00152A20" w14:paraId="0F232F1C" w14:textId="77777777">
        <w:trPr>
          <w:trHeight w:val="240"/>
        </w:trPr>
        <w:tc>
          <w:tcPr>
            <w:tcW w:w="3945" w:type="dxa"/>
            <w:tcMar>
              <w:left w:w="40" w:type="dxa"/>
              <w:right w:w="40" w:type="dxa"/>
            </w:tcMar>
            <w:vAlign w:val="bottom"/>
          </w:tcPr>
          <w:p w14:paraId="0F25EF3C" w14:textId="77777777" w:rsidR="00037D5F" w:rsidRPr="00152A20" w:rsidRDefault="008E5AA1">
            <w:pPr>
              <w:spacing w:line="240" w:lineRule="auto"/>
              <w:contextualSpacing w:val="0"/>
              <w:rPr>
                <w:lang w:val="en-GB"/>
              </w:rPr>
            </w:pPr>
            <w:r w:rsidRPr="00152A20">
              <w:rPr>
                <w:sz w:val="20"/>
                <w:szCs w:val="20"/>
                <w:lang w:val="en-GB"/>
              </w:rPr>
              <w:t>Ministry of Education and Science</w:t>
            </w:r>
          </w:p>
        </w:tc>
        <w:tc>
          <w:tcPr>
            <w:tcW w:w="1500" w:type="dxa"/>
            <w:tcMar>
              <w:left w:w="40" w:type="dxa"/>
              <w:right w:w="40" w:type="dxa"/>
            </w:tcMar>
            <w:vAlign w:val="bottom"/>
          </w:tcPr>
          <w:p w14:paraId="3D5777C3" w14:textId="77777777" w:rsidR="00037D5F" w:rsidRPr="00152A20" w:rsidRDefault="008E5AA1">
            <w:pPr>
              <w:spacing w:line="240" w:lineRule="auto"/>
              <w:contextualSpacing w:val="0"/>
              <w:jc w:val="right"/>
              <w:rPr>
                <w:lang w:val="en-GB"/>
              </w:rPr>
            </w:pPr>
            <w:r w:rsidRPr="00152A20">
              <w:rPr>
                <w:sz w:val="20"/>
                <w:szCs w:val="20"/>
                <w:lang w:val="en-GB"/>
              </w:rPr>
              <w:t>825</w:t>
            </w:r>
          </w:p>
        </w:tc>
        <w:tc>
          <w:tcPr>
            <w:tcW w:w="1380" w:type="dxa"/>
            <w:tcMar>
              <w:left w:w="40" w:type="dxa"/>
              <w:right w:w="40" w:type="dxa"/>
            </w:tcMar>
            <w:vAlign w:val="bottom"/>
          </w:tcPr>
          <w:p w14:paraId="5F9A38B3" w14:textId="77777777" w:rsidR="00037D5F" w:rsidRPr="00152A20" w:rsidRDefault="008E5AA1">
            <w:pPr>
              <w:spacing w:line="240" w:lineRule="auto"/>
              <w:contextualSpacing w:val="0"/>
              <w:jc w:val="right"/>
              <w:rPr>
                <w:lang w:val="en-GB"/>
              </w:rPr>
            </w:pPr>
            <w:r w:rsidRPr="00152A20">
              <w:rPr>
                <w:sz w:val="20"/>
                <w:szCs w:val="20"/>
                <w:lang w:val="en-GB"/>
              </w:rPr>
              <w:t>274</w:t>
            </w:r>
          </w:p>
        </w:tc>
        <w:tc>
          <w:tcPr>
            <w:tcW w:w="2475" w:type="dxa"/>
            <w:tcMar>
              <w:left w:w="40" w:type="dxa"/>
              <w:right w:w="40" w:type="dxa"/>
            </w:tcMar>
            <w:vAlign w:val="bottom"/>
          </w:tcPr>
          <w:p w14:paraId="3A7E0218" w14:textId="604CE31F" w:rsidR="00037D5F" w:rsidRPr="00152A20" w:rsidRDefault="008E5AA1">
            <w:pPr>
              <w:spacing w:line="240" w:lineRule="auto"/>
              <w:contextualSpacing w:val="0"/>
              <w:jc w:val="right"/>
              <w:rPr>
                <w:lang w:val="en-GB"/>
              </w:rPr>
            </w:pPr>
            <w:r w:rsidRPr="00152A20">
              <w:rPr>
                <w:sz w:val="20"/>
                <w:szCs w:val="20"/>
                <w:lang w:val="en-GB"/>
              </w:rPr>
              <w:t>58</w:t>
            </w:r>
            <w:r w:rsidR="006F3577">
              <w:rPr>
                <w:sz w:val="20"/>
                <w:szCs w:val="20"/>
                <w:lang w:val="en-GB"/>
              </w:rPr>
              <w:t>.</w:t>
            </w:r>
            <w:r w:rsidRPr="00152A20">
              <w:rPr>
                <w:sz w:val="20"/>
                <w:szCs w:val="20"/>
                <w:lang w:val="en-GB"/>
              </w:rPr>
              <w:t>49%</w:t>
            </w:r>
          </w:p>
        </w:tc>
      </w:tr>
      <w:tr w:rsidR="00037D5F" w:rsidRPr="00152A20" w14:paraId="6B6C1C48" w14:textId="77777777">
        <w:trPr>
          <w:trHeight w:val="300"/>
        </w:trPr>
        <w:tc>
          <w:tcPr>
            <w:tcW w:w="3945" w:type="dxa"/>
            <w:tcMar>
              <w:left w:w="40" w:type="dxa"/>
              <w:right w:w="40" w:type="dxa"/>
            </w:tcMar>
            <w:vAlign w:val="bottom"/>
          </w:tcPr>
          <w:p w14:paraId="53D2F739" w14:textId="77777777" w:rsidR="00037D5F" w:rsidRPr="00152A20" w:rsidRDefault="008E5AA1">
            <w:pPr>
              <w:spacing w:line="240" w:lineRule="auto"/>
              <w:contextualSpacing w:val="0"/>
              <w:rPr>
                <w:lang w:val="en-GB"/>
              </w:rPr>
            </w:pPr>
            <w:r w:rsidRPr="00152A20">
              <w:rPr>
                <w:sz w:val="20"/>
                <w:szCs w:val="20"/>
                <w:lang w:val="en-GB"/>
              </w:rPr>
              <w:t>Private HEIs</w:t>
            </w:r>
          </w:p>
        </w:tc>
        <w:tc>
          <w:tcPr>
            <w:tcW w:w="1500" w:type="dxa"/>
            <w:tcMar>
              <w:left w:w="40" w:type="dxa"/>
              <w:right w:w="40" w:type="dxa"/>
            </w:tcMar>
            <w:vAlign w:val="bottom"/>
          </w:tcPr>
          <w:p w14:paraId="5F632C6F" w14:textId="77777777" w:rsidR="00037D5F" w:rsidRPr="00152A20" w:rsidRDefault="008E5AA1">
            <w:pPr>
              <w:spacing w:line="240" w:lineRule="auto"/>
              <w:contextualSpacing w:val="0"/>
              <w:jc w:val="right"/>
              <w:rPr>
                <w:lang w:val="en-GB"/>
              </w:rPr>
            </w:pPr>
            <w:r w:rsidRPr="00152A20">
              <w:rPr>
                <w:sz w:val="20"/>
                <w:szCs w:val="20"/>
                <w:lang w:val="en-GB"/>
              </w:rPr>
              <w:t>816</w:t>
            </w:r>
          </w:p>
        </w:tc>
        <w:tc>
          <w:tcPr>
            <w:tcW w:w="1380" w:type="dxa"/>
            <w:tcMar>
              <w:left w:w="40" w:type="dxa"/>
              <w:right w:w="40" w:type="dxa"/>
            </w:tcMar>
            <w:vAlign w:val="bottom"/>
          </w:tcPr>
          <w:p w14:paraId="7AAC7949" w14:textId="77777777" w:rsidR="00037D5F" w:rsidRPr="00152A20" w:rsidRDefault="008E5AA1">
            <w:pPr>
              <w:spacing w:line="240" w:lineRule="auto"/>
              <w:contextualSpacing w:val="0"/>
              <w:jc w:val="right"/>
              <w:rPr>
                <w:lang w:val="en-GB"/>
              </w:rPr>
            </w:pPr>
            <w:r w:rsidRPr="00152A20">
              <w:rPr>
                <w:sz w:val="20"/>
                <w:szCs w:val="20"/>
                <w:lang w:val="en-GB"/>
              </w:rPr>
              <w:t>368</w:t>
            </w:r>
          </w:p>
        </w:tc>
        <w:tc>
          <w:tcPr>
            <w:tcW w:w="2475" w:type="dxa"/>
            <w:tcMar>
              <w:left w:w="40" w:type="dxa"/>
              <w:right w:w="40" w:type="dxa"/>
            </w:tcMar>
            <w:vAlign w:val="bottom"/>
          </w:tcPr>
          <w:p w14:paraId="45B5D2FD" w14:textId="00B1FD4C" w:rsidR="00037D5F" w:rsidRPr="00152A20" w:rsidRDefault="008E5AA1">
            <w:pPr>
              <w:spacing w:line="240" w:lineRule="auto"/>
              <w:contextualSpacing w:val="0"/>
              <w:jc w:val="right"/>
              <w:rPr>
                <w:lang w:val="en-GB"/>
              </w:rPr>
            </w:pPr>
            <w:r w:rsidRPr="00152A20">
              <w:rPr>
                <w:sz w:val="20"/>
                <w:szCs w:val="20"/>
                <w:lang w:val="en-GB"/>
              </w:rPr>
              <w:t>14</w:t>
            </w:r>
            <w:r w:rsidR="006F3577">
              <w:rPr>
                <w:sz w:val="20"/>
                <w:szCs w:val="20"/>
                <w:lang w:val="en-GB"/>
              </w:rPr>
              <w:t>.</w:t>
            </w:r>
            <w:r w:rsidRPr="00152A20">
              <w:rPr>
                <w:sz w:val="20"/>
                <w:szCs w:val="20"/>
                <w:lang w:val="en-GB"/>
              </w:rPr>
              <w:t>89%</w:t>
            </w:r>
          </w:p>
        </w:tc>
      </w:tr>
      <w:tr w:rsidR="00037D5F" w:rsidRPr="00152A20" w14:paraId="207C639B" w14:textId="77777777">
        <w:tc>
          <w:tcPr>
            <w:tcW w:w="3945" w:type="dxa"/>
            <w:tcMar>
              <w:left w:w="40" w:type="dxa"/>
              <w:right w:w="40" w:type="dxa"/>
            </w:tcMar>
            <w:vAlign w:val="bottom"/>
          </w:tcPr>
          <w:p w14:paraId="2D85F756" w14:textId="77777777" w:rsidR="00037D5F" w:rsidRPr="00152A20" w:rsidRDefault="008E5AA1">
            <w:pPr>
              <w:spacing w:line="240" w:lineRule="auto"/>
              <w:contextualSpacing w:val="0"/>
              <w:rPr>
                <w:lang w:val="en-GB"/>
              </w:rPr>
            </w:pPr>
            <w:r w:rsidRPr="00152A20">
              <w:rPr>
                <w:sz w:val="20"/>
                <w:szCs w:val="20"/>
                <w:lang w:val="en-GB"/>
              </w:rPr>
              <w:t>The Russian Government</w:t>
            </w:r>
          </w:p>
        </w:tc>
        <w:tc>
          <w:tcPr>
            <w:tcW w:w="1500" w:type="dxa"/>
            <w:tcMar>
              <w:left w:w="40" w:type="dxa"/>
              <w:right w:w="40" w:type="dxa"/>
            </w:tcMar>
            <w:vAlign w:val="bottom"/>
          </w:tcPr>
          <w:p w14:paraId="076E576B" w14:textId="77777777" w:rsidR="00037D5F" w:rsidRPr="00152A20" w:rsidRDefault="008E5AA1">
            <w:pPr>
              <w:spacing w:line="240" w:lineRule="auto"/>
              <w:contextualSpacing w:val="0"/>
              <w:jc w:val="right"/>
              <w:rPr>
                <w:lang w:val="en-GB"/>
              </w:rPr>
            </w:pPr>
            <w:r w:rsidRPr="00152A20">
              <w:rPr>
                <w:sz w:val="20"/>
                <w:szCs w:val="20"/>
                <w:lang w:val="en-GB"/>
              </w:rPr>
              <w:t>88</w:t>
            </w:r>
          </w:p>
        </w:tc>
        <w:tc>
          <w:tcPr>
            <w:tcW w:w="1380" w:type="dxa"/>
            <w:tcMar>
              <w:left w:w="40" w:type="dxa"/>
              <w:right w:w="40" w:type="dxa"/>
            </w:tcMar>
            <w:vAlign w:val="bottom"/>
          </w:tcPr>
          <w:p w14:paraId="2F1C47B0" w14:textId="77777777" w:rsidR="00037D5F" w:rsidRPr="00152A20" w:rsidRDefault="008E5AA1">
            <w:pPr>
              <w:spacing w:line="240" w:lineRule="auto"/>
              <w:contextualSpacing w:val="0"/>
              <w:jc w:val="right"/>
              <w:rPr>
                <w:lang w:val="en-GB"/>
              </w:rPr>
            </w:pPr>
            <w:r w:rsidRPr="00152A20">
              <w:rPr>
                <w:sz w:val="20"/>
                <w:szCs w:val="20"/>
                <w:lang w:val="en-GB"/>
              </w:rPr>
              <w:t>7</w:t>
            </w:r>
          </w:p>
        </w:tc>
        <w:tc>
          <w:tcPr>
            <w:tcW w:w="2475" w:type="dxa"/>
            <w:tcMar>
              <w:left w:w="40" w:type="dxa"/>
              <w:right w:w="40" w:type="dxa"/>
            </w:tcMar>
            <w:vAlign w:val="bottom"/>
          </w:tcPr>
          <w:p w14:paraId="6AF6FE08" w14:textId="474F08B4" w:rsidR="00037D5F" w:rsidRPr="00152A20" w:rsidRDefault="008E5AA1">
            <w:pPr>
              <w:spacing w:line="240" w:lineRule="auto"/>
              <w:contextualSpacing w:val="0"/>
              <w:jc w:val="right"/>
              <w:rPr>
                <w:lang w:val="en-GB"/>
              </w:rPr>
            </w:pPr>
            <w:r w:rsidRPr="00152A20">
              <w:rPr>
                <w:sz w:val="20"/>
                <w:szCs w:val="20"/>
                <w:lang w:val="en-GB"/>
              </w:rPr>
              <w:t>4</w:t>
            </w:r>
            <w:r w:rsidR="006F3577">
              <w:rPr>
                <w:sz w:val="20"/>
                <w:szCs w:val="20"/>
                <w:lang w:val="en-GB"/>
              </w:rPr>
              <w:t>.</w:t>
            </w:r>
            <w:r w:rsidRPr="00152A20">
              <w:rPr>
                <w:sz w:val="20"/>
                <w:szCs w:val="20"/>
                <w:lang w:val="en-GB"/>
              </w:rPr>
              <w:t>30%</w:t>
            </w:r>
          </w:p>
        </w:tc>
      </w:tr>
      <w:tr w:rsidR="00037D5F" w:rsidRPr="00152A20" w14:paraId="1BEBA1C8" w14:textId="77777777">
        <w:tc>
          <w:tcPr>
            <w:tcW w:w="3945" w:type="dxa"/>
            <w:tcMar>
              <w:left w:w="40" w:type="dxa"/>
              <w:right w:w="40" w:type="dxa"/>
            </w:tcMar>
            <w:vAlign w:val="bottom"/>
          </w:tcPr>
          <w:p w14:paraId="5F05FDF5" w14:textId="77777777" w:rsidR="00037D5F" w:rsidRPr="00152A20" w:rsidRDefault="008E5AA1">
            <w:pPr>
              <w:spacing w:line="240" w:lineRule="auto"/>
              <w:contextualSpacing w:val="0"/>
              <w:rPr>
                <w:lang w:val="en-GB"/>
              </w:rPr>
            </w:pPr>
            <w:r w:rsidRPr="00152A20">
              <w:rPr>
                <w:sz w:val="20"/>
                <w:szCs w:val="20"/>
                <w:lang w:val="en-GB"/>
              </w:rPr>
              <w:t>Ministry of Agriculture</w:t>
            </w:r>
          </w:p>
        </w:tc>
        <w:tc>
          <w:tcPr>
            <w:tcW w:w="1500" w:type="dxa"/>
            <w:tcMar>
              <w:left w:w="40" w:type="dxa"/>
              <w:right w:w="40" w:type="dxa"/>
            </w:tcMar>
            <w:vAlign w:val="bottom"/>
          </w:tcPr>
          <w:p w14:paraId="03EC993E" w14:textId="77777777" w:rsidR="00037D5F" w:rsidRPr="00152A20" w:rsidRDefault="008E5AA1">
            <w:pPr>
              <w:spacing w:line="240" w:lineRule="auto"/>
              <w:contextualSpacing w:val="0"/>
              <w:jc w:val="right"/>
              <w:rPr>
                <w:lang w:val="en-GB"/>
              </w:rPr>
            </w:pPr>
            <w:r w:rsidRPr="00152A20">
              <w:rPr>
                <w:sz w:val="20"/>
                <w:szCs w:val="20"/>
                <w:lang w:val="en-GB"/>
              </w:rPr>
              <w:t>76</w:t>
            </w:r>
          </w:p>
        </w:tc>
        <w:tc>
          <w:tcPr>
            <w:tcW w:w="1380" w:type="dxa"/>
            <w:tcMar>
              <w:left w:w="40" w:type="dxa"/>
              <w:right w:w="40" w:type="dxa"/>
            </w:tcMar>
            <w:vAlign w:val="bottom"/>
          </w:tcPr>
          <w:p w14:paraId="26BF8EF4" w14:textId="77777777" w:rsidR="00037D5F" w:rsidRPr="00152A20" w:rsidRDefault="008E5AA1">
            <w:pPr>
              <w:spacing w:line="240" w:lineRule="auto"/>
              <w:contextualSpacing w:val="0"/>
              <w:jc w:val="right"/>
              <w:rPr>
                <w:lang w:val="en-GB"/>
              </w:rPr>
            </w:pPr>
            <w:r w:rsidRPr="00152A20">
              <w:rPr>
                <w:sz w:val="20"/>
                <w:szCs w:val="20"/>
                <w:lang w:val="en-GB"/>
              </w:rPr>
              <w:t>55</w:t>
            </w:r>
          </w:p>
        </w:tc>
        <w:tc>
          <w:tcPr>
            <w:tcW w:w="2475" w:type="dxa"/>
            <w:tcMar>
              <w:left w:w="40" w:type="dxa"/>
              <w:right w:w="40" w:type="dxa"/>
            </w:tcMar>
            <w:vAlign w:val="bottom"/>
          </w:tcPr>
          <w:p w14:paraId="1DDBFFA8" w14:textId="3E0DAECB" w:rsidR="00037D5F" w:rsidRPr="00152A20" w:rsidRDefault="008E5AA1">
            <w:pPr>
              <w:spacing w:line="240" w:lineRule="auto"/>
              <w:contextualSpacing w:val="0"/>
              <w:jc w:val="right"/>
              <w:rPr>
                <w:lang w:val="en-GB"/>
              </w:rPr>
            </w:pPr>
            <w:r w:rsidRPr="00152A20">
              <w:rPr>
                <w:sz w:val="20"/>
                <w:szCs w:val="20"/>
                <w:lang w:val="en-GB"/>
              </w:rPr>
              <w:t>7</w:t>
            </w:r>
            <w:r w:rsidR="006F3577">
              <w:rPr>
                <w:sz w:val="20"/>
                <w:szCs w:val="20"/>
                <w:lang w:val="en-GB"/>
              </w:rPr>
              <w:t>.</w:t>
            </w:r>
            <w:r w:rsidRPr="00152A20">
              <w:rPr>
                <w:sz w:val="20"/>
                <w:szCs w:val="20"/>
                <w:lang w:val="en-GB"/>
              </w:rPr>
              <w:t>47%</w:t>
            </w:r>
          </w:p>
        </w:tc>
      </w:tr>
      <w:tr w:rsidR="00037D5F" w:rsidRPr="00152A20" w14:paraId="50B5C28F" w14:textId="77777777">
        <w:tc>
          <w:tcPr>
            <w:tcW w:w="3945" w:type="dxa"/>
            <w:tcMar>
              <w:left w:w="40" w:type="dxa"/>
              <w:right w:w="40" w:type="dxa"/>
            </w:tcMar>
            <w:vAlign w:val="bottom"/>
          </w:tcPr>
          <w:p w14:paraId="39AA2FA7" w14:textId="77777777" w:rsidR="00037D5F" w:rsidRPr="00152A20" w:rsidRDefault="008E5AA1">
            <w:pPr>
              <w:spacing w:line="240" w:lineRule="auto"/>
              <w:contextualSpacing w:val="0"/>
              <w:rPr>
                <w:lang w:val="en-GB"/>
              </w:rPr>
            </w:pPr>
            <w:r w:rsidRPr="00152A20">
              <w:rPr>
                <w:sz w:val="20"/>
                <w:szCs w:val="20"/>
                <w:lang w:val="en-GB"/>
              </w:rPr>
              <w:t>Regional authorities</w:t>
            </w:r>
          </w:p>
        </w:tc>
        <w:tc>
          <w:tcPr>
            <w:tcW w:w="1500" w:type="dxa"/>
            <w:tcMar>
              <w:left w:w="40" w:type="dxa"/>
              <w:right w:w="40" w:type="dxa"/>
            </w:tcMar>
            <w:vAlign w:val="bottom"/>
          </w:tcPr>
          <w:p w14:paraId="50F2E3C5" w14:textId="77777777" w:rsidR="00037D5F" w:rsidRPr="00152A20" w:rsidRDefault="008E5AA1">
            <w:pPr>
              <w:spacing w:line="240" w:lineRule="auto"/>
              <w:contextualSpacing w:val="0"/>
              <w:jc w:val="right"/>
              <w:rPr>
                <w:lang w:val="en-GB"/>
              </w:rPr>
            </w:pPr>
            <w:r w:rsidRPr="00152A20">
              <w:rPr>
                <w:sz w:val="20"/>
                <w:szCs w:val="20"/>
                <w:lang w:val="en-GB"/>
              </w:rPr>
              <w:t>70</w:t>
            </w:r>
          </w:p>
        </w:tc>
        <w:tc>
          <w:tcPr>
            <w:tcW w:w="1380" w:type="dxa"/>
            <w:tcMar>
              <w:left w:w="40" w:type="dxa"/>
              <w:right w:w="40" w:type="dxa"/>
            </w:tcMar>
            <w:vAlign w:val="bottom"/>
          </w:tcPr>
          <w:p w14:paraId="1118EF0F" w14:textId="77777777" w:rsidR="00037D5F" w:rsidRPr="00152A20" w:rsidRDefault="008E5AA1">
            <w:pPr>
              <w:spacing w:line="240" w:lineRule="auto"/>
              <w:contextualSpacing w:val="0"/>
              <w:jc w:val="right"/>
              <w:rPr>
                <w:lang w:val="en-GB"/>
              </w:rPr>
            </w:pPr>
            <w:r w:rsidRPr="00152A20">
              <w:rPr>
                <w:sz w:val="20"/>
                <w:szCs w:val="20"/>
                <w:lang w:val="en-GB"/>
              </w:rPr>
              <w:t>53</w:t>
            </w:r>
          </w:p>
        </w:tc>
        <w:tc>
          <w:tcPr>
            <w:tcW w:w="2475" w:type="dxa"/>
            <w:tcMar>
              <w:left w:w="40" w:type="dxa"/>
              <w:right w:w="40" w:type="dxa"/>
            </w:tcMar>
            <w:vAlign w:val="bottom"/>
          </w:tcPr>
          <w:p w14:paraId="0497DAE9" w14:textId="2DF7790A" w:rsidR="00037D5F" w:rsidRPr="00152A20" w:rsidRDefault="008E5AA1">
            <w:pPr>
              <w:spacing w:line="240" w:lineRule="auto"/>
              <w:contextualSpacing w:val="0"/>
              <w:jc w:val="right"/>
              <w:rPr>
                <w:lang w:val="en-GB"/>
              </w:rPr>
            </w:pPr>
            <w:r w:rsidRPr="00152A20">
              <w:rPr>
                <w:sz w:val="20"/>
                <w:szCs w:val="20"/>
                <w:lang w:val="en-GB"/>
              </w:rPr>
              <w:t>2</w:t>
            </w:r>
            <w:r w:rsidR="006F3577">
              <w:rPr>
                <w:sz w:val="20"/>
                <w:szCs w:val="20"/>
                <w:lang w:val="en-GB"/>
              </w:rPr>
              <w:t>.</w:t>
            </w:r>
            <w:r w:rsidRPr="00152A20">
              <w:rPr>
                <w:sz w:val="20"/>
                <w:szCs w:val="20"/>
                <w:lang w:val="en-GB"/>
              </w:rPr>
              <w:t>54%</w:t>
            </w:r>
          </w:p>
        </w:tc>
      </w:tr>
      <w:tr w:rsidR="00037D5F" w:rsidRPr="00152A20" w14:paraId="3E4917A3" w14:textId="77777777">
        <w:tc>
          <w:tcPr>
            <w:tcW w:w="3945" w:type="dxa"/>
            <w:tcMar>
              <w:left w:w="40" w:type="dxa"/>
              <w:right w:w="40" w:type="dxa"/>
            </w:tcMar>
            <w:vAlign w:val="bottom"/>
          </w:tcPr>
          <w:p w14:paraId="67F5BE57" w14:textId="77777777" w:rsidR="00037D5F" w:rsidRPr="00152A20" w:rsidRDefault="008E5AA1">
            <w:pPr>
              <w:spacing w:line="240" w:lineRule="auto"/>
              <w:contextualSpacing w:val="0"/>
              <w:rPr>
                <w:lang w:val="en-GB"/>
              </w:rPr>
            </w:pPr>
            <w:r w:rsidRPr="00152A20">
              <w:rPr>
                <w:sz w:val="20"/>
                <w:szCs w:val="20"/>
                <w:lang w:val="en-GB"/>
              </w:rPr>
              <w:t>Ministry of Culture</w:t>
            </w:r>
          </w:p>
        </w:tc>
        <w:tc>
          <w:tcPr>
            <w:tcW w:w="1500" w:type="dxa"/>
            <w:tcMar>
              <w:left w:w="40" w:type="dxa"/>
              <w:right w:w="40" w:type="dxa"/>
            </w:tcMar>
            <w:vAlign w:val="bottom"/>
          </w:tcPr>
          <w:p w14:paraId="5993FA01" w14:textId="77777777" w:rsidR="00037D5F" w:rsidRPr="00152A20" w:rsidRDefault="008E5AA1">
            <w:pPr>
              <w:spacing w:line="240" w:lineRule="auto"/>
              <w:contextualSpacing w:val="0"/>
              <w:jc w:val="right"/>
              <w:rPr>
                <w:lang w:val="en-GB"/>
              </w:rPr>
            </w:pPr>
            <w:r w:rsidRPr="00152A20">
              <w:rPr>
                <w:sz w:val="20"/>
                <w:szCs w:val="20"/>
                <w:lang w:val="en-GB"/>
              </w:rPr>
              <w:t>55</w:t>
            </w:r>
          </w:p>
        </w:tc>
        <w:tc>
          <w:tcPr>
            <w:tcW w:w="1380" w:type="dxa"/>
            <w:tcMar>
              <w:left w:w="40" w:type="dxa"/>
              <w:right w:w="40" w:type="dxa"/>
            </w:tcMar>
            <w:vAlign w:val="bottom"/>
          </w:tcPr>
          <w:p w14:paraId="1CEACF82" w14:textId="77777777" w:rsidR="00037D5F" w:rsidRPr="00152A20" w:rsidRDefault="008E5AA1">
            <w:pPr>
              <w:spacing w:line="240" w:lineRule="auto"/>
              <w:contextualSpacing w:val="0"/>
              <w:jc w:val="right"/>
              <w:rPr>
                <w:lang w:val="en-GB"/>
              </w:rPr>
            </w:pPr>
            <w:r w:rsidRPr="00152A20">
              <w:rPr>
                <w:sz w:val="20"/>
                <w:szCs w:val="20"/>
                <w:lang w:val="en-GB"/>
              </w:rPr>
              <w:t>45</w:t>
            </w:r>
          </w:p>
        </w:tc>
        <w:tc>
          <w:tcPr>
            <w:tcW w:w="2475" w:type="dxa"/>
            <w:tcMar>
              <w:left w:w="40" w:type="dxa"/>
              <w:right w:w="40" w:type="dxa"/>
            </w:tcMar>
            <w:vAlign w:val="bottom"/>
          </w:tcPr>
          <w:p w14:paraId="77276B37" w14:textId="09EB3F91" w:rsidR="00037D5F" w:rsidRPr="00152A20" w:rsidRDefault="008E5AA1">
            <w:pPr>
              <w:spacing w:line="240" w:lineRule="auto"/>
              <w:contextualSpacing w:val="0"/>
              <w:jc w:val="right"/>
              <w:rPr>
                <w:lang w:val="en-GB"/>
              </w:rPr>
            </w:pPr>
            <w:r w:rsidRPr="00152A20">
              <w:rPr>
                <w:sz w:val="20"/>
                <w:szCs w:val="20"/>
                <w:lang w:val="en-GB"/>
              </w:rPr>
              <w:t>1</w:t>
            </w:r>
            <w:r w:rsidR="006F3577">
              <w:rPr>
                <w:sz w:val="20"/>
                <w:szCs w:val="20"/>
                <w:lang w:val="en-GB"/>
              </w:rPr>
              <w:t>.</w:t>
            </w:r>
            <w:r w:rsidRPr="00152A20">
              <w:rPr>
                <w:sz w:val="20"/>
                <w:szCs w:val="20"/>
                <w:lang w:val="en-GB"/>
              </w:rPr>
              <w:t>32%</w:t>
            </w:r>
          </w:p>
        </w:tc>
      </w:tr>
      <w:tr w:rsidR="00037D5F" w:rsidRPr="00152A20" w14:paraId="167DFDD0" w14:textId="77777777">
        <w:tc>
          <w:tcPr>
            <w:tcW w:w="3945" w:type="dxa"/>
            <w:tcMar>
              <w:left w:w="40" w:type="dxa"/>
              <w:right w:w="40" w:type="dxa"/>
            </w:tcMar>
            <w:vAlign w:val="bottom"/>
          </w:tcPr>
          <w:p w14:paraId="151CAF65" w14:textId="77777777" w:rsidR="00037D5F" w:rsidRPr="00152A20" w:rsidRDefault="008E5AA1">
            <w:pPr>
              <w:spacing w:line="240" w:lineRule="auto"/>
              <w:contextualSpacing w:val="0"/>
              <w:rPr>
                <w:lang w:val="en-GB"/>
              </w:rPr>
            </w:pPr>
            <w:r w:rsidRPr="00152A20">
              <w:rPr>
                <w:sz w:val="20"/>
                <w:szCs w:val="20"/>
                <w:lang w:val="en-GB"/>
              </w:rPr>
              <w:t>Federal Agency for Railway Transport</w:t>
            </w:r>
          </w:p>
        </w:tc>
        <w:tc>
          <w:tcPr>
            <w:tcW w:w="1500" w:type="dxa"/>
            <w:tcMar>
              <w:left w:w="40" w:type="dxa"/>
              <w:right w:w="40" w:type="dxa"/>
            </w:tcMar>
            <w:vAlign w:val="bottom"/>
          </w:tcPr>
          <w:p w14:paraId="08816DBE" w14:textId="77777777" w:rsidR="00037D5F" w:rsidRPr="00152A20" w:rsidRDefault="008E5AA1">
            <w:pPr>
              <w:spacing w:line="240" w:lineRule="auto"/>
              <w:contextualSpacing w:val="0"/>
              <w:jc w:val="right"/>
              <w:rPr>
                <w:lang w:val="en-GB"/>
              </w:rPr>
            </w:pPr>
            <w:r w:rsidRPr="00152A20">
              <w:rPr>
                <w:sz w:val="20"/>
                <w:szCs w:val="20"/>
                <w:lang w:val="en-GB"/>
              </w:rPr>
              <w:t>51</w:t>
            </w:r>
          </w:p>
        </w:tc>
        <w:tc>
          <w:tcPr>
            <w:tcW w:w="1380" w:type="dxa"/>
            <w:tcMar>
              <w:left w:w="40" w:type="dxa"/>
              <w:right w:w="40" w:type="dxa"/>
            </w:tcMar>
            <w:vAlign w:val="bottom"/>
          </w:tcPr>
          <w:p w14:paraId="685BC067" w14:textId="77777777" w:rsidR="00037D5F" w:rsidRPr="00152A20" w:rsidRDefault="008E5AA1">
            <w:pPr>
              <w:spacing w:line="240" w:lineRule="auto"/>
              <w:contextualSpacing w:val="0"/>
              <w:jc w:val="right"/>
              <w:rPr>
                <w:lang w:val="en-GB"/>
              </w:rPr>
            </w:pPr>
            <w:r w:rsidRPr="00152A20">
              <w:rPr>
                <w:sz w:val="20"/>
                <w:szCs w:val="20"/>
                <w:lang w:val="en-GB"/>
              </w:rPr>
              <w:t>9</w:t>
            </w:r>
          </w:p>
        </w:tc>
        <w:tc>
          <w:tcPr>
            <w:tcW w:w="2475" w:type="dxa"/>
            <w:tcMar>
              <w:left w:w="40" w:type="dxa"/>
              <w:right w:w="40" w:type="dxa"/>
            </w:tcMar>
            <w:vAlign w:val="bottom"/>
          </w:tcPr>
          <w:p w14:paraId="22F119F8" w14:textId="20F2435E" w:rsidR="00037D5F" w:rsidRPr="00152A20" w:rsidRDefault="008E5AA1">
            <w:pPr>
              <w:spacing w:line="240" w:lineRule="auto"/>
              <w:contextualSpacing w:val="0"/>
              <w:jc w:val="right"/>
              <w:rPr>
                <w:lang w:val="en-GB"/>
              </w:rPr>
            </w:pPr>
            <w:r w:rsidRPr="00152A20">
              <w:rPr>
                <w:sz w:val="20"/>
                <w:szCs w:val="20"/>
                <w:lang w:val="en-GB"/>
              </w:rPr>
              <w:t>2</w:t>
            </w:r>
            <w:r w:rsidR="006F3577">
              <w:rPr>
                <w:sz w:val="20"/>
                <w:szCs w:val="20"/>
                <w:lang w:val="en-GB"/>
              </w:rPr>
              <w:t>.</w:t>
            </w:r>
            <w:r w:rsidRPr="00152A20">
              <w:rPr>
                <w:sz w:val="20"/>
                <w:szCs w:val="20"/>
                <w:lang w:val="en-GB"/>
              </w:rPr>
              <w:t>64%</w:t>
            </w:r>
          </w:p>
        </w:tc>
      </w:tr>
      <w:tr w:rsidR="00037D5F" w:rsidRPr="00152A20" w14:paraId="79893BE5" w14:textId="77777777">
        <w:tc>
          <w:tcPr>
            <w:tcW w:w="3945" w:type="dxa"/>
            <w:tcMar>
              <w:left w:w="40" w:type="dxa"/>
              <w:right w:w="40" w:type="dxa"/>
            </w:tcMar>
            <w:vAlign w:val="bottom"/>
          </w:tcPr>
          <w:p w14:paraId="7A7EC94F" w14:textId="77777777" w:rsidR="00037D5F" w:rsidRPr="00152A20" w:rsidRDefault="008E5AA1">
            <w:pPr>
              <w:spacing w:line="240" w:lineRule="auto"/>
              <w:contextualSpacing w:val="0"/>
              <w:rPr>
                <w:lang w:val="en-GB"/>
              </w:rPr>
            </w:pPr>
            <w:r w:rsidRPr="00152A20">
              <w:rPr>
                <w:sz w:val="20"/>
                <w:szCs w:val="20"/>
                <w:lang w:val="en-GB"/>
              </w:rPr>
              <w:t>Ministry of Health and Social Development</w:t>
            </w:r>
          </w:p>
        </w:tc>
        <w:tc>
          <w:tcPr>
            <w:tcW w:w="1500" w:type="dxa"/>
            <w:tcMar>
              <w:left w:w="40" w:type="dxa"/>
              <w:right w:w="40" w:type="dxa"/>
            </w:tcMar>
            <w:vAlign w:val="bottom"/>
          </w:tcPr>
          <w:p w14:paraId="6CFDD71B" w14:textId="77777777" w:rsidR="00037D5F" w:rsidRPr="00152A20" w:rsidRDefault="008E5AA1">
            <w:pPr>
              <w:spacing w:line="240" w:lineRule="auto"/>
              <w:contextualSpacing w:val="0"/>
              <w:jc w:val="right"/>
              <w:rPr>
                <w:lang w:val="en-GB"/>
              </w:rPr>
            </w:pPr>
            <w:r w:rsidRPr="00152A20">
              <w:rPr>
                <w:sz w:val="20"/>
                <w:szCs w:val="20"/>
                <w:lang w:val="en-GB"/>
              </w:rPr>
              <w:t>48</w:t>
            </w:r>
          </w:p>
        </w:tc>
        <w:tc>
          <w:tcPr>
            <w:tcW w:w="1380" w:type="dxa"/>
            <w:tcMar>
              <w:left w:w="40" w:type="dxa"/>
              <w:right w:w="40" w:type="dxa"/>
            </w:tcMar>
            <w:vAlign w:val="bottom"/>
          </w:tcPr>
          <w:p w14:paraId="613206F1" w14:textId="77777777" w:rsidR="00037D5F" w:rsidRPr="00152A20" w:rsidRDefault="008E5AA1">
            <w:pPr>
              <w:spacing w:line="240" w:lineRule="auto"/>
              <w:contextualSpacing w:val="0"/>
              <w:jc w:val="right"/>
              <w:rPr>
                <w:lang w:val="en-GB"/>
              </w:rPr>
            </w:pPr>
            <w:r w:rsidRPr="00152A20">
              <w:rPr>
                <w:sz w:val="20"/>
                <w:szCs w:val="20"/>
                <w:lang w:val="en-GB"/>
              </w:rPr>
              <w:t>46</w:t>
            </w:r>
          </w:p>
        </w:tc>
        <w:tc>
          <w:tcPr>
            <w:tcW w:w="2475" w:type="dxa"/>
            <w:tcMar>
              <w:left w:w="40" w:type="dxa"/>
              <w:right w:w="40" w:type="dxa"/>
            </w:tcMar>
            <w:vAlign w:val="bottom"/>
          </w:tcPr>
          <w:p w14:paraId="57412730" w14:textId="090F2EA4" w:rsidR="00037D5F" w:rsidRPr="00152A20" w:rsidRDefault="008E5AA1">
            <w:pPr>
              <w:spacing w:line="240" w:lineRule="auto"/>
              <w:contextualSpacing w:val="0"/>
              <w:jc w:val="right"/>
              <w:rPr>
                <w:lang w:val="en-GB"/>
              </w:rPr>
            </w:pPr>
            <w:r w:rsidRPr="00152A20">
              <w:rPr>
                <w:sz w:val="20"/>
                <w:szCs w:val="20"/>
                <w:lang w:val="en-GB"/>
              </w:rPr>
              <w:t>4</w:t>
            </w:r>
            <w:r w:rsidR="006F3577">
              <w:rPr>
                <w:sz w:val="20"/>
                <w:szCs w:val="20"/>
                <w:lang w:val="en-GB"/>
              </w:rPr>
              <w:t>.</w:t>
            </w:r>
            <w:r w:rsidRPr="00152A20">
              <w:rPr>
                <w:sz w:val="20"/>
                <w:szCs w:val="20"/>
                <w:lang w:val="en-GB"/>
              </w:rPr>
              <w:t>13%</w:t>
            </w:r>
          </w:p>
        </w:tc>
      </w:tr>
      <w:tr w:rsidR="00037D5F" w:rsidRPr="00152A20" w14:paraId="49C342FF" w14:textId="77777777">
        <w:tc>
          <w:tcPr>
            <w:tcW w:w="3945" w:type="dxa"/>
            <w:tcMar>
              <w:left w:w="40" w:type="dxa"/>
              <w:right w:w="40" w:type="dxa"/>
            </w:tcMar>
            <w:vAlign w:val="bottom"/>
          </w:tcPr>
          <w:p w14:paraId="20CBA9C5" w14:textId="77777777" w:rsidR="00037D5F" w:rsidRPr="00152A20" w:rsidRDefault="008E5AA1">
            <w:pPr>
              <w:spacing w:line="240" w:lineRule="auto"/>
              <w:contextualSpacing w:val="0"/>
              <w:rPr>
                <w:lang w:val="en-GB"/>
              </w:rPr>
            </w:pPr>
            <w:r w:rsidRPr="00152A20">
              <w:rPr>
                <w:sz w:val="20"/>
                <w:szCs w:val="20"/>
                <w:lang w:val="en-GB"/>
              </w:rPr>
              <w:t>Ministry of Sport</w:t>
            </w:r>
          </w:p>
        </w:tc>
        <w:tc>
          <w:tcPr>
            <w:tcW w:w="1500" w:type="dxa"/>
            <w:tcMar>
              <w:left w:w="40" w:type="dxa"/>
              <w:right w:w="40" w:type="dxa"/>
            </w:tcMar>
            <w:vAlign w:val="bottom"/>
          </w:tcPr>
          <w:p w14:paraId="403C9B7F" w14:textId="77777777" w:rsidR="00037D5F" w:rsidRPr="00152A20" w:rsidRDefault="008E5AA1">
            <w:pPr>
              <w:spacing w:line="240" w:lineRule="auto"/>
              <w:contextualSpacing w:val="0"/>
              <w:jc w:val="right"/>
              <w:rPr>
                <w:lang w:val="en-GB"/>
              </w:rPr>
            </w:pPr>
            <w:r w:rsidRPr="00152A20">
              <w:rPr>
                <w:sz w:val="20"/>
                <w:szCs w:val="20"/>
                <w:lang w:val="en-GB"/>
              </w:rPr>
              <w:t>22</w:t>
            </w:r>
          </w:p>
        </w:tc>
        <w:tc>
          <w:tcPr>
            <w:tcW w:w="1380" w:type="dxa"/>
            <w:tcMar>
              <w:left w:w="40" w:type="dxa"/>
              <w:right w:w="40" w:type="dxa"/>
            </w:tcMar>
            <w:vAlign w:val="bottom"/>
          </w:tcPr>
          <w:p w14:paraId="70262210" w14:textId="77777777" w:rsidR="00037D5F" w:rsidRPr="00152A20" w:rsidRDefault="008E5AA1">
            <w:pPr>
              <w:spacing w:line="240" w:lineRule="auto"/>
              <w:contextualSpacing w:val="0"/>
              <w:jc w:val="right"/>
              <w:rPr>
                <w:lang w:val="en-GB"/>
              </w:rPr>
            </w:pPr>
            <w:r w:rsidRPr="00152A20">
              <w:rPr>
                <w:sz w:val="20"/>
                <w:szCs w:val="20"/>
                <w:lang w:val="en-GB"/>
              </w:rPr>
              <w:t>14</w:t>
            </w:r>
          </w:p>
        </w:tc>
        <w:tc>
          <w:tcPr>
            <w:tcW w:w="2475" w:type="dxa"/>
            <w:tcMar>
              <w:left w:w="40" w:type="dxa"/>
              <w:right w:w="40" w:type="dxa"/>
            </w:tcMar>
            <w:vAlign w:val="bottom"/>
          </w:tcPr>
          <w:p w14:paraId="01F5B23B" w14:textId="267CF39D" w:rsidR="00037D5F" w:rsidRPr="00152A20" w:rsidRDefault="008E5AA1">
            <w:pPr>
              <w:spacing w:line="240" w:lineRule="auto"/>
              <w:contextualSpacing w:val="0"/>
              <w:jc w:val="right"/>
              <w:rPr>
                <w:lang w:val="en-GB"/>
              </w:rPr>
            </w:pPr>
            <w:r w:rsidRPr="00152A20">
              <w:rPr>
                <w:sz w:val="20"/>
                <w:szCs w:val="20"/>
                <w:lang w:val="en-GB"/>
              </w:rPr>
              <w:t>0</w:t>
            </w:r>
            <w:r w:rsidR="006F3577">
              <w:rPr>
                <w:sz w:val="20"/>
                <w:szCs w:val="20"/>
                <w:lang w:val="en-GB"/>
              </w:rPr>
              <w:t>.</w:t>
            </w:r>
            <w:r w:rsidRPr="00152A20">
              <w:rPr>
                <w:sz w:val="20"/>
                <w:szCs w:val="20"/>
                <w:lang w:val="en-GB"/>
              </w:rPr>
              <w:t>78%</w:t>
            </w:r>
          </w:p>
        </w:tc>
      </w:tr>
      <w:tr w:rsidR="00037D5F" w:rsidRPr="00152A20" w14:paraId="40EA5D5F" w14:textId="77777777">
        <w:tc>
          <w:tcPr>
            <w:tcW w:w="3945" w:type="dxa"/>
            <w:tcMar>
              <w:left w:w="40" w:type="dxa"/>
              <w:right w:w="40" w:type="dxa"/>
            </w:tcMar>
            <w:vAlign w:val="bottom"/>
          </w:tcPr>
          <w:p w14:paraId="62EE0801" w14:textId="77777777" w:rsidR="00037D5F" w:rsidRPr="00152A20" w:rsidRDefault="008E5AA1">
            <w:pPr>
              <w:spacing w:line="240" w:lineRule="auto"/>
              <w:contextualSpacing w:val="0"/>
              <w:rPr>
                <w:lang w:val="en-GB"/>
              </w:rPr>
            </w:pPr>
            <w:r w:rsidRPr="00152A20">
              <w:rPr>
                <w:sz w:val="20"/>
                <w:szCs w:val="20"/>
                <w:lang w:val="en-GB"/>
              </w:rPr>
              <w:t>Federal Agency for Marine and River Transport</w:t>
            </w:r>
          </w:p>
        </w:tc>
        <w:tc>
          <w:tcPr>
            <w:tcW w:w="1500" w:type="dxa"/>
            <w:tcMar>
              <w:left w:w="40" w:type="dxa"/>
              <w:right w:w="40" w:type="dxa"/>
            </w:tcMar>
            <w:vAlign w:val="bottom"/>
          </w:tcPr>
          <w:p w14:paraId="60B5F743" w14:textId="77777777" w:rsidR="00037D5F" w:rsidRPr="00152A20" w:rsidRDefault="008E5AA1">
            <w:pPr>
              <w:spacing w:line="240" w:lineRule="auto"/>
              <w:contextualSpacing w:val="0"/>
              <w:jc w:val="right"/>
              <w:rPr>
                <w:lang w:val="en-GB"/>
              </w:rPr>
            </w:pPr>
            <w:r w:rsidRPr="00152A20">
              <w:rPr>
                <w:sz w:val="20"/>
                <w:szCs w:val="20"/>
                <w:lang w:val="en-GB"/>
              </w:rPr>
              <w:t>20</w:t>
            </w:r>
          </w:p>
        </w:tc>
        <w:tc>
          <w:tcPr>
            <w:tcW w:w="1380" w:type="dxa"/>
            <w:tcMar>
              <w:left w:w="40" w:type="dxa"/>
              <w:right w:w="40" w:type="dxa"/>
            </w:tcMar>
            <w:vAlign w:val="bottom"/>
          </w:tcPr>
          <w:p w14:paraId="3FDBAA91" w14:textId="77777777" w:rsidR="00037D5F" w:rsidRPr="00152A20" w:rsidRDefault="008E5AA1">
            <w:pPr>
              <w:spacing w:line="240" w:lineRule="auto"/>
              <w:contextualSpacing w:val="0"/>
              <w:jc w:val="right"/>
              <w:rPr>
                <w:lang w:val="en-GB"/>
              </w:rPr>
            </w:pPr>
            <w:r w:rsidRPr="00152A20">
              <w:rPr>
                <w:sz w:val="20"/>
                <w:szCs w:val="20"/>
                <w:lang w:val="en-GB"/>
              </w:rPr>
              <w:t>6</w:t>
            </w:r>
          </w:p>
        </w:tc>
        <w:tc>
          <w:tcPr>
            <w:tcW w:w="2475" w:type="dxa"/>
            <w:tcMar>
              <w:left w:w="40" w:type="dxa"/>
              <w:right w:w="40" w:type="dxa"/>
            </w:tcMar>
            <w:vAlign w:val="bottom"/>
          </w:tcPr>
          <w:p w14:paraId="692B65B9" w14:textId="229AA40E" w:rsidR="00037D5F" w:rsidRPr="00152A20" w:rsidRDefault="008E5AA1">
            <w:pPr>
              <w:spacing w:line="240" w:lineRule="auto"/>
              <w:contextualSpacing w:val="0"/>
              <w:jc w:val="right"/>
              <w:rPr>
                <w:lang w:val="en-GB"/>
              </w:rPr>
            </w:pPr>
            <w:r w:rsidRPr="00152A20">
              <w:rPr>
                <w:sz w:val="20"/>
                <w:szCs w:val="20"/>
                <w:lang w:val="en-GB"/>
              </w:rPr>
              <w:t>0</w:t>
            </w:r>
            <w:r w:rsidR="006F3577">
              <w:rPr>
                <w:sz w:val="20"/>
                <w:szCs w:val="20"/>
                <w:lang w:val="en-GB"/>
              </w:rPr>
              <w:t>.</w:t>
            </w:r>
            <w:r w:rsidRPr="00152A20">
              <w:rPr>
                <w:sz w:val="20"/>
                <w:szCs w:val="20"/>
                <w:lang w:val="en-GB"/>
              </w:rPr>
              <w:t>76%</w:t>
            </w:r>
          </w:p>
        </w:tc>
      </w:tr>
      <w:tr w:rsidR="00037D5F" w:rsidRPr="00152A20" w14:paraId="51A88462" w14:textId="77777777">
        <w:tc>
          <w:tcPr>
            <w:tcW w:w="3945" w:type="dxa"/>
            <w:tcMar>
              <w:left w:w="40" w:type="dxa"/>
              <w:right w:w="40" w:type="dxa"/>
            </w:tcMar>
            <w:vAlign w:val="bottom"/>
          </w:tcPr>
          <w:p w14:paraId="7A0CE651" w14:textId="77777777" w:rsidR="00037D5F" w:rsidRPr="00152A20" w:rsidRDefault="008E5AA1">
            <w:pPr>
              <w:spacing w:line="240" w:lineRule="auto"/>
              <w:contextualSpacing w:val="0"/>
              <w:rPr>
                <w:lang w:val="en-GB"/>
              </w:rPr>
            </w:pPr>
            <w:r w:rsidRPr="00152A20">
              <w:rPr>
                <w:sz w:val="20"/>
                <w:szCs w:val="20"/>
                <w:lang w:val="en-GB"/>
              </w:rPr>
              <w:t>Ministry of Justice</w:t>
            </w:r>
          </w:p>
        </w:tc>
        <w:tc>
          <w:tcPr>
            <w:tcW w:w="1500" w:type="dxa"/>
            <w:tcMar>
              <w:left w:w="40" w:type="dxa"/>
              <w:right w:w="40" w:type="dxa"/>
            </w:tcMar>
            <w:vAlign w:val="bottom"/>
          </w:tcPr>
          <w:p w14:paraId="5BECA557" w14:textId="77777777" w:rsidR="00037D5F" w:rsidRPr="00152A20" w:rsidRDefault="008E5AA1">
            <w:pPr>
              <w:spacing w:line="240" w:lineRule="auto"/>
              <w:contextualSpacing w:val="0"/>
              <w:jc w:val="right"/>
              <w:rPr>
                <w:lang w:val="en-GB"/>
              </w:rPr>
            </w:pPr>
            <w:r w:rsidRPr="00152A20">
              <w:rPr>
                <w:sz w:val="20"/>
                <w:szCs w:val="20"/>
                <w:lang w:val="en-GB"/>
              </w:rPr>
              <w:t>13</w:t>
            </w:r>
          </w:p>
        </w:tc>
        <w:tc>
          <w:tcPr>
            <w:tcW w:w="1380" w:type="dxa"/>
            <w:tcMar>
              <w:left w:w="40" w:type="dxa"/>
              <w:right w:w="40" w:type="dxa"/>
            </w:tcMar>
            <w:vAlign w:val="bottom"/>
          </w:tcPr>
          <w:p w14:paraId="208FD472" w14:textId="77777777" w:rsidR="00037D5F" w:rsidRPr="00152A20" w:rsidRDefault="008E5AA1">
            <w:pPr>
              <w:spacing w:line="240" w:lineRule="auto"/>
              <w:contextualSpacing w:val="0"/>
              <w:jc w:val="right"/>
              <w:rPr>
                <w:lang w:val="en-GB"/>
              </w:rPr>
            </w:pPr>
            <w:r w:rsidRPr="00152A20">
              <w:rPr>
                <w:sz w:val="20"/>
                <w:szCs w:val="20"/>
                <w:lang w:val="en-GB"/>
              </w:rPr>
              <w:t>1</w:t>
            </w:r>
          </w:p>
        </w:tc>
        <w:tc>
          <w:tcPr>
            <w:tcW w:w="2475" w:type="dxa"/>
            <w:tcMar>
              <w:left w:w="40" w:type="dxa"/>
              <w:right w:w="40" w:type="dxa"/>
            </w:tcMar>
            <w:vAlign w:val="bottom"/>
          </w:tcPr>
          <w:p w14:paraId="48D5EB16" w14:textId="219474A5" w:rsidR="00037D5F" w:rsidRPr="00152A20" w:rsidRDefault="008E5AA1">
            <w:pPr>
              <w:spacing w:line="240" w:lineRule="auto"/>
              <w:contextualSpacing w:val="0"/>
              <w:jc w:val="right"/>
              <w:rPr>
                <w:lang w:val="en-GB"/>
              </w:rPr>
            </w:pPr>
            <w:r w:rsidRPr="00152A20">
              <w:rPr>
                <w:sz w:val="20"/>
                <w:szCs w:val="20"/>
                <w:lang w:val="en-GB"/>
              </w:rPr>
              <w:t>0</w:t>
            </w:r>
            <w:r w:rsidR="006F3577">
              <w:rPr>
                <w:sz w:val="20"/>
                <w:szCs w:val="20"/>
                <w:lang w:val="en-GB"/>
              </w:rPr>
              <w:t>.</w:t>
            </w:r>
            <w:r w:rsidRPr="00152A20">
              <w:rPr>
                <w:sz w:val="20"/>
                <w:szCs w:val="20"/>
                <w:lang w:val="en-GB"/>
              </w:rPr>
              <w:t>33%</w:t>
            </w:r>
          </w:p>
        </w:tc>
      </w:tr>
      <w:tr w:rsidR="00037D5F" w:rsidRPr="00152A20" w14:paraId="634BC8D5" w14:textId="77777777">
        <w:tc>
          <w:tcPr>
            <w:tcW w:w="3945" w:type="dxa"/>
            <w:tcMar>
              <w:left w:w="40" w:type="dxa"/>
              <w:right w:w="40" w:type="dxa"/>
            </w:tcMar>
            <w:vAlign w:val="bottom"/>
          </w:tcPr>
          <w:p w14:paraId="48EB71D4" w14:textId="77777777" w:rsidR="00037D5F" w:rsidRPr="00152A20" w:rsidRDefault="008E5AA1">
            <w:pPr>
              <w:spacing w:line="240" w:lineRule="auto"/>
              <w:contextualSpacing w:val="0"/>
              <w:rPr>
                <w:lang w:val="en-GB"/>
              </w:rPr>
            </w:pPr>
            <w:r w:rsidRPr="00152A20">
              <w:rPr>
                <w:sz w:val="20"/>
                <w:szCs w:val="20"/>
                <w:lang w:val="en-GB"/>
              </w:rPr>
              <w:t>Supreme Court</w:t>
            </w:r>
          </w:p>
        </w:tc>
        <w:tc>
          <w:tcPr>
            <w:tcW w:w="1500" w:type="dxa"/>
            <w:tcMar>
              <w:left w:w="40" w:type="dxa"/>
              <w:right w:w="40" w:type="dxa"/>
            </w:tcMar>
            <w:vAlign w:val="bottom"/>
          </w:tcPr>
          <w:p w14:paraId="0B7A9DC6" w14:textId="77777777" w:rsidR="00037D5F" w:rsidRPr="00152A20" w:rsidRDefault="008E5AA1">
            <w:pPr>
              <w:spacing w:line="240" w:lineRule="auto"/>
              <w:contextualSpacing w:val="0"/>
              <w:jc w:val="right"/>
              <w:rPr>
                <w:lang w:val="en-GB"/>
              </w:rPr>
            </w:pPr>
            <w:r w:rsidRPr="00152A20">
              <w:rPr>
                <w:sz w:val="20"/>
                <w:szCs w:val="20"/>
                <w:lang w:val="en-GB"/>
              </w:rPr>
              <w:t>11</w:t>
            </w:r>
          </w:p>
        </w:tc>
        <w:tc>
          <w:tcPr>
            <w:tcW w:w="1380" w:type="dxa"/>
            <w:tcMar>
              <w:left w:w="40" w:type="dxa"/>
              <w:right w:w="40" w:type="dxa"/>
            </w:tcMar>
            <w:vAlign w:val="bottom"/>
          </w:tcPr>
          <w:p w14:paraId="7A035A8A" w14:textId="77777777" w:rsidR="00037D5F" w:rsidRPr="00152A20" w:rsidRDefault="008E5AA1">
            <w:pPr>
              <w:spacing w:line="240" w:lineRule="auto"/>
              <w:contextualSpacing w:val="0"/>
              <w:jc w:val="right"/>
              <w:rPr>
                <w:lang w:val="en-GB"/>
              </w:rPr>
            </w:pPr>
            <w:r w:rsidRPr="00152A20">
              <w:rPr>
                <w:sz w:val="20"/>
                <w:szCs w:val="20"/>
                <w:lang w:val="en-GB"/>
              </w:rPr>
              <w:t>1</w:t>
            </w:r>
          </w:p>
        </w:tc>
        <w:tc>
          <w:tcPr>
            <w:tcW w:w="2475" w:type="dxa"/>
            <w:tcMar>
              <w:left w:w="40" w:type="dxa"/>
              <w:right w:w="40" w:type="dxa"/>
            </w:tcMar>
            <w:vAlign w:val="bottom"/>
          </w:tcPr>
          <w:p w14:paraId="6DB56760" w14:textId="574BA353" w:rsidR="00037D5F" w:rsidRPr="00152A20" w:rsidRDefault="008E5AA1">
            <w:pPr>
              <w:spacing w:line="240" w:lineRule="auto"/>
              <w:contextualSpacing w:val="0"/>
              <w:jc w:val="right"/>
              <w:rPr>
                <w:lang w:val="en-GB"/>
              </w:rPr>
            </w:pPr>
            <w:r w:rsidRPr="00152A20">
              <w:rPr>
                <w:sz w:val="20"/>
                <w:szCs w:val="20"/>
                <w:lang w:val="en-GB"/>
              </w:rPr>
              <w:t>0</w:t>
            </w:r>
            <w:r w:rsidR="006F3577">
              <w:rPr>
                <w:sz w:val="20"/>
                <w:szCs w:val="20"/>
                <w:lang w:val="en-GB"/>
              </w:rPr>
              <w:t>.</w:t>
            </w:r>
            <w:r w:rsidRPr="00152A20">
              <w:rPr>
                <w:sz w:val="20"/>
                <w:szCs w:val="20"/>
                <w:lang w:val="en-GB"/>
              </w:rPr>
              <w:t>29%</w:t>
            </w:r>
          </w:p>
        </w:tc>
      </w:tr>
      <w:tr w:rsidR="00037D5F" w:rsidRPr="00152A20" w14:paraId="5622F970" w14:textId="77777777">
        <w:tc>
          <w:tcPr>
            <w:tcW w:w="3945" w:type="dxa"/>
            <w:tcMar>
              <w:left w:w="40" w:type="dxa"/>
              <w:right w:w="40" w:type="dxa"/>
            </w:tcMar>
            <w:vAlign w:val="bottom"/>
          </w:tcPr>
          <w:p w14:paraId="6D647010" w14:textId="77777777" w:rsidR="00037D5F" w:rsidRPr="00152A20" w:rsidRDefault="008E5AA1">
            <w:pPr>
              <w:spacing w:line="240" w:lineRule="auto"/>
              <w:contextualSpacing w:val="0"/>
              <w:rPr>
                <w:lang w:val="en-GB"/>
              </w:rPr>
            </w:pPr>
            <w:r w:rsidRPr="00152A20">
              <w:rPr>
                <w:sz w:val="20"/>
                <w:szCs w:val="20"/>
                <w:lang w:val="en-GB"/>
              </w:rPr>
              <w:t>Federal Communications Agency</w:t>
            </w:r>
          </w:p>
        </w:tc>
        <w:tc>
          <w:tcPr>
            <w:tcW w:w="1500" w:type="dxa"/>
            <w:tcMar>
              <w:left w:w="40" w:type="dxa"/>
              <w:right w:w="40" w:type="dxa"/>
            </w:tcMar>
            <w:vAlign w:val="bottom"/>
          </w:tcPr>
          <w:p w14:paraId="412C0A1A" w14:textId="77777777" w:rsidR="00037D5F" w:rsidRPr="00152A20" w:rsidRDefault="008E5AA1">
            <w:pPr>
              <w:spacing w:line="240" w:lineRule="auto"/>
              <w:contextualSpacing w:val="0"/>
              <w:jc w:val="right"/>
              <w:rPr>
                <w:lang w:val="en-GB"/>
              </w:rPr>
            </w:pPr>
            <w:r w:rsidRPr="00152A20">
              <w:rPr>
                <w:sz w:val="20"/>
                <w:szCs w:val="20"/>
                <w:lang w:val="en-GB"/>
              </w:rPr>
              <w:t>11</w:t>
            </w:r>
          </w:p>
        </w:tc>
        <w:tc>
          <w:tcPr>
            <w:tcW w:w="1380" w:type="dxa"/>
            <w:tcMar>
              <w:left w:w="40" w:type="dxa"/>
              <w:right w:w="40" w:type="dxa"/>
            </w:tcMar>
            <w:vAlign w:val="bottom"/>
          </w:tcPr>
          <w:p w14:paraId="518C5DB0" w14:textId="77777777" w:rsidR="00037D5F" w:rsidRPr="00152A20" w:rsidRDefault="008E5AA1">
            <w:pPr>
              <w:spacing w:line="240" w:lineRule="auto"/>
              <w:contextualSpacing w:val="0"/>
              <w:jc w:val="right"/>
              <w:rPr>
                <w:lang w:val="en-GB"/>
              </w:rPr>
            </w:pPr>
            <w:r w:rsidRPr="00152A20">
              <w:rPr>
                <w:sz w:val="20"/>
                <w:szCs w:val="20"/>
                <w:lang w:val="en-GB"/>
              </w:rPr>
              <w:t>4</w:t>
            </w:r>
          </w:p>
        </w:tc>
        <w:tc>
          <w:tcPr>
            <w:tcW w:w="2475" w:type="dxa"/>
            <w:tcMar>
              <w:left w:w="40" w:type="dxa"/>
              <w:right w:w="40" w:type="dxa"/>
            </w:tcMar>
            <w:vAlign w:val="bottom"/>
          </w:tcPr>
          <w:p w14:paraId="10F30567" w14:textId="0BC588A3" w:rsidR="00037D5F" w:rsidRPr="00152A20" w:rsidRDefault="008E5AA1">
            <w:pPr>
              <w:spacing w:line="240" w:lineRule="auto"/>
              <w:contextualSpacing w:val="0"/>
              <w:jc w:val="right"/>
              <w:rPr>
                <w:lang w:val="en-GB"/>
              </w:rPr>
            </w:pPr>
            <w:r w:rsidRPr="00152A20">
              <w:rPr>
                <w:sz w:val="20"/>
                <w:szCs w:val="20"/>
                <w:lang w:val="en-GB"/>
              </w:rPr>
              <w:t>0</w:t>
            </w:r>
            <w:r w:rsidR="006F3577">
              <w:rPr>
                <w:sz w:val="20"/>
                <w:szCs w:val="20"/>
                <w:lang w:val="en-GB"/>
              </w:rPr>
              <w:t>.</w:t>
            </w:r>
            <w:r w:rsidRPr="00152A20">
              <w:rPr>
                <w:sz w:val="20"/>
                <w:szCs w:val="20"/>
                <w:lang w:val="en-GB"/>
              </w:rPr>
              <w:t>53%</w:t>
            </w:r>
          </w:p>
        </w:tc>
      </w:tr>
      <w:tr w:rsidR="00037D5F" w:rsidRPr="00152A20" w14:paraId="1F094316" w14:textId="77777777">
        <w:tc>
          <w:tcPr>
            <w:tcW w:w="3945" w:type="dxa"/>
            <w:tcMar>
              <w:left w:w="40" w:type="dxa"/>
              <w:right w:w="40" w:type="dxa"/>
            </w:tcMar>
            <w:vAlign w:val="bottom"/>
          </w:tcPr>
          <w:p w14:paraId="16C8204C" w14:textId="77777777" w:rsidR="00037D5F" w:rsidRPr="00152A20" w:rsidRDefault="008E5AA1">
            <w:pPr>
              <w:spacing w:line="240" w:lineRule="auto"/>
              <w:contextualSpacing w:val="0"/>
              <w:rPr>
                <w:lang w:val="en-GB"/>
              </w:rPr>
            </w:pPr>
            <w:r w:rsidRPr="00152A20">
              <w:rPr>
                <w:sz w:val="20"/>
                <w:szCs w:val="20"/>
                <w:lang w:val="en-GB"/>
              </w:rPr>
              <w:t>Federal Fishery Agency</w:t>
            </w:r>
          </w:p>
        </w:tc>
        <w:tc>
          <w:tcPr>
            <w:tcW w:w="1500" w:type="dxa"/>
            <w:tcMar>
              <w:left w:w="40" w:type="dxa"/>
              <w:right w:w="40" w:type="dxa"/>
            </w:tcMar>
            <w:vAlign w:val="bottom"/>
          </w:tcPr>
          <w:p w14:paraId="168BB896" w14:textId="77777777" w:rsidR="00037D5F" w:rsidRPr="00152A20" w:rsidRDefault="008E5AA1">
            <w:pPr>
              <w:spacing w:line="240" w:lineRule="auto"/>
              <w:contextualSpacing w:val="0"/>
              <w:jc w:val="right"/>
              <w:rPr>
                <w:lang w:val="en-GB"/>
              </w:rPr>
            </w:pPr>
            <w:r w:rsidRPr="00152A20">
              <w:rPr>
                <w:sz w:val="20"/>
                <w:szCs w:val="20"/>
                <w:lang w:val="en-GB"/>
              </w:rPr>
              <w:t>8</w:t>
            </w:r>
          </w:p>
        </w:tc>
        <w:tc>
          <w:tcPr>
            <w:tcW w:w="1380" w:type="dxa"/>
            <w:tcMar>
              <w:left w:w="40" w:type="dxa"/>
              <w:right w:w="40" w:type="dxa"/>
            </w:tcMar>
            <w:vAlign w:val="bottom"/>
          </w:tcPr>
          <w:p w14:paraId="09351615" w14:textId="77777777" w:rsidR="00037D5F" w:rsidRPr="00152A20" w:rsidRDefault="008E5AA1">
            <w:pPr>
              <w:spacing w:line="240" w:lineRule="auto"/>
              <w:contextualSpacing w:val="0"/>
              <w:jc w:val="right"/>
              <w:rPr>
                <w:lang w:val="en-GB"/>
              </w:rPr>
            </w:pPr>
            <w:r w:rsidRPr="00152A20">
              <w:rPr>
                <w:sz w:val="20"/>
                <w:szCs w:val="20"/>
                <w:lang w:val="en-GB"/>
              </w:rPr>
              <w:t>6</w:t>
            </w:r>
          </w:p>
        </w:tc>
        <w:tc>
          <w:tcPr>
            <w:tcW w:w="2475" w:type="dxa"/>
            <w:tcMar>
              <w:left w:w="40" w:type="dxa"/>
              <w:right w:w="40" w:type="dxa"/>
            </w:tcMar>
            <w:vAlign w:val="bottom"/>
          </w:tcPr>
          <w:p w14:paraId="549CD0F6" w14:textId="341794C1" w:rsidR="00037D5F" w:rsidRPr="00152A20" w:rsidRDefault="008E5AA1">
            <w:pPr>
              <w:spacing w:line="240" w:lineRule="auto"/>
              <w:contextualSpacing w:val="0"/>
              <w:jc w:val="right"/>
              <w:rPr>
                <w:lang w:val="en-GB"/>
              </w:rPr>
            </w:pPr>
            <w:r w:rsidRPr="00152A20">
              <w:rPr>
                <w:sz w:val="20"/>
                <w:szCs w:val="20"/>
                <w:lang w:val="en-GB"/>
              </w:rPr>
              <w:t>0</w:t>
            </w:r>
            <w:r w:rsidR="006F3577">
              <w:rPr>
                <w:sz w:val="20"/>
                <w:szCs w:val="20"/>
                <w:lang w:val="en-GB"/>
              </w:rPr>
              <w:t>.</w:t>
            </w:r>
            <w:r w:rsidRPr="00152A20">
              <w:rPr>
                <w:sz w:val="20"/>
                <w:szCs w:val="20"/>
                <w:lang w:val="en-GB"/>
              </w:rPr>
              <w:t>77%</w:t>
            </w:r>
          </w:p>
        </w:tc>
      </w:tr>
      <w:tr w:rsidR="00037D5F" w:rsidRPr="00152A20" w14:paraId="364B6D38" w14:textId="77777777">
        <w:tc>
          <w:tcPr>
            <w:tcW w:w="3945" w:type="dxa"/>
            <w:tcMar>
              <w:left w:w="40" w:type="dxa"/>
              <w:right w:w="40" w:type="dxa"/>
            </w:tcMar>
            <w:vAlign w:val="bottom"/>
          </w:tcPr>
          <w:p w14:paraId="415F750A" w14:textId="77777777" w:rsidR="00037D5F" w:rsidRPr="00152A20" w:rsidRDefault="008E5AA1">
            <w:pPr>
              <w:spacing w:line="240" w:lineRule="auto"/>
              <w:contextualSpacing w:val="0"/>
              <w:rPr>
                <w:lang w:val="en-GB"/>
              </w:rPr>
            </w:pPr>
            <w:r w:rsidRPr="00152A20">
              <w:rPr>
                <w:sz w:val="20"/>
                <w:szCs w:val="20"/>
                <w:lang w:val="en-GB"/>
              </w:rPr>
              <w:t>Federal Air Transport Agency</w:t>
            </w:r>
          </w:p>
        </w:tc>
        <w:tc>
          <w:tcPr>
            <w:tcW w:w="1500" w:type="dxa"/>
            <w:tcMar>
              <w:left w:w="40" w:type="dxa"/>
              <w:right w:w="40" w:type="dxa"/>
            </w:tcMar>
            <w:vAlign w:val="bottom"/>
          </w:tcPr>
          <w:p w14:paraId="0619D681" w14:textId="77777777" w:rsidR="00037D5F" w:rsidRPr="00152A20" w:rsidRDefault="008E5AA1">
            <w:pPr>
              <w:spacing w:line="240" w:lineRule="auto"/>
              <w:contextualSpacing w:val="0"/>
              <w:jc w:val="right"/>
              <w:rPr>
                <w:lang w:val="en-GB"/>
              </w:rPr>
            </w:pPr>
            <w:r w:rsidRPr="00152A20">
              <w:rPr>
                <w:sz w:val="20"/>
                <w:szCs w:val="20"/>
                <w:lang w:val="en-GB"/>
              </w:rPr>
              <w:t>5</w:t>
            </w:r>
          </w:p>
        </w:tc>
        <w:tc>
          <w:tcPr>
            <w:tcW w:w="1380" w:type="dxa"/>
            <w:tcMar>
              <w:left w:w="40" w:type="dxa"/>
              <w:right w:w="40" w:type="dxa"/>
            </w:tcMar>
            <w:vAlign w:val="bottom"/>
          </w:tcPr>
          <w:p w14:paraId="2846CC7C" w14:textId="77777777" w:rsidR="00037D5F" w:rsidRPr="00152A20" w:rsidRDefault="008E5AA1">
            <w:pPr>
              <w:spacing w:line="240" w:lineRule="auto"/>
              <w:contextualSpacing w:val="0"/>
              <w:jc w:val="right"/>
              <w:rPr>
                <w:lang w:val="en-GB"/>
              </w:rPr>
            </w:pPr>
            <w:r w:rsidRPr="00152A20">
              <w:rPr>
                <w:sz w:val="20"/>
                <w:szCs w:val="20"/>
                <w:lang w:val="en-GB"/>
              </w:rPr>
              <w:t>3</w:t>
            </w:r>
          </w:p>
        </w:tc>
        <w:tc>
          <w:tcPr>
            <w:tcW w:w="2475" w:type="dxa"/>
            <w:tcMar>
              <w:left w:w="40" w:type="dxa"/>
              <w:right w:w="40" w:type="dxa"/>
            </w:tcMar>
            <w:vAlign w:val="bottom"/>
          </w:tcPr>
          <w:p w14:paraId="3F1F7EAC" w14:textId="07B28B28" w:rsidR="00037D5F" w:rsidRPr="00152A20" w:rsidRDefault="008E5AA1">
            <w:pPr>
              <w:spacing w:line="240" w:lineRule="auto"/>
              <w:contextualSpacing w:val="0"/>
              <w:jc w:val="right"/>
              <w:rPr>
                <w:lang w:val="en-GB"/>
              </w:rPr>
            </w:pPr>
            <w:r w:rsidRPr="00152A20">
              <w:rPr>
                <w:sz w:val="20"/>
                <w:szCs w:val="20"/>
                <w:lang w:val="en-GB"/>
              </w:rPr>
              <w:t>0</w:t>
            </w:r>
            <w:r w:rsidR="006F3577">
              <w:rPr>
                <w:sz w:val="20"/>
                <w:szCs w:val="20"/>
                <w:lang w:val="en-GB"/>
              </w:rPr>
              <w:t>.</w:t>
            </w:r>
            <w:r w:rsidRPr="00152A20">
              <w:rPr>
                <w:sz w:val="20"/>
                <w:szCs w:val="20"/>
                <w:lang w:val="en-GB"/>
              </w:rPr>
              <w:t>32%</w:t>
            </w:r>
          </w:p>
        </w:tc>
      </w:tr>
      <w:tr w:rsidR="00037D5F" w:rsidRPr="00152A20" w14:paraId="2478AF3D" w14:textId="77777777">
        <w:tc>
          <w:tcPr>
            <w:tcW w:w="3945" w:type="dxa"/>
            <w:tcMar>
              <w:left w:w="40" w:type="dxa"/>
              <w:right w:w="40" w:type="dxa"/>
            </w:tcMar>
            <w:vAlign w:val="bottom"/>
          </w:tcPr>
          <w:p w14:paraId="06A9C3EE" w14:textId="77777777" w:rsidR="00037D5F" w:rsidRPr="00152A20" w:rsidRDefault="008E5AA1">
            <w:pPr>
              <w:spacing w:line="240" w:lineRule="auto"/>
              <w:contextualSpacing w:val="0"/>
              <w:rPr>
                <w:lang w:val="en-GB"/>
              </w:rPr>
            </w:pPr>
            <w:r w:rsidRPr="00152A20">
              <w:rPr>
                <w:sz w:val="20"/>
                <w:szCs w:val="20"/>
                <w:lang w:val="en-GB"/>
              </w:rPr>
              <w:t>Federal Customs Service</w:t>
            </w:r>
          </w:p>
        </w:tc>
        <w:tc>
          <w:tcPr>
            <w:tcW w:w="1500" w:type="dxa"/>
            <w:tcMar>
              <w:left w:w="40" w:type="dxa"/>
              <w:right w:w="40" w:type="dxa"/>
            </w:tcMar>
            <w:vAlign w:val="bottom"/>
          </w:tcPr>
          <w:p w14:paraId="39CE38FC" w14:textId="77777777" w:rsidR="00037D5F" w:rsidRPr="00152A20" w:rsidRDefault="008E5AA1">
            <w:pPr>
              <w:spacing w:line="240" w:lineRule="auto"/>
              <w:contextualSpacing w:val="0"/>
              <w:jc w:val="right"/>
              <w:rPr>
                <w:lang w:val="en-GB"/>
              </w:rPr>
            </w:pPr>
            <w:r w:rsidRPr="00152A20">
              <w:rPr>
                <w:sz w:val="20"/>
                <w:szCs w:val="20"/>
                <w:lang w:val="en-GB"/>
              </w:rPr>
              <w:t>4</w:t>
            </w:r>
          </w:p>
        </w:tc>
        <w:tc>
          <w:tcPr>
            <w:tcW w:w="1380" w:type="dxa"/>
            <w:tcMar>
              <w:left w:w="40" w:type="dxa"/>
              <w:right w:w="40" w:type="dxa"/>
            </w:tcMar>
            <w:vAlign w:val="bottom"/>
          </w:tcPr>
          <w:p w14:paraId="376CE5E0" w14:textId="77777777" w:rsidR="00037D5F" w:rsidRPr="00152A20" w:rsidRDefault="008E5AA1">
            <w:pPr>
              <w:spacing w:line="240" w:lineRule="auto"/>
              <w:contextualSpacing w:val="0"/>
              <w:jc w:val="right"/>
              <w:rPr>
                <w:lang w:val="en-GB"/>
              </w:rPr>
            </w:pPr>
            <w:r w:rsidRPr="00152A20">
              <w:rPr>
                <w:sz w:val="20"/>
                <w:szCs w:val="20"/>
                <w:lang w:val="en-GB"/>
              </w:rPr>
              <w:t>1</w:t>
            </w:r>
          </w:p>
        </w:tc>
        <w:tc>
          <w:tcPr>
            <w:tcW w:w="2475" w:type="dxa"/>
            <w:tcMar>
              <w:left w:w="40" w:type="dxa"/>
              <w:right w:w="40" w:type="dxa"/>
            </w:tcMar>
            <w:vAlign w:val="bottom"/>
          </w:tcPr>
          <w:p w14:paraId="67BBA368" w14:textId="6791253E" w:rsidR="00037D5F" w:rsidRPr="00152A20" w:rsidRDefault="008E5AA1">
            <w:pPr>
              <w:spacing w:line="240" w:lineRule="auto"/>
              <w:contextualSpacing w:val="0"/>
              <w:jc w:val="right"/>
              <w:rPr>
                <w:lang w:val="en-GB"/>
              </w:rPr>
            </w:pPr>
            <w:r w:rsidRPr="00152A20">
              <w:rPr>
                <w:sz w:val="20"/>
                <w:szCs w:val="20"/>
                <w:lang w:val="en-GB"/>
              </w:rPr>
              <w:t>0</w:t>
            </w:r>
            <w:r w:rsidR="006F3577">
              <w:rPr>
                <w:sz w:val="20"/>
                <w:szCs w:val="20"/>
                <w:lang w:val="en-GB"/>
              </w:rPr>
              <w:t>.</w:t>
            </w:r>
            <w:r w:rsidRPr="00152A20">
              <w:rPr>
                <w:sz w:val="20"/>
                <w:szCs w:val="20"/>
                <w:lang w:val="en-GB"/>
              </w:rPr>
              <w:t>17%</w:t>
            </w:r>
          </w:p>
        </w:tc>
      </w:tr>
      <w:tr w:rsidR="00037D5F" w:rsidRPr="00152A20" w14:paraId="606D13F2" w14:textId="77777777">
        <w:tc>
          <w:tcPr>
            <w:tcW w:w="3945" w:type="dxa"/>
            <w:tcMar>
              <w:left w:w="40" w:type="dxa"/>
              <w:right w:w="40" w:type="dxa"/>
            </w:tcMar>
            <w:vAlign w:val="bottom"/>
          </w:tcPr>
          <w:p w14:paraId="44E78490" w14:textId="77777777" w:rsidR="00037D5F" w:rsidRPr="00152A20" w:rsidRDefault="008E5AA1">
            <w:pPr>
              <w:spacing w:line="240" w:lineRule="auto"/>
              <w:contextualSpacing w:val="0"/>
              <w:rPr>
                <w:lang w:val="en-GB"/>
              </w:rPr>
            </w:pPr>
            <w:r w:rsidRPr="00152A20">
              <w:rPr>
                <w:sz w:val="20"/>
                <w:szCs w:val="20"/>
                <w:lang w:val="en-GB"/>
              </w:rPr>
              <w:t>Russian Academy of Arts</w:t>
            </w:r>
          </w:p>
        </w:tc>
        <w:tc>
          <w:tcPr>
            <w:tcW w:w="1500" w:type="dxa"/>
            <w:tcMar>
              <w:left w:w="40" w:type="dxa"/>
              <w:right w:w="40" w:type="dxa"/>
            </w:tcMar>
            <w:vAlign w:val="bottom"/>
          </w:tcPr>
          <w:p w14:paraId="00D55425" w14:textId="77777777" w:rsidR="00037D5F" w:rsidRPr="00152A20" w:rsidRDefault="008E5AA1">
            <w:pPr>
              <w:spacing w:line="240" w:lineRule="auto"/>
              <w:contextualSpacing w:val="0"/>
              <w:jc w:val="right"/>
              <w:rPr>
                <w:lang w:val="en-GB"/>
              </w:rPr>
            </w:pPr>
            <w:r w:rsidRPr="00152A20">
              <w:rPr>
                <w:sz w:val="20"/>
                <w:szCs w:val="20"/>
                <w:lang w:val="en-GB"/>
              </w:rPr>
              <w:t>3</w:t>
            </w:r>
          </w:p>
        </w:tc>
        <w:tc>
          <w:tcPr>
            <w:tcW w:w="1380" w:type="dxa"/>
            <w:tcMar>
              <w:left w:w="40" w:type="dxa"/>
              <w:right w:w="40" w:type="dxa"/>
            </w:tcMar>
            <w:vAlign w:val="bottom"/>
          </w:tcPr>
          <w:p w14:paraId="1309BC07" w14:textId="77777777" w:rsidR="00037D5F" w:rsidRPr="00152A20" w:rsidRDefault="008E5AA1">
            <w:pPr>
              <w:spacing w:line="240" w:lineRule="auto"/>
              <w:contextualSpacing w:val="0"/>
              <w:jc w:val="right"/>
              <w:rPr>
                <w:lang w:val="en-GB"/>
              </w:rPr>
            </w:pPr>
            <w:r w:rsidRPr="00152A20">
              <w:rPr>
                <w:sz w:val="20"/>
                <w:szCs w:val="20"/>
                <w:lang w:val="en-GB"/>
              </w:rPr>
              <w:t>2</w:t>
            </w:r>
          </w:p>
        </w:tc>
        <w:tc>
          <w:tcPr>
            <w:tcW w:w="2475" w:type="dxa"/>
            <w:tcMar>
              <w:left w:w="40" w:type="dxa"/>
              <w:right w:w="40" w:type="dxa"/>
            </w:tcMar>
            <w:vAlign w:val="bottom"/>
          </w:tcPr>
          <w:p w14:paraId="777F0EF0" w14:textId="464E9FB4" w:rsidR="00037D5F" w:rsidRPr="00152A20" w:rsidRDefault="008E5AA1">
            <w:pPr>
              <w:spacing w:line="240" w:lineRule="auto"/>
              <w:contextualSpacing w:val="0"/>
              <w:jc w:val="right"/>
              <w:rPr>
                <w:lang w:val="en-GB"/>
              </w:rPr>
            </w:pPr>
            <w:r w:rsidRPr="00152A20">
              <w:rPr>
                <w:sz w:val="20"/>
                <w:szCs w:val="20"/>
                <w:lang w:val="en-GB"/>
              </w:rPr>
              <w:t>0</w:t>
            </w:r>
            <w:r w:rsidR="006F3577">
              <w:rPr>
                <w:sz w:val="20"/>
                <w:szCs w:val="20"/>
                <w:lang w:val="en-GB"/>
              </w:rPr>
              <w:t>.</w:t>
            </w:r>
            <w:r w:rsidRPr="00152A20">
              <w:rPr>
                <w:sz w:val="20"/>
                <w:szCs w:val="20"/>
                <w:lang w:val="en-GB"/>
              </w:rPr>
              <w:t>05%</w:t>
            </w:r>
          </w:p>
        </w:tc>
      </w:tr>
      <w:tr w:rsidR="00037D5F" w:rsidRPr="00152A20" w14:paraId="7F03EBF2" w14:textId="77777777">
        <w:tc>
          <w:tcPr>
            <w:tcW w:w="3945" w:type="dxa"/>
            <w:tcMar>
              <w:left w:w="40" w:type="dxa"/>
              <w:right w:w="40" w:type="dxa"/>
            </w:tcMar>
            <w:vAlign w:val="bottom"/>
          </w:tcPr>
          <w:p w14:paraId="53A30BCC" w14:textId="77777777" w:rsidR="00037D5F" w:rsidRPr="00152A20" w:rsidRDefault="008E5AA1">
            <w:pPr>
              <w:spacing w:line="240" w:lineRule="auto"/>
              <w:contextualSpacing w:val="0"/>
              <w:rPr>
                <w:lang w:val="en-GB"/>
              </w:rPr>
            </w:pPr>
            <w:r w:rsidRPr="00152A20">
              <w:rPr>
                <w:sz w:val="20"/>
                <w:szCs w:val="20"/>
                <w:lang w:val="en-GB"/>
              </w:rPr>
              <w:lastRenderedPageBreak/>
              <w:t>The Ministry of Foreign Affairs</w:t>
            </w:r>
          </w:p>
        </w:tc>
        <w:tc>
          <w:tcPr>
            <w:tcW w:w="1500" w:type="dxa"/>
            <w:tcMar>
              <w:left w:w="40" w:type="dxa"/>
              <w:right w:w="40" w:type="dxa"/>
            </w:tcMar>
            <w:vAlign w:val="bottom"/>
          </w:tcPr>
          <w:p w14:paraId="310865A1" w14:textId="77777777" w:rsidR="00037D5F" w:rsidRPr="00152A20" w:rsidRDefault="008E5AA1">
            <w:pPr>
              <w:spacing w:line="240" w:lineRule="auto"/>
              <w:contextualSpacing w:val="0"/>
              <w:jc w:val="right"/>
              <w:rPr>
                <w:lang w:val="en-GB"/>
              </w:rPr>
            </w:pPr>
            <w:r w:rsidRPr="00152A20">
              <w:rPr>
                <w:sz w:val="20"/>
                <w:szCs w:val="20"/>
                <w:lang w:val="en-GB"/>
              </w:rPr>
              <w:t>2</w:t>
            </w:r>
          </w:p>
        </w:tc>
        <w:tc>
          <w:tcPr>
            <w:tcW w:w="1380" w:type="dxa"/>
            <w:tcMar>
              <w:left w:w="40" w:type="dxa"/>
              <w:right w:w="40" w:type="dxa"/>
            </w:tcMar>
            <w:vAlign w:val="bottom"/>
          </w:tcPr>
          <w:p w14:paraId="2A2FA722" w14:textId="77777777" w:rsidR="00037D5F" w:rsidRPr="00152A20" w:rsidRDefault="008E5AA1">
            <w:pPr>
              <w:spacing w:line="240" w:lineRule="auto"/>
              <w:contextualSpacing w:val="0"/>
              <w:jc w:val="right"/>
              <w:rPr>
                <w:lang w:val="en-GB"/>
              </w:rPr>
            </w:pPr>
            <w:r w:rsidRPr="00152A20">
              <w:rPr>
                <w:sz w:val="20"/>
                <w:szCs w:val="20"/>
                <w:lang w:val="en-GB"/>
              </w:rPr>
              <w:t>2</w:t>
            </w:r>
          </w:p>
        </w:tc>
        <w:tc>
          <w:tcPr>
            <w:tcW w:w="2475" w:type="dxa"/>
            <w:tcMar>
              <w:left w:w="40" w:type="dxa"/>
              <w:right w:w="40" w:type="dxa"/>
            </w:tcMar>
            <w:vAlign w:val="bottom"/>
          </w:tcPr>
          <w:p w14:paraId="012B8E6F" w14:textId="5151909C" w:rsidR="00037D5F" w:rsidRPr="00152A20" w:rsidRDefault="008E5AA1">
            <w:pPr>
              <w:spacing w:line="240" w:lineRule="auto"/>
              <w:contextualSpacing w:val="0"/>
              <w:jc w:val="right"/>
              <w:rPr>
                <w:lang w:val="en-GB"/>
              </w:rPr>
            </w:pPr>
            <w:r w:rsidRPr="00152A20">
              <w:rPr>
                <w:sz w:val="20"/>
                <w:szCs w:val="20"/>
                <w:lang w:val="en-GB"/>
              </w:rPr>
              <w:t>0</w:t>
            </w:r>
            <w:r w:rsidR="006F3577">
              <w:rPr>
                <w:sz w:val="20"/>
                <w:szCs w:val="20"/>
                <w:lang w:val="en-GB"/>
              </w:rPr>
              <w:t>.</w:t>
            </w:r>
            <w:r w:rsidRPr="00152A20">
              <w:rPr>
                <w:sz w:val="20"/>
                <w:szCs w:val="20"/>
                <w:lang w:val="en-GB"/>
              </w:rPr>
              <w:t>16%</w:t>
            </w:r>
          </w:p>
        </w:tc>
      </w:tr>
      <w:tr w:rsidR="00037D5F" w:rsidRPr="00152A20" w14:paraId="343292D4" w14:textId="77777777">
        <w:tc>
          <w:tcPr>
            <w:tcW w:w="3945" w:type="dxa"/>
            <w:tcMar>
              <w:left w:w="40" w:type="dxa"/>
              <w:right w:w="40" w:type="dxa"/>
            </w:tcMar>
            <w:vAlign w:val="bottom"/>
          </w:tcPr>
          <w:p w14:paraId="547FA8E3" w14:textId="77777777" w:rsidR="00037D5F" w:rsidRPr="00152A20" w:rsidRDefault="008E5AA1">
            <w:pPr>
              <w:spacing w:line="240" w:lineRule="auto"/>
              <w:contextualSpacing w:val="0"/>
              <w:rPr>
                <w:lang w:val="en-GB"/>
              </w:rPr>
            </w:pPr>
            <w:r w:rsidRPr="00152A20">
              <w:rPr>
                <w:sz w:val="20"/>
                <w:szCs w:val="20"/>
                <w:lang w:val="en-GB"/>
              </w:rPr>
              <w:t>Ministry of Economic Development</w:t>
            </w:r>
          </w:p>
        </w:tc>
        <w:tc>
          <w:tcPr>
            <w:tcW w:w="1500" w:type="dxa"/>
            <w:tcMar>
              <w:left w:w="40" w:type="dxa"/>
              <w:right w:w="40" w:type="dxa"/>
            </w:tcMar>
            <w:vAlign w:val="bottom"/>
          </w:tcPr>
          <w:p w14:paraId="407EE927" w14:textId="77777777" w:rsidR="00037D5F" w:rsidRPr="00152A20" w:rsidRDefault="008E5AA1">
            <w:pPr>
              <w:spacing w:line="240" w:lineRule="auto"/>
              <w:contextualSpacing w:val="0"/>
              <w:jc w:val="right"/>
              <w:rPr>
                <w:lang w:val="en-GB"/>
              </w:rPr>
            </w:pPr>
            <w:r w:rsidRPr="00152A20">
              <w:rPr>
                <w:sz w:val="20"/>
                <w:szCs w:val="20"/>
                <w:lang w:val="en-GB"/>
              </w:rPr>
              <w:t>2</w:t>
            </w:r>
          </w:p>
        </w:tc>
        <w:tc>
          <w:tcPr>
            <w:tcW w:w="1380" w:type="dxa"/>
            <w:tcMar>
              <w:left w:w="40" w:type="dxa"/>
              <w:right w:w="40" w:type="dxa"/>
            </w:tcMar>
            <w:vAlign w:val="bottom"/>
          </w:tcPr>
          <w:p w14:paraId="5FC34B17" w14:textId="77777777" w:rsidR="00037D5F" w:rsidRPr="00152A20" w:rsidRDefault="008E5AA1">
            <w:pPr>
              <w:spacing w:line="240" w:lineRule="auto"/>
              <w:contextualSpacing w:val="0"/>
              <w:jc w:val="right"/>
              <w:rPr>
                <w:lang w:val="en-GB"/>
              </w:rPr>
            </w:pPr>
            <w:r w:rsidRPr="00152A20">
              <w:rPr>
                <w:sz w:val="20"/>
                <w:szCs w:val="20"/>
                <w:lang w:val="en-GB"/>
              </w:rPr>
              <w:t>1</w:t>
            </w:r>
          </w:p>
        </w:tc>
        <w:tc>
          <w:tcPr>
            <w:tcW w:w="2475" w:type="dxa"/>
            <w:tcMar>
              <w:left w:w="40" w:type="dxa"/>
              <w:right w:w="40" w:type="dxa"/>
            </w:tcMar>
            <w:vAlign w:val="bottom"/>
          </w:tcPr>
          <w:p w14:paraId="6224ADF6" w14:textId="412590CE" w:rsidR="00037D5F" w:rsidRPr="00152A20" w:rsidRDefault="008E5AA1">
            <w:pPr>
              <w:spacing w:line="240" w:lineRule="auto"/>
              <w:contextualSpacing w:val="0"/>
              <w:jc w:val="right"/>
              <w:rPr>
                <w:lang w:val="en-GB"/>
              </w:rPr>
            </w:pPr>
            <w:r w:rsidRPr="00152A20">
              <w:rPr>
                <w:sz w:val="20"/>
                <w:szCs w:val="20"/>
                <w:lang w:val="en-GB"/>
              </w:rPr>
              <w:t>0</w:t>
            </w:r>
            <w:r w:rsidR="006F3577">
              <w:rPr>
                <w:sz w:val="20"/>
                <w:szCs w:val="20"/>
                <w:lang w:val="en-GB"/>
              </w:rPr>
              <w:t>.</w:t>
            </w:r>
            <w:r w:rsidRPr="00152A20">
              <w:rPr>
                <w:sz w:val="20"/>
                <w:szCs w:val="20"/>
                <w:lang w:val="en-GB"/>
              </w:rPr>
              <w:t>06%</w:t>
            </w:r>
          </w:p>
        </w:tc>
      </w:tr>
      <w:tr w:rsidR="00037D5F" w:rsidRPr="00152A20" w14:paraId="311387CC" w14:textId="77777777">
        <w:trPr>
          <w:trHeight w:val="300"/>
        </w:trPr>
        <w:tc>
          <w:tcPr>
            <w:tcW w:w="3945" w:type="dxa"/>
            <w:tcMar>
              <w:left w:w="40" w:type="dxa"/>
              <w:right w:w="40" w:type="dxa"/>
            </w:tcMar>
            <w:vAlign w:val="bottom"/>
          </w:tcPr>
          <w:p w14:paraId="1337AE67" w14:textId="77777777" w:rsidR="00037D5F" w:rsidRPr="00152A20" w:rsidRDefault="008E5AA1">
            <w:pPr>
              <w:spacing w:line="240" w:lineRule="auto"/>
              <w:contextualSpacing w:val="0"/>
              <w:rPr>
                <w:lang w:val="en-GB"/>
              </w:rPr>
            </w:pPr>
            <w:r w:rsidRPr="00152A20">
              <w:rPr>
                <w:sz w:val="20"/>
                <w:szCs w:val="20"/>
                <w:lang w:val="en-GB"/>
              </w:rPr>
              <w:t>Russian Science Academy</w:t>
            </w:r>
          </w:p>
        </w:tc>
        <w:tc>
          <w:tcPr>
            <w:tcW w:w="1500" w:type="dxa"/>
            <w:tcMar>
              <w:left w:w="40" w:type="dxa"/>
              <w:right w:w="40" w:type="dxa"/>
            </w:tcMar>
            <w:vAlign w:val="bottom"/>
          </w:tcPr>
          <w:p w14:paraId="5A2A61A9" w14:textId="77777777" w:rsidR="00037D5F" w:rsidRPr="00152A20" w:rsidRDefault="008E5AA1">
            <w:pPr>
              <w:spacing w:line="240" w:lineRule="auto"/>
              <w:contextualSpacing w:val="0"/>
              <w:jc w:val="right"/>
              <w:rPr>
                <w:lang w:val="en-GB"/>
              </w:rPr>
            </w:pPr>
            <w:r w:rsidRPr="00152A20">
              <w:rPr>
                <w:sz w:val="20"/>
                <w:szCs w:val="20"/>
                <w:lang w:val="en-GB"/>
              </w:rPr>
              <w:t>1</w:t>
            </w:r>
          </w:p>
        </w:tc>
        <w:tc>
          <w:tcPr>
            <w:tcW w:w="1380" w:type="dxa"/>
            <w:tcMar>
              <w:left w:w="40" w:type="dxa"/>
              <w:right w:w="40" w:type="dxa"/>
            </w:tcMar>
            <w:vAlign w:val="bottom"/>
          </w:tcPr>
          <w:p w14:paraId="26F16BBC" w14:textId="77777777" w:rsidR="00037D5F" w:rsidRPr="00152A20" w:rsidRDefault="008E5AA1">
            <w:pPr>
              <w:spacing w:line="240" w:lineRule="auto"/>
              <w:contextualSpacing w:val="0"/>
              <w:jc w:val="right"/>
              <w:rPr>
                <w:lang w:val="en-GB"/>
              </w:rPr>
            </w:pPr>
            <w:r w:rsidRPr="00152A20">
              <w:rPr>
                <w:sz w:val="20"/>
                <w:szCs w:val="20"/>
                <w:lang w:val="en-GB"/>
              </w:rPr>
              <w:t>1</w:t>
            </w:r>
          </w:p>
        </w:tc>
        <w:tc>
          <w:tcPr>
            <w:tcW w:w="2475" w:type="dxa"/>
            <w:tcMar>
              <w:left w:w="40" w:type="dxa"/>
              <w:right w:w="40" w:type="dxa"/>
            </w:tcMar>
            <w:vAlign w:val="bottom"/>
          </w:tcPr>
          <w:p w14:paraId="16BECEE3" w14:textId="59310A66" w:rsidR="00037D5F" w:rsidRPr="00152A20" w:rsidRDefault="008E5AA1">
            <w:pPr>
              <w:spacing w:line="240" w:lineRule="auto"/>
              <w:contextualSpacing w:val="0"/>
              <w:jc w:val="right"/>
              <w:rPr>
                <w:lang w:val="en-GB"/>
              </w:rPr>
            </w:pPr>
            <w:r w:rsidRPr="00152A20">
              <w:rPr>
                <w:sz w:val="20"/>
                <w:szCs w:val="20"/>
                <w:lang w:val="en-GB"/>
              </w:rPr>
              <w:t>0</w:t>
            </w:r>
            <w:r w:rsidR="006F3577">
              <w:rPr>
                <w:sz w:val="20"/>
                <w:szCs w:val="20"/>
                <w:lang w:val="en-GB"/>
              </w:rPr>
              <w:t>.</w:t>
            </w:r>
            <w:r w:rsidRPr="00152A20">
              <w:rPr>
                <w:sz w:val="20"/>
                <w:szCs w:val="20"/>
                <w:lang w:val="en-GB"/>
              </w:rPr>
              <w:t>00%</w:t>
            </w:r>
          </w:p>
        </w:tc>
      </w:tr>
      <w:tr w:rsidR="00037D5F" w:rsidRPr="00152A20" w14:paraId="22BFEACB" w14:textId="77777777">
        <w:tc>
          <w:tcPr>
            <w:tcW w:w="3945" w:type="dxa"/>
            <w:tcMar>
              <w:left w:w="40" w:type="dxa"/>
              <w:right w:w="40" w:type="dxa"/>
            </w:tcMar>
            <w:vAlign w:val="bottom"/>
          </w:tcPr>
          <w:p w14:paraId="554D72D4" w14:textId="77777777" w:rsidR="00037D5F" w:rsidRPr="00152A20" w:rsidRDefault="008E5AA1">
            <w:pPr>
              <w:spacing w:line="240" w:lineRule="auto"/>
              <w:contextualSpacing w:val="0"/>
              <w:rPr>
                <w:lang w:val="en-GB"/>
              </w:rPr>
            </w:pPr>
            <w:r w:rsidRPr="00152A20">
              <w:rPr>
                <w:sz w:val="20"/>
                <w:szCs w:val="20"/>
                <w:lang w:val="en-GB"/>
              </w:rPr>
              <w:t>The Federal Service for Intellectual Property, Patents and Trademarks</w:t>
            </w:r>
          </w:p>
        </w:tc>
        <w:tc>
          <w:tcPr>
            <w:tcW w:w="1500" w:type="dxa"/>
            <w:tcMar>
              <w:left w:w="40" w:type="dxa"/>
              <w:right w:w="40" w:type="dxa"/>
            </w:tcMar>
            <w:vAlign w:val="bottom"/>
          </w:tcPr>
          <w:p w14:paraId="173B0111" w14:textId="77777777" w:rsidR="00037D5F" w:rsidRPr="00152A20" w:rsidRDefault="008E5AA1">
            <w:pPr>
              <w:spacing w:line="240" w:lineRule="auto"/>
              <w:contextualSpacing w:val="0"/>
              <w:jc w:val="right"/>
              <w:rPr>
                <w:lang w:val="en-GB"/>
              </w:rPr>
            </w:pPr>
            <w:r w:rsidRPr="00152A20">
              <w:rPr>
                <w:sz w:val="20"/>
                <w:szCs w:val="20"/>
                <w:lang w:val="en-GB"/>
              </w:rPr>
              <w:t>1</w:t>
            </w:r>
          </w:p>
        </w:tc>
        <w:tc>
          <w:tcPr>
            <w:tcW w:w="1380" w:type="dxa"/>
            <w:tcMar>
              <w:left w:w="40" w:type="dxa"/>
              <w:right w:w="40" w:type="dxa"/>
            </w:tcMar>
            <w:vAlign w:val="bottom"/>
          </w:tcPr>
          <w:p w14:paraId="4DA498AE" w14:textId="77777777" w:rsidR="00037D5F" w:rsidRPr="00152A20" w:rsidRDefault="008E5AA1">
            <w:pPr>
              <w:spacing w:line="240" w:lineRule="auto"/>
              <w:contextualSpacing w:val="0"/>
              <w:jc w:val="right"/>
              <w:rPr>
                <w:lang w:val="en-GB"/>
              </w:rPr>
            </w:pPr>
            <w:r w:rsidRPr="00152A20">
              <w:rPr>
                <w:sz w:val="20"/>
                <w:szCs w:val="20"/>
                <w:lang w:val="en-GB"/>
              </w:rPr>
              <w:t>1</w:t>
            </w:r>
          </w:p>
        </w:tc>
        <w:tc>
          <w:tcPr>
            <w:tcW w:w="2475" w:type="dxa"/>
            <w:tcMar>
              <w:left w:w="40" w:type="dxa"/>
              <w:right w:w="40" w:type="dxa"/>
            </w:tcMar>
            <w:vAlign w:val="bottom"/>
          </w:tcPr>
          <w:p w14:paraId="3E822B32" w14:textId="4968C38B" w:rsidR="00037D5F" w:rsidRPr="00152A20" w:rsidRDefault="008E5AA1">
            <w:pPr>
              <w:spacing w:line="240" w:lineRule="auto"/>
              <w:contextualSpacing w:val="0"/>
              <w:jc w:val="right"/>
              <w:rPr>
                <w:lang w:val="en-GB"/>
              </w:rPr>
            </w:pPr>
            <w:r w:rsidRPr="00152A20">
              <w:rPr>
                <w:sz w:val="20"/>
                <w:szCs w:val="20"/>
                <w:lang w:val="en-GB"/>
              </w:rPr>
              <w:t>0</w:t>
            </w:r>
            <w:r w:rsidR="006F3577">
              <w:rPr>
                <w:sz w:val="20"/>
                <w:szCs w:val="20"/>
                <w:lang w:val="en-GB"/>
              </w:rPr>
              <w:t>.</w:t>
            </w:r>
            <w:r w:rsidRPr="00152A20">
              <w:rPr>
                <w:sz w:val="20"/>
                <w:szCs w:val="20"/>
                <w:lang w:val="en-GB"/>
              </w:rPr>
              <w:t>01%</w:t>
            </w:r>
          </w:p>
        </w:tc>
      </w:tr>
    </w:tbl>
    <w:p w14:paraId="379F281E" w14:textId="56895655" w:rsidR="00037D5F" w:rsidRPr="00152A20" w:rsidRDefault="008E5AA1">
      <w:pPr>
        <w:spacing w:line="240" w:lineRule="auto"/>
        <w:rPr>
          <w:lang w:val="en-GB"/>
        </w:rPr>
      </w:pPr>
      <w:r w:rsidRPr="00152A20">
        <w:rPr>
          <w:i/>
          <w:sz w:val="20"/>
          <w:szCs w:val="20"/>
          <w:lang w:val="en-GB"/>
        </w:rPr>
        <w:t>Source: Calculated by the authors. Data from Monitoring 2015</w:t>
      </w:r>
      <w:r w:rsidR="006F3577">
        <w:rPr>
          <w:i/>
          <w:sz w:val="20"/>
          <w:szCs w:val="20"/>
          <w:lang w:val="en-GB"/>
        </w:rPr>
        <w:t>.</w:t>
      </w:r>
      <w:hyperlink r:id="rId16"/>
    </w:p>
    <w:p w14:paraId="6FD2CD7A" w14:textId="77777777" w:rsidR="00037D5F" w:rsidRPr="00152A20" w:rsidRDefault="008E5AA1">
      <w:pPr>
        <w:rPr>
          <w:lang w:val="en-GB"/>
        </w:rPr>
      </w:pPr>
      <w:r w:rsidRPr="00152A20">
        <w:rPr>
          <w:lang w:val="en-GB"/>
        </w:rPr>
        <w:tab/>
      </w:r>
    </w:p>
    <w:p w14:paraId="0521C593" w14:textId="77777777" w:rsidR="00037D5F" w:rsidRPr="00152A20" w:rsidRDefault="008E5AA1">
      <w:pPr>
        <w:pStyle w:val="Heading2"/>
        <w:rPr>
          <w:lang w:val="en-GB"/>
        </w:rPr>
      </w:pPr>
      <w:bookmarkStart w:id="11" w:name="_26in1rg" w:colFirst="0" w:colLast="0"/>
      <w:bookmarkEnd w:id="11"/>
      <w:r w:rsidRPr="00152A20">
        <w:rPr>
          <w:lang w:val="en-GB"/>
        </w:rPr>
        <w:t>Higher Education and Science</w:t>
      </w:r>
    </w:p>
    <w:p w14:paraId="7BA53C71" w14:textId="7724A814" w:rsidR="00037D5F" w:rsidRPr="00152A20" w:rsidRDefault="003878E3">
      <w:pPr>
        <w:rPr>
          <w:lang w:val="en-GB"/>
        </w:rPr>
      </w:pPr>
      <w:r w:rsidRPr="00152A20">
        <w:rPr>
          <w:lang w:val="en-GB"/>
        </w:rPr>
        <w:t>A</w:t>
      </w:r>
      <w:r w:rsidR="008E5AA1" w:rsidRPr="00152A20">
        <w:rPr>
          <w:lang w:val="en-GB"/>
        </w:rPr>
        <w:t>fter two reforms of the ministerial body that oversee</w:t>
      </w:r>
      <w:r w:rsidRPr="00152A20">
        <w:rPr>
          <w:lang w:val="en-GB"/>
        </w:rPr>
        <w:t>s</w:t>
      </w:r>
      <w:r w:rsidR="008E5AA1" w:rsidRPr="00152A20">
        <w:rPr>
          <w:lang w:val="en-GB"/>
        </w:rPr>
        <w:t xml:space="preserve"> higher education (1991-1995</w:t>
      </w:r>
      <w:r w:rsidR="00D274E3">
        <w:rPr>
          <w:lang w:val="en-GB"/>
        </w:rPr>
        <w:t xml:space="preserve">, </w:t>
      </w:r>
      <w:r w:rsidR="008E5AA1" w:rsidRPr="00152A20">
        <w:rPr>
          <w:lang w:val="en-GB"/>
        </w:rPr>
        <w:t>the State Committee of Higher Education</w:t>
      </w:r>
      <w:r w:rsidR="00D274E3">
        <w:rPr>
          <w:lang w:val="en-GB"/>
        </w:rPr>
        <w:t>;</w:t>
      </w:r>
      <w:r w:rsidR="008E5AA1" w:rsidRPr="00152A20">
        <w:rPr>
          <w:lang w:val="en-GB"/>
        </w:rPr>
        <w:t xml:space="preserve"> 1996-2004</w:t>
      </w:r>
      <w:r w:rsidR="00D274E3">
        <w:rPr>
          <w:lang w:val="en-GB"/>
        </w:rPr>
        <w:t xml:space="preserve">, </w:t>
      </w:r>
      <w:r w:rsidR="008E5AA1" w:rsidRPr="00152A20">
        <w:rPr>
          <w:lang w:val="en-GB"/>
        </w:rPr>
        <w:t>the Ministry of Education), the governance structure changed profoundly</w:t>
      </w:r>
      <w:r w:rsidRPr="00152A20">
        <w:rPr>
          <w:lang w:val="en-GB"/>
        </w:rPr>
        <w:t xml:space="preserve"> in 2004</w:t>
      </w:r>
      <w:r w:rsidR="008E5AA1" w:rsidRPr="00152A20">
        <w:rPr>
          <w:lang w:val="en-GB"/>
        </w:rPr>
        <w:t xml:space="preserve">. The new Ministry of Education and Science united two former separate spheres, which are higher education and science. However, the Academy of Science was not abolished. </w:t>
      </w:r>
      <w:r w:rsidR="00D274E3">
        <w:rPr>
          <w:lang w:val="en-GB"/>
        </w:rPr>
        <w:t>I</w:t>
      </w:r>
      <w:r w:rsidR="008E5AA1" w:rsidRPr="00152A20">
        <w:rPr>
          <w:lang w:val="en-GB"/>
        </w:rPr>
        <w:t xml:space="preserve">n 2013 the government launched </w:t>
      </w:r>
      <w:r w:rsidR="007F08CF">
        <w:rPr>
          <w:lang w:val="en-GB"/>
        </w:rPr>
        <w:t xml:space="preserve">an </w:t>
      </w:r>
      <w:r w:rsidR="00D274E3">
        <w:rPr>
          <w:lang w:val="en-GB"/>
        </w:rPr>
        <w:t>a</w:t>
      </w:r>
      <w:r w:rsidR="008E5AA1" w:rsidRPr="00152A20">
        <w:rPr>
          <w:lang w:val="en-GB"/>
        </w:rPr>
        <w:t xml:space="preserve">cademy reform, which faced </w:t>
      </w:r>
      <w:r w:rsidRPr="00152A20">
        <w:rPr>
          <w:lang w:val="en-GB"/>
        </w:rPr>
        <w:t xml:space="preserve">considerable resistance </w:t>
      </w:r>
      <w:r w:rsidR="008E5AA1" w:rsidRPr="00152A20">
        <w:rPr>
          <w:lang w:val="en-GB"/>
        </w:rPr>
        <w:t xml:space="preserve">and has not brought crucial changes yet. </w:t>
      </w:r>
    </w:p>
    <w:p w14:paraId="67C534FB" w14:textId="24AEA288" w:rsidR="00EF3FDE" w:rsidRPr="00152A20" w:rsidRDefault="008E5AA1">
      <w:pPr>
        <w:rPr>
          <w:lang w:val="en-GB"/>
        </w:rPr>
      </w:pPr>
      <w:r w:rsidRPr="00152A20">
        <w:rPr>
          <w:lang w:val="en-GB"/>
        </w:rPr>
        <w:t xml:space="preserve">In general, in contrast to Soviet HE, research activity in universities is </w:t>
      </w:r>
      <w:r w:rsidR="00D274E3">
        <w:rPr>
          <w:lang w:val="en-GB"/>
        </w:rPr>
        <w:t>receiving ample</w:t>
      </w:r>
      <w:r w:rsidRPr="00152A20">
        <w:rPr>
          <w:lang w:val="en-GB"/>
        </w:rPr>
        <w:t xml:space="preserve"> support in modern Russia. For example, the </w:t>
      </w:r>
      <w:r w:rsidR="00D274E3">
        <w:rPr>
          <w:lang w:val="en-GB"/>
        </w:rPr>
        <w:t>f</w:t>
      </w:r>
      <w:r w:rsidRPr="00152A20">
        <w:rPr>
          <w:lang w:val="en-GB"/>
        </w:rPr>
        <w:t>ederal program</w:t>
      </w:r>
      <w:r w:rsidR="003878E3" w:rsidRPr="00152A20">
        <w:rPr>
          <w:lang w:val="en-GB"/>
        </w:rPr>
        <w:t>me</w:t>
      </w:r>
      <w:r w:rsidRPr="00152A20">
        <w:rPr>
          <w:lang w:val="en-GB"/>
        </w:rPr>
        <w:t xml:space="preserve"> “Integration of </w:t>
      </w:r>
      <w:r w:rsidR="00D274E3">
        <w:rPr>
          <w:lang w:val="en-GB"/>
        </w:rPr>
        <w:t>S</w:t>
      </w:r>
      <w:r w:rsidRPr="00152A20">
        <w:rPr>
          <w:lang w:val="en-GB"/>
        </w:rPr>
        <w:t xml:space="preserve">cience and </w:t>
      </w:r>
      <w:r w:rsidR="00D274E3">
        <w:rPr>
          <w:lang w:val="en-GB"/>
        </w:rPr>
        <w:t>H</w:t>
      </w:r>
      <w:r w:rsidRPr="00152A20">
        <w:rPr>
          <w:lang w:val="en-GB"/>
        </w:rPr>
        <w:t xml:space="preserve">igher </w:t>
      </w:r>
      <w:r w:rsidR="00D274E3">
        <w:rPr>
          <w:lang w:val="en-GB"/>
        </w:rPr>
        <w:t>E</w:t>
      </w:r>
      <w:r w:rsidRPr="00152A20">
        <w:rPr>
          <w:lang w:val="en-GB"/>
        </w:rPr>
        <w:t xml:space="preserve">ducation” (2002-2006) supported </w:t>
      </w:r>
      <w:r w:rsidR="003878E3" w:rsidRPr="00152A20">
        <w:rPr>
          <w:lang w:val="en-GB"/>
        </w:rPr>
        <w:t xml:space="preserve">the </w:t>
      </w:r>
      <w:r w:rsidRPr="00152A20">
        <w:rPr>
          <w:lang w:val="en-GB"/>
        </w:rPr>
        <w:t xml:space="preserve">involvement </w:t>
      </w:r>
      <w:r w:rsidR="003878E3" w:rsidRPr="00152A20">
        <w:rPr>
          <w:lang w:val="en-GB"/>
        </w:rPr>
        <w:t xml:space="preserve">of </w:t>
      </w:r>
      <w:r w:rsidRPr="00152A20">
        <w:rPr>
          <w:lang w:val="en-GB"/>
        </w:rPr>
        <w:t>graduate and postgraduate students in large research projects and leading research cent</w:t>
      </w:r>
      <w:r w:rsidR="00D274E3">
        <w:rPr>
          <w:lang w:val="en-GB"/>
        </w:rPr>
        <w:t>re</w:t>
      </w:r>
      <w:r w:rsidRPr="00152A20">
        <w:rPr>
          <w:lang w:val="en-GB"/>
        </w:rPr>
        <w:t xml:space="preserve">s. </w:t>
      </w:r>
      <w:r w:rsidR="00AD50F2">
        <w:rPr>
          <w:lang w:val="en-GB"/>
        </w:rPr>
        <w:t>T</w:t>
      </w:r>
      <w:r w:rsidR="00AD50F2" w:rsidRPr="00152A20">
        <w:rPr>
          <w:lang w:val="en-GB"/>
        </w:rPr>
        <w:t xml:space="preserve">he development of </w:t>
      </w:r>
      <w:r w:rsidR="00AD50F2">
        <w:rPr>
          <w:lang w:val="en-GB"/>
        </w:rPr>
        <w:t>HEI</w:t>
      </w:r>
      <w:r w:rsidR="00AD50F2" w:rsidRPr="00152A20">
        <w:rPr>
          <w:lang w:val="en-GB"/>
        </w:rPr>
        <w:t xml:space="preserve"> research activities and the research univers</w:t>
      </w:r>
      <w:r w:rsidR="00AD50F2">
        <w:rPr>
          <w:lang w:val="en-GB"/>
        </w:rPr>
        <w:t>ity as a model for leading HEIs is legitimated by</w:t>
      </w:r>
      <w:r w:rsidR="00AD50F2" w:rsidRPr="00152A20">
        <w:rPr>
          <w:lang w:val="en-GB"/>
        </w:rPr>
        <w:t xml:space="preserve"> </w:t>
      </w:r>
      <w:r w:rsidR="00AD50F2">
        <w:rPr>
          <w:lang w:val="en-GB"/>
        </w:rPr>
        <w:t>d</w:t>
      </w:r>
      <w:r w:rsidRPr="00152A20">
        <w:rPr>
          <w:lang w:val="en-GB"/>
        </w:rPr>
        <w:t>irect support for research projects from several state foundations, special federal program</w:t>
      </w:r>
      <w:r w:rsidR="003878E3" w:rsidRPr="00152A20">
        <w:rPr>
          <w:lang w:val="en-GB"/>
        </w:rPr>
        <w:t>me</w:t>
      </w:r>
      <w:r w:rsidRPr="00152A20">
        <w:rPr>
          <w:lang w:val="en-GB"/>
        </w:rPr>
        <w:t>s and requirements for academic performance</w:t>
      </w:r>
      <w:r w:rsidR="00AD50F2">
        <w:rPr>
          <w:lang w:val="en-GB"/>
        </w:rPr>
        <w:t xml:space="preserve">. </w:t>
      </w:r>
      <w:r w:rsidR="00D274E3">
        <w:rPr>
          <w:lang w:val="en-GB"/>
        </w:rPr>
        <w:t>W</w:t>
      </w:r>
      <w:r w:rsidRPr="00152A20">
        <w:rPr>
          <w:lang w:val="en-GB"/>
        </w:rPr>
        <w:t xml:space="preserve">ith the </w:t>
      </w:r>
      <w:r w:rsidR="00D274E3">
        <w:rPr>
          <w:lang w:val="en-GB"/>
        </w:rPr>
        <w:t xml:space="preserve">introduction of a </w:t>
      </w:r>
      <w:r w:rsidRPr="00152A20">
        <w:rPr>
          <w:lang w:val="en-GB"/>
        </w:rPr>
        <w:t xml:space="preserve">new </w:t>
      </w:r>
      <w:r w:rsidR="00D274E3">
        <w:rPr>
          <w:lang w:val="en-GB"/>
        </w:rPr>
        <w:t>f</w:t>
      </w:r>
      <w:r w:rsidRPr="00152A20">
        <w:rPr>
          <w:lang w:val="en-GB"/>
        </w:rPr>
        <w:t>ederal law</w:t>
      </w:r>
      <w:r w:rsidR="003878E3" w:rsidRPr="00152A20">
        <w:rPr>
          <w:lang w:val="en-GB"/>
        </w:rPr>
        <w:t xml:space="preserve"> (</w:t>
      </w:r>
      <w:r w:rsidRPr="00152A20">
        <w:rPr>
          <w:lang w:val="en-GB"/>
        </w:rPr>
        <w:t>2013</w:t>
      </w:r>
      <w:r w:rsidR="003878E3" w:rsidRPr="00152A20">
        <w:rPr>
          <w:lang w:val="en-GB"/>
        </w:rPr>
        <w:t>)</w:t>
      </w:r>
      <w:r w:rsidRPr="00152A20">
        <w:rPr>
          <w:lang w:val="en-GB"/>
        </w:rPr>
        <w:t xml:space="preserve">, the qualification framework supports </w:t>
      </w:r>
      <w:r w:rsidR="003878E3" w:rsidRPr="00152A20">
        <w:rPr>
          <w:lang w:val="en-GB"/>
        </w:rPr>
        <w:t xml:space="preserve">a </w:t>
      </w:r>
      <w:r w:rsidRPr="00152A20">
        <w:rPr>
          <w:lang w:val="en-GB"/>
        </w:rPr>
        <w:t>three-cycle education system</w:t>
      </w:r>
      <w:r w:rsidR="003F424F" w:rsidRPr="00152A20">
        <w:rPr>
          <w:lang w:val="en-GB"/>
        </w:rPr>
        <w:t>.</w:t>
      </w:r>
    </w:p>
    <w:p w14:paraId="0D0CA30E" w14:textId="1D7BE5EE" w:rsidR="00037D5F" w:rsidRPr="00152A20" w:rsidRDefault="003F424F">
      <w:pPr>
        <w:rPr>
          <w:rFonts w:ascii="Times New Roman" w:hAnsi="Times New Roman" w:cs="Times New Roman"/>
          <w:lang w:val="en-GB"/>
        </w:rPr>
      </w:pPr>
      <w:r w:rsidRPr="00152A20">
        <w:rPr>
          <w:rFonts w:asciiTheme="minorHAnsi" w:hAnsiTheme="minorHAnsi"/>
          <w:lang w:val="en-GB"/>
        </w:rPr>
        <w:t>Although there are no PhD program</w:t>
      </w:r>
      <w:r w:rsidR="00E06391" w:rsidRPr="00152A20">
        <w:rPr>
          <w:rFonts w:asciiTheme="minorHAnsi" w:hAnsiTheme="minorHAnsi"/>
          <w:lang w:val="en-GB"/>
        </w:rPr>
        <w:t>me</w:t>
      </w:r>
      <w:r w:rsidRPr="00152A20">
        <w:rPr>
          <w:rFonts w:asciiTheme="minorHAnsi" w:hAnsiTheme="minorHAnsi"/>
          <w:lang w:val="en-GB"/>
        </w:rPr>
        <w:t xml:space="preserve">s in Russia, the government moved </w:t>
      </w:r>
      <w:proofErr w:type="spellStart"/>
      <w:r w:rsidRPr="00152A20">
        <w:rPr>
          <w:rFonts w:asciiTheme="minorHAnsi" w:hAnsiTheme="minorHAnsi"/>
          <w:i/>
          <w:lang w:val="en-GB"/>
        </w:rPr>
        <w:t>aspiranura</w:t>
      </w:r>
      <w:proofErr w:type="spellEnd"/>
      <w:r w:rsidRPr="00152A20">
        <w:rPr>
          <w:rFonts w:asciiTheme="minorHAnsi" w:hAnsiTheme="minorHAnsi" w:cs="Times New Roman"/>
          <w:lang w:val="en-GB"/>
        </w:rPr>
        <w:t xml:space="preserve"> (corresponding level to PhD)</w:t>
      </w:r>
      <w:r w:rsidRPr="00152A20">
        <w:rPr>
          <w:rFonts w:asciiTheme="minorHAnsi" w:hAnsiTheme="minorHAnsi"/>
          <w:lang w:val="en-GB"/>
        </w:rPr>
        <w:t xml:space="preserve"> from </w:t>
      </w:r>
      <w:r w:rsidR="00E06391" w:rsidRPr="00152A20">
        <w:rPr>
          <w:rFonts w:asciiTheme="minorHAnsi" w:hAnsiTheme="minorHAnsi"/>
          <w:lang w:val="en-GB"/>
        </w:rPr>
        <w:t xml:space="preserve">the </w:t>
      </w:r>
      <w:r w:rsidRPr="00152A20">
        <w:rPr>
          <w:rFonts w:asciiTheme="minorHAnsi" w:hAnsiTheme="minorHAnsi"/>
          <w:lang w:val="en-GB"/>
        </w:rPr>
        <w:t xml:space="preserve">postgraduate to </w:t>
      </w:r>
      <w:r w:rsidR="00E06391" w:rsidRPr="00152A20">
        <w:rPr>
          <w:rFonts w:asciiTheme="minorHAnsi" w:hAnsiTheme="minorHAnsi"/>
          <w:lang w:val="en-GB"/>
        </w:rPr>
        <w:t xml:space="preserve">the </w:t>
      </w:r>
      <w:r w:rsidRPr="00152A20">
        <w:rPr>
          <w:rFonts w:asciiTheme="minorHAnsi" w:hAnsiTheme="minorHAnsi"/>
          <w:lang w:val="en-GB"/>
        </w:rPr>
        <w:t>higher education level</w:t>
      </w:r>
      <w:r w:rsidRPr="00152A20">
        <w:rPr>
          <w:lang w:val="en-GB"/>
        </w:rPr>
        <w:t>.</w:t>
      </w:r>
      <w:r w:rsidR="001E7D67" w:rsidRPr="00152A20">
        <w:rPr>
          <w:lang w:val="en-GB"/>
        </w:rPr>
        <w:t xml:space="preserve"> </w:t>
      </w:r>
      <w:r w:rsidR="00EF3FDE" w:rsidRPr="00152A20">
        <w:rPr>
          <w:lang w:val="en-GB"/>
        </w:rPr>
        <w:t xml:space="preserve">Before the reform, </w:t>
      </w:r>
      <w:proofErr w:type="spellStart"/>
      <w:r w:rsidR="00EF3FDE" w:rsidRPr="00152A20">
        <w:rPr>
          <w:i/>
          <w:lang w:val="en-GB"/>
        </w:rPr>
        <w:t>aspirantura</w:t>
      </w:r>
      <w:proofErr w:type="spellEnd"/>
      <w:r w:rsidR="00EF3FDE" w:rsidRPr="00152A20">
        <w:rPr>
          <w:lang w:val="en-GB"/>
        </w:rPr>
        <w:t xml:space="preserve"> was a specific learning track more focus</w:t>
      </w:r>
      <w:r w:rsidR="007F4FF6">
        <w:rPr>
          <w:lang w:val="en-GB"/>
        </w:rPr>
        <w:t>s</w:t>
      </w:r>
      <w:r w:rsidR="00EF3FDE" w:rsidRPr="00152A20">
        <w:rPr>
          <w:lang w:val="en-GB"/>
        </w:rPr>
        <w:t xml:space="preserve">ed on self-directed learning </w:t>
      </w:r>
      <w:r w:rsidR="00E06391" w:rsidRPr="00152A20">
        <w:rPr>
          <w:lang w:val="en-GB"/>
        </w:rPr>
        <w:t>in preparation for a</w:t>
      </w:r>
      <w:r w:rsidR="00EF3FDE" w:rsidRPr="00152A20">
        <w:rPr>
          <w:lang w:val="en-GB"/>
        </w:rPr>
        <w:t xml:space="preserve"> dissertation. Now, as a part of higher education, </w:t>
      </w:r>
      <w:proofErr w:type="spellStart"/>
      <w:r w:rsidR="00EF3FDE" w:rsidRPr="00152A20">
        <w:rPr>
          <w:i/>
          <w:lang w:val="en-GB"/>
        </w:rPr>
        <w:t>aspirantura</w:t>
      </w:r>
      <w:proofErr w:type="spellEnd"/>
      <w:r w:rsidR="00EF3FDE" w:rsidRPr="00152A20">
        <w:rPr>
          <w:lang w:val="en-GB"/>
        </w:rPr>
        <w:t xml:space="preserve"> programmes are more oriented </w:t>
      </w:r>
      <w:r w:rsidR="00D274E3">
        <w:rPr>
          <w:lang w:val="en-GB"/>
        </w:rPr>
        <w:t>toward</w:t>
      </w:r>
      <w:r w:rsidR="00EF3FDE" w:rsidRPr="00152A20">
        <w:rPr>
          <w:lang w:val="en-GB"/>
        </w:rPr>
        <w:t xml:space="preserve"> training</w:t>
      </w:r>
      <w:r w:rsidR="00A86C8D" w:rsidRPr="00152A20">
        <w:rPr>
          <w:lang w:val="en-GB"/>
        </w:rPr>
        <w:t xml:space="preserve"> research skills</w:t>
      </w:r>
      <w:r w:rsidR="00EF3FDE" w:rsidRPr="00152A20">
        <w:rPr>
          <w:lang w:val="en-GB"/>
        </w:rPr>
        <w:t xml:space="preserve">. </w:t>
      </w:r>
    </w:p>
    <w:p w14:paraId="38D8080F" w14:textId="77777777" w:rsidR="00037D5F" w:rsidRPr="00152A20" w:rsidRDefault="008E5AA1">
      <w:pPr>
        <w:pStyle w:val="Heading2"/>
        <w:spacing w:line="276" w:lineRule="auto"/>
        <w:rPr>
          <w:lang w:val="en-GB"/>
        </w:rPr>
      </w:pPr>
      <w:bookmarkStart w:id="12" w:name="_lnxbz9" w:colFirst="0" w:colLast="0"/>
      <w:bookmarkEnd w:id="12"/>
      <w:r w:rsidRPr="00152A20">
        <w:rPr>
          <w:lang w:val="en-GB"/>
        </w:rPr>
        <w:lastRenderedPageBreak/>
        <w:t>Bologna Process</w:t>
      </w:r>
    </w:p>
    <w:p w14:paraId="52B9F539" w14:textId="770073A0" w:rsidR="00037D5F" w:rsidRPr="00152A20" w:rsidRDefault="00504544">
      <w:pPr>
        <w:rPr>
          <w:lang w:val="en-GB"/>
        </w:rPr>
      </w:pPr>
      <w:r>
        <w:rPr>
          <w:lang w:val="en-GB"/>
        </w:rPr>
        <w:t xml:space="preserve">The </w:t>
      </w:r>
      <w:r w:rsidR="008E5AA1" w:rsidRPr="00152A20">
        <w:rPr>
          <w:lang w:val="en-GB"/>
        </w:rPr>
        <w:t xml:space="preserve">Bologna Process is considered one of the major institutional reforms with a </w:t>
      </w:r>
      <w:r w:rsidR="00925DA1">
        <w:rPr>
          <w:lang w:val="en-GB"/>
        </w:rPr>
        <w:t xml:space="preserve">direct </w:t>
      </w:r>
      <w:r w:rsidRPr="00152A20">
        <w:rPr>
          <w:lang w:val="en-GB"/>
        </w:rPr>
        <w:t xml:space="preserve">internationalisation </w:t>
      </w:r>
      <w:r w:rsidR="008E5AA1" w:rsidRPr="00152A20">
        <w:rPr>
          <w:lang w:val="en-GB"/>
        </w:rPr>
        <w:t xml:space="preserve">aim and involvement in </w:t>
      </w:r>
      <w:r w:rsidR="003878E3" w:rsidRPr="00152A20">
        <w:rPr>
          <w:lang w:val="en-GB"/>
        </w:rPr>
        <w:t xml:space="preserve">the </w:t>
      </w:r>
      <w:r w:rsidR="008E5AA1" w:rsidRPr="00152A20">
        <w:rPr>
          <w:lang w:val="en-GB"/>
        </w:rPr>
        <w:t>global higher education system. Although the government</w:t>
      </w:r>
      <w:r w:rsidR="009F65F1" w:rsidRPr="00152A20">
        <w:rPr>
          <w:lang w:val="en-GB"/>
        </w:rPr>
        <w:t>´s intention</w:t>
      </w:r>
      <w:r w:rsidR="008E5AA1" w:rsidRPr="00152A20">
        <w:rPr>
          <w:lang w:val="en-GB"/>
        </w:rPr>
        <w:t xml:space="preserve"> to join the Bologna </w:t>
      </w:r>
      <w:r>
        <w:rPr>
          <w:lang w:val="en-GB"/>
        </w:rPr>
        <w:t>P</w:t>
      </w:r>
      <w:r w:rsidR="003878E3" w:rsidRPr="00152A20">
        <w:rPr>
          <w:lang w:val="en-GB"/>
        </w:rPr>
        <w:t>roces</w:t>
      </w:r>
      <w:r w:rsidR="003228D8" w:rsidRPr="00152A20">
        <w:rPr>
          <w:lang w:val="en-GB"/>
        </w:rPr>
        <w:t>s</w:t>
      </w:r>
      <w:r w:rsidR="008E5AA1" w:rsidRPr="00152A20">
        <w:rPr>
          <w:lang w:val="en-GB"/>
        </w:rPr>
        <w:t xml:space="preserve"> was </w:t>
      </w:r>
      <w:r w:rsidR="003878E3" w:rsidRPr="00152A20">
        <w:rPr>
          <w:lang w:val="en-GB"/>
        </w:rPr>
        <w:t>much</w:t>
      </w:r>
      <w:r w:rsidR="008E5AA1" w:rsidRPr="00152A20">
        <w:rPr>
          <w:lang w:val="en-GB"/>
        </w:rPr>
        <w:t xml:space="preserve"> debated and faced strong opposition among university leaders and faculty</w:t>
      </w:r>
      <w:r w:rsidR="00925DA1">
        <w:rPr>
          <w:lang w:val="en-GB"/>
        </w:rPr>
        <w:t xml:space="preserve"> as well as </w:t>
      </w:r>
      <w:r w:rsidR="008E5AA1" w:rsidRPr="00152A20">
        <w:rPr>
          <w:lang w:val="en-GB"/>
        </w:rPr>
        <w:t>students and parents, Russia signed the Bologna Declaration in 2003 (</w:t>
      </w:r>
      <w:proofErr w:type="spellStart"/>
      <w:r w:rsidR="008E5AA1" w:rsidRPr="00152A20">
        <w:rPr>
          <w:shd w:val="clear" w:color="auto" w:fill="FFF5BF"/>
          <w:lang w:val="en-GB"/>
        </w:rPr>
        <w:t>Telegina</w:t>
      </w:r>
      <w:proofErr w:type="spellEnd"/>
      <w:r w:rsidR="008E5AA1" w:rsidRPr="00152A20">
        <w:rPr>
          <w:shd w:val="clear" w:color="auto" w:fill="FFF5BF"/>
          <w:lang w:val="en-GB"/>
        </w:rPr>
        <w:t xml:space="preserve"> and </w:t>
      </w:r>
      <w:proofErr w:type="spellStart"/>
      <w:r w:rsidR="008E5AA1" w:rsidRPr="00152A20">
        <w:rPr>
          <w:shd w:val="clear" w:color="auto" w:fill="FFF5BF"/>
          <w:lang w:val="en-GB"/>
        </w:rPr>
        <w:t>Schwengel</w:t>
      </w:r>
      <w:proofErr w:type="spellEnd"/>
      <w:r w:rsidR="008E5AA1" w:rsidRPr="00152A20">
        <w:rPr>
          <w:shd w:val="clear" w:color="auto" w:fill="FFF5BF"/>
          <w:lang w:val="en-GB"/>
        </w:rPr>
        <w:t xml:space="preserve"> 2012</w:t>
      </w:r>
      <w:r w:rsidR="008E5AA1" w:rsidRPr="00152A20">
        <w:rPr>
          <w:lang w:val="en-GB"/>
        </w:rPr>
        <w:t xml:space="preserve">). </w:t>
      </w:r>
    </w:p>
    <w:p w14:paraId="43017A60" w14:textId="19786242" w:rsidR="00037D5F" w:rsidRPr="00152A20" w:rsidRDefault="008E5AA1">
      <w:pPr>
        <w:rPr>
          <w:rFonts w:ascii="Times" w:eastAsia="Times New Roman" w:hAnsi="Times" w:cs="Times New Roman"/>
          <w:color w:val="auto"/>
          <w:sz w:val="20"/>
          <w:szCs w:val="20"/>
          <w:lang w:val="en-GB" w:eastAsia="ru-RU"/>
        </w:rPr>
      </w:pPr>
      <w:r w:rsidRPr="00152A20">
        <w:rPr>
          <w:rFonts w:asciiTheme="minorHAnsi" w:hAnsiTheme="minorHAnsi"/>
          <w:lang w:val="en-GB"/>
        </w:rPr>
        <w:t>Since that time,</w:t>
      </w:r>
      <w:r w:rsidR="00504544">
        <w:rPr>
          <w:rFonts w:asciiTheme="minorHAnsi" w:hAnsiTheme="minorHAnsi"/>
          <w:lang w:val="en-GB"/>
        </w:rPr>
        <w:t xml:space="preserve"> </w:t>
      </w:r>
      <w:r w:rsidR="003228D8" w:rsidRPr="0029475F">
        <w:rPr>
          <w:rFonts w:asciiTheme="minorHAnsi" w:eastAsia="Times New Roman" w:hAnsiTheme="minorHAnsi" w:cs="Arial"/>
          <w:color w:val="auto"/>
          <w:shd w:val="clear" w:color="auto" w:fill="FFFFFF"/>
          <w:lang w:val="en-GB" w:eastAsia="ru-RU"/>
        </w:rPr>
        <w:t xml:space="preserve">the European Credit Transfer and Accumulation System </w:t>
      </w:r>
      <w:r w:rsidR="003228D8" w:rsidRPr="00152A20">
        <w:rPr>
          <w:rFonts w:asciiTheme="minorHAnsi" w:eastAsia="Times New Roman" w:hAnsiTheme="minorHAnsi" w:cs="Arial"/>
          <w:color w:val="545454"/>
          <w:shd w:val="clear" w:color="auto" w:fill="FFFFFF"/>
          <w:lang w:val="en-GB" w:eastAsia="ru-RU"/>
        </w:rPr>
        <w:t>(</w:t>
      </w:r>
      <w:r w:rsidRPr="00152A20">
        <w:rPr>
          <w:rFonts w:asciiTheme="minorHAnsi" w:hAnsiTheme="minorHAnsi"/>
          <w:lang w:val="en-GB"/>
        </w:rPr>
        <w:t>ECTS</w:t>
      </w:r>
      <w:r w:rsidR="003228D8" w:rsidRPr="00152A20">
        <w:rPr>
          <w:rFonts w:asciiTheme="minorHAnsi" w:hAnsiTheme="minorHAnsi"/>
          <w:lang w:val="en-GB"/>
        </w:rPr>
        <w:t>)</w:t>
      </w:r>
      <w:r w:rsidR="00EC64F7">
        <w:rPr>
          <w:lang w:val="en-GB"/>
        </w:rPr>
        <w:t xml:space="preserve"> along with </w:t>
      </w:r>
      <w:r w:rsidR="009F65F1" w:rsidRPr="00152A20">
        <w:rPr>
          <w:lang w:val="en-GB"/>
        </w:rPr>
        <w:t xml:space="preserve">a </w:t>
      </w:r>
      <w:r w:rsidRPr="00152A20">
        <w:rPr>
          <w:lang w:val="en-GB"/>
        </w:rPr>
        <w:t>t</w:t>
      </w:r>
      <w:r w:rsidR="00C93099" w:rsidRPr="00152A20">
        <w:rPr>
          <w:lang w:val="en-GB"/>
        </w:rPr>
        <w:t>hree</w:t>
      </w:r>
      <w:r w:rsidRPr="00152A20">
        <w:rPr>
          <w:lang w:val="en-GB"/>
        </w:rPr>
        <w:t xml:space="preserve">-cycle degree system and quality assurance systems have been gradually introduced. </w:t>
      </w:r>
      <w:r w:rsidR="009F65F1" w:rsidRPr="00152A20">
        <w:rPr>
          <w:lang w:val="en-GB"/>
        </w:rPr>
        <w:t xml:space="preserve">The </w:t>
      </w:r>
      <w:r w:rsidRPr="00152A20">
        <w:rPr>
          <w:lang w:val="en-GB"/>
        </w:rPr>
        <w:t xml:space="preserve">bachelor/master degree structure was optional for HEIs parallel </w:t>
      </w:r>
      <w:r w:rsidR="009F65F1" w:rsidRPr="00152A20">
        <w:rPr>
          <w:lang w:val="en-GB"/>
        </w:rPr>
        <w:t>t</w:t>
      </w:r>
      <w:r w:rsidR="00C93099" w:rsidRPr="00152A20">
        <w:rPr>
          <w:lang w:val="en-GB"/>
        </w:rPr>
        <w:t>o</w:t>
      </w:r>
      <w:r w:rsidR="009F65F1" w:rsidRPr="00152A20">
        <w:rPr>
          <w:lang w:val="en-GB"/>
        </w:rPr>
        <w:t xml:space="preserve"> the</w:t>
      </w:r>
      <w:r w:rsidRPr="00152A20">
        <w:rPr>
          <w:lang w:val="en-GB"/>
        </w:rPr>
        <w:t xml:space="preserve"> five-year specialist degre</w:t>
      </w:r>
      <w:r w:rsidR="00504544">
        <w:rPr>
          <w:lang w:val="en-GB"/>
        </w:rPr>
        <w:t>e</w:t>
      </w:r>
      <w:r w:rsidRPr="00152A20">
        <w:rPr>
          <w:lang w:val="en-GB"/>
        </w:rPr>
        <w:t xml:space="preserve">  (</w:t>
      </w:r>
      <w:r w:rsidR="009F65F1" w:rsidRPr="00152A20">
        <w:rPr>
          <w:lang w:val="en-GB"/>
        </w:rPr>
        <w:t xml:space="preserve">gradually </w:t>
      </w:r>
      <w:r w:rsidRPr="00152A20">
        <w:rPr>
          <w:lang w:val="en-GB"/>
        </w:rPr>
        <w:t xml:space="preserve">introduced </w:t>
      </w:r>
      <w:r w:rsidR="009F65F1" w:rsidRPr="00152A20">
        <w:rPr>
          <w:lang w:val="en-GB"/>
        </w:rPr>
        <w:t>since 1989</w:t>
      </w:r>
      <w:r w:rsidRPr="00152A20">
        <w:rPr>
          <w:lang w:val="en-GB"/>
        </w:rPr>
        <w:t>, in 1992</w:t>
      </w:r>
      <w:r w:rsidR="009F65F1" w:rsidRPr="00152A20">
        <w:rPr>
          <w:lang w:val="en-GB"/>
        </w:rPr>
        <w:t xml:space="preserve"> proposed as the </w:t>
      </w:r>
      <w:r w:rsidRPr="00152A20">
        <w:rPr>
          <w:lang w:val="en-GB"/>
        </w:rPr>
        <w:t>national multilevel degree structure) (</w:t>
      </w:r>
      <w:proofErr w:type="spellStart"/>
      <w:r w:rsidRPr="00152A20">
        <w:rPr>
          <w:shd w:val="clear" w:color="auto" w:fill="FFF5BF"/>
          <w:lang w:val="en-GB"/>
        </w:rPr>
        <w:t>Luchinskaya</w:t>
      </w:r>
      <w:proofErr w:type="spellEnd"/>
      <w:r w:rsidRPr="00152A20">
        <w:rPr>
          <w:shd w:val="clear" w:color="auto" w:fill="FFF5BF"/>
          <w:lang w:val="en-GB"/>
        </w:rPr>
        <w:t xml:space="preserve"> and </w:t>
      </w:r>
      <w:proofErr w:type="spellStart"/>
      <w:r w:rsidRPr="00152A20">
        <w:rPr>
          <w:shd w:val="clear" w:color="auto" w:fill="FFF5BF"/>
          <w:lang w:val="en-GB"/>
        </w:rPr>
        <w:t>Ovchynnikova</w:t>
      </w:r>
      <w:proofErr w:type="spellEnd"/>
      <w:r w:rsidRPr="00152A20">
        <w:rPr>
          <w:shd w:val="clear" w:color="auto" w:fill="FFF5BF"/>
          <w:lang w:val="en-GB"/>
        </w:rPr>
        <w:t>, 2011</w:t>
      </w:r>
      <w:r w:rsidRPr="00152A20">
        <w:rPr>
          <w:lang w:val="en-GB"/>
        </w:rPr>
        <w:t>). From 2009</w:t>
      </w:r>
      <w:r w:rsidR="009F65F1" w:rsidRPr="00152A20">
        <w:rPr>
          <w:lang w:val="en-GB"/>
        </w:rPr>
        <w:t>,</w:t>
      </w:r>
      <w:r w:rsidRPr="00152A20">
        <w:rPr>
          <w:lang w:val="en-GB"/>
        </w:rPr>
        <w:t xml:space="preserve"> all educational program</w:t>
      </w:r>
      <w:r w:rsidR="009F65F1" w:rsidRPr="00152A20">
        <w:rPr>
          <w:lang w:val="en-GB"/>
        </w:rPr>
        <w:t>me</w:t>
      </w:r>
      <w:r w:rsidRPr="00152A20">
        <w:rPr>
          <w:lang w:val="en-GB"/>
        </w:rPr>
        <w:t xml:space="preserve">s </w:t>
      </w:r>
      <w:r w:rsidR="00D01BBF">
        <w:rPr>
          <w:lang w:val="en-GB"/>
        </w:rPr>
        <w:t xml:space="preserve">were expected to </w:t>
      </w:r>
      <w:r w:rsidRPr="00152A20">
        <w:rPr>
          <w:lang w:val="en-GB"/>
        </w:rPr>
        <w:t xml:space="preserve">transform into two-cycle degree </w:t>
      </w:r>
      <w:r w:rsidR="009F65F1" w:rsidRPr="00152A20">
        <w:rPr>
          <w:lang w:val="en-GB"/>
        </w:rPr>
        <w:t xml:space="preserve">programmes </w:t>
      </w:r>
      <w:r w:rsidRPr="00152A20">
        <w:rPr>
          <w:lang w:val="en-GB"/>
        </w:rPr>
        <w:t xml:space="preserve">(with some exceptions).  </w:t>
      </w:r>
      <w:r w:rsidR="00504544">
        <w:rPr>
          <w:lang w:val="en-GB"/>
        </w:rPr>
        <w:t xml:space="preserve">Half </w:t>
      </w:r>
      <w:r w:rsidRPr="00152A20">
        <w:rPr>
          <w:lang w:val="en-GB"/>
        </w:rPr>
        <w:t>of all master students</w:t>
      </w:r>
      <w:r w:rsidR="009F65F1" w:rsidRPr="00152A20">
        <w:rPr>
          <w:lang w:val="en-GB"/>
        </w:rPr>
        <w:t xml:space="preserve"> are enrolled in 65 HEIs, suggesting a high level of </w:t>
      </w:r>
      <w:r w:rsidR="00504544">
        <w:rPr>
          <w:lang w:val="en-GB"/>
        </w:rPr>
        <w:t>master student</w:t>
      </w:r>
      <w:r w:rsidR="00504544" w:rsidRPr="00152A20">
        <w:rPr>
          <w:lang w:val="en-GB"/>
        </w:rPr>
        <w:t xml:space="preserve"> </w:t>
      </w:r>
      <w:r w:rsidR="009F65F1" w:rsidRPr="00152A20">
        <w:rPr>
          <w:lang w:val="en-GB"/>
        </w:rPr>
        <w:t>concentration in a relatively small set of HEIs</w:t>
      </w:r>
      <w:r w:rsidRPr="00152A20">
        <w:rPr>
          <w:lang w:val="en-GB"/>
        </w:rPr>
        <w:t xml:space="preserve">. </w:t>
      </w:r>
      <w:r w:rsidR="009F65F1" w:rsidRPr="00152A20">
        <w:rPr>
          <w:lang w:val="en-GB"/>
        </w:rPr>
        <w:t>In</w:t>
      </w:r>
      <w:r w:rsidRPr="00152A20">
        <w:rPr>
          <w:lang w:val="en-GB"/>
        </w:rPr>
        <w:t xml:space="preserve"> 2015</w:t>
      </w:r>
      <w:r w:rsidR="009F65F1" w:rsidRPr="00152A20">
        <w:rPr>
          <w:lang w:val="en-GB"/>
        </w:rPr>
        <w:t>,</w:t>
      </w:r>
      <w:r w:rsidRPr="00152A20">
        <w:rPr>
          <w:lang w:val="en-GB"/>
        </w:rPr>
        <w:t xml:space="preserve"> 12% of all bachelor graduates </w:t>
      </w:r>
      <w:r w:rsidR="009F65F1" w:rsidRPr="00152A20">
        <w:rPr>
          <w:lang w:val="en-GB"/>
        </w:rPr>
        <w:t>transferred</w:t>
      </w:r>
      <w:r w:rsidRPr="00152A20">
        <w:rPr>
          <w:lang w:val="en-GB"/>
        </w:rPr>
        <w:t xml:space="preserve"> </w:t>
      </w:r>
      <w:r w:rsidR="009F65F1" w:rsidRPr="00152A20">
        <w:rPr>
          <w:lang w:val="en-GB"/>
        </w:rPr>
        <w:t>to master</w:t>
      </w:r>
      <w:r w:rsidRPr="00152A20">
        <w:rPr>
          <w:lang w:val="en-GB"/>
        </w:rPr>
        <w:t xml:space="preserve"> program</w:t>
      </w:r>
      <w:r w:rsidR="009F65F1" w:rsidRPr="00152A20">
        <w:rPr>
          <w:lang w:val="en-GB"/>
        </w:rPr>
        <w:t>me</w:t>
      </w:r>
      <w:r w:rsidRPr="00152A20">
        <w:rPr>
          <w:lang w:val="en-GB"/>
        </w:rPr>
        <w:t xml:space="preserve">s. </w:t>
      </w:r>
      <w:r w:rsidR="009F65F1" w:rsidRPr="00152A20">
        <w:rPr>
          <w:lang w:val="en-GB"/>
        </w:rPr>
        <w:t>T</w:t>
      </w:r>
      <w:r w:rsidRPr="00152A20">
        <w:rPr>
          <w:lang w:val="en-GB"/>
        </w:rPr>
        <w:t xml:space="preserve">he government </w:t>
      </w:r>
      <w:r w:rsidR="00504544">
        <w:rPr>
          <w:lang w:val="en-GB"/>
        </w:rPr>
        <w:t xml:space="preserve">has </w:t>
      </w:r>
      <w:r w:rsidR="009F65F1" w:rsidRPr="00152A20">
        <w:rPr>
          <w:lang w:val="en-GB"/>
        </w:rPr>
        <w:t>emphasise</w:t>
      </w:r>
      <w:r w:rsidR="00504544">
        <w:rPr>
          <w:lang w:val="en-GB"/>
        </w:rPr>
        <w:t>d</w:t>
      </w:r>
      <w:r w:rsidR="009F65F1" w:rsidRPr="00152A20">
        <w:rPr>
          <w:lang w:val="en-GB"/>
        </w:rPr>
        <w:t xml:space="preserve"> the importance of master programmes by </w:t>
      </w:r>
      <w:r w:rsidRPr="00152A20">
        <w:rPr>
          <w:lang w:val="en-GB"/>
        </w:rPr>
        <w:t>allocat</w:t>
      </w:r>
      <w:r w:rsidR="009F65F1" w:rsidRPr="00152A20">
        <w:rPr>
          <w:lang w:val="en-GB"/>
        </w:rPr>
        <w:t>ing</w:t>
      </w:r>
      <w:r w:rsidRPr="00152A20">
        <w:rPr>
          <w:lang w:val="en-GB"/>
        </w:rPr>
        <w:t xml:space="preserve"> about 40% of all publicly funded places </w:t>
      </w:r>
      <w:r w:rsidR="009F65F1" w:rsidRPr="00152A20">
        <w:rPr>
          <w:lang w:val="en-GB"/>
        </w:rPr>
        <w:t>to</w:t>
      </w:r>
      <w:r w:rsidRPr="00152A20">
        <w:rPr>
          <w:lang w:val="en-GB"/>
        </w:rPr>
        <w:t xml:space="preserve"> master degree program</w:t>
      </w:r>
      <w:r w:rsidR="009F65F1" w:rsidRPr="00152A20">
        <w:rPr>
          <w:lang w:val="en-GB"/>
        </w:rPr>
        <w:t>me</w:t>
      </w:r>
      <w:r w:rsidRPr="00152A20">
        <w:rPr>
          <w:lang w:val="en-GB"/>
        </w:rPr>
        <w:t>s in 2016.</w:t>
      </w:r>
    </w:p>
    <w:p w14:paraId="2AC09995" w14:textId="77777777" w:rsidR="00037D5F" w:rsidRPr="00152A20" w:rsidRDefault="008E5AA1">
      <w:pPr>
        <w:pStyle w:val="Heading2"/>
        <w:rPr>
          <w:lang w:val="en-GB"/>
        </w:rPr>
      </w:pPr>
      <w:bookmarkStart w:id="13" w:name="_35nkun2" w:colFirst="0" w:colLast="0"/>
      <w:bookmarkEnd w:id="13"/>
      <w:r w:rsidRPr="00152A20">
        <w:rPr>
          <w:lang w:val="en-GB"/>
        </w:rPr>
        <w:t>Admission: National State Examination</w:t>
      </w:r>
    </w:p>
    <w:p w14:paraId="39D0A167" w14:textId="77777777" w:rsidR="00037D5F" w:rsidRPr="00152A20" w:rsidRDefault="009F65F1">
      <w:pPr>
        <w:rPr>
          <w:lang w:val="en-GB"/>
        </w:rPr>
      </w:pPr>
      <w:r w:rsidRPr="00152A20">
        <w:rPr>
          <w:lang w:val="en-GB"/>
        </w:rPr>
        <w:t>The a</w:t>
      </w:r>
      <w:r w:rsidR="008E5AA1" w:rsidRPr="00152A20">
        <w:rPr>
          <w:lang w:val="en-GB"/>
        </w:rPr>
        <w:t xml:space="preserve">dmission reform started </w:t>
      </w:r>
      <w:r w:rsidRPr="00152A20">
        <w:rPr>
          <w:lang w:val="en-GB"/>
        </w:rPr>
        <w:t xml:space="preserve">in </w:t>
      </w:r>
      <w:r w:rsidR="008E5AA1" w:rsidRPr="00152A20">
        <w:rPr>
          <w:lang w:val="en-GB"/>
        </w:rPr>
        <w:t xml:space="preserve">2001 and </w:t>
      </w:r>
      <w:r w:rsidRPr="00152A20">
        <w:rPr>
          <w:lang w:val="en-GB"/>
        </w:rPr>
        <w:t>was implemented</w:t>
      </w:r>
      <w:r w:rsidR="008E5AA1" w:rsidRPr="00152A20">
        <w:rPr>
          <w:lang w:val="en-GB"/>
        </w:rPr>
        <w:t xml:space="preserve"> nationwide in 2009. It included </w:t>
      </w:r>
      <w:r w:rsidRPr="00152A20">
        <w:rPr>
          <w:lang w:val="en-GB"/>
        </w:rPr>
        <w:t>the abolishment</w:t>
      </w:r>
      <w:r w:rsidR="008E5AA1" w:rsidRPr="00152A20">
        <w:rPr>
          <w:lang w:val="en-GB"/>
        </w:rPr>
        <w:t xml:space="preserve"> of university-specific exams</w:t>
      </w:r>
      <w:r w:rsidRPr="00152A20">
        <w:rPr>
          <w:lang w:val="en-GB"/>
        </w:rPr>
        <w:t xml:space="preserve"> and the</w:t>
      </w:r>
      <w:r w:rsidR="008E5AA1" w:rsidRPr="00152A20">
        <w:rPr>
          <w:lang w:val="en-GB"/>
        </w:rPr>
        <w:t xml:space="preserve"> introduction of the state entry exam </w:t>
      </w:r>
      <w:r w:rsidRPr="00152A20">
        <w:rPr>
          <w:lang w:val="en-GB"/>
        </w:rPr>
        <w:t>(</w:t>
      </w:r>
      <w:r w:rsidR="008E5AA1" w:rsidRPr="00152A20">
        <w:rPr>
          <w:lang w:val="en-GB"/>
        </w:rPr>
        <w:t>Unified State Examination</w:t>
      </w:r>
      <w:r w:rsidRPr="00152A20">
        <w:rPr>
          <w:lang w:val="en-GB"/>
        </w:rPr>
        <w:t xml:space="preserve">, </w:t>
      </w:r>
      <w:r w:rsidR="008E5AA1" w:rsidRPr="00152A20">
        <w:rPr>
          <w:lang w:val="en-GB"/>
        </w:rPr>
        <w:t>USE). The reform aimed at increasing accessibility, equality and transparency of higher education</w:t>
      </w:r>
      <w:r w:rsidR="008E5AA1" w:rsidRPr="00152A20">
        <w:rPr>
          <w:shd w:val="clear" w:color="auto" w:fill="FFF1A7"/>
          <w:lang w:val="en-GB"/>
        </w:rPr>
        <w:t xml:space="preserve"> (</w:t>
      </w:r>
      <w:proofErr w:type="spellStart"/>
      <w:r w:rsidR="008E5AA1" w:rsidRPr="00152A20">
        <w:rPr>
          <w:shd w:val="clear" w:color="auto" w:fill="FFF1A7"/>
          <w:lang w:val="en-GB"/>
        </w:rPr>
        <w:t>Bolotov</w:t>
      </w:r>
      <w:proofErr w:type="spellEnd"/>
      <w:r w:rsidR="008E5AA1" w:rsidRPr="00152A20">
        <w:rPr>
          <w:shd w:val="clear" w:color="auto" w:fill="FFF1A7"/>
          <w:lang w:val="en-GB"/>
        </w:rPr>
        <w:t xml:space="preserve"> 2004)</w:t>
      </w:r>
      <w:r w:rsidR="008E5AA1" w:rsidRPr="00152A20">
        <w:rPr>
          <w:lang w:val="en-GB"/>
        </w:rPr>
        <w:t>.</w:t>
      </w:r>
    </w:p>
    <w:p w14:paraId="13CCAFB5" w14:textId="02A57BE8" w:rsidR="00037D5F" w:rsidRPr="00152A20" w:rsidRDefault="008E5AA1">
      <w:pPr>
        <w:rPr>
          <w:lang w:val="en-GB"/>
        </w:rPr>
      </w:pPr>
      <w:r w:rsidRPr="00152A20">
        <w:rPr>
          <w:lang w:val="en-GB"/>
        </w:rPr>
        <w:t xml:space="preserve">The </w:t>
      </w:r>
      <w:r w:rsidR="00C93099" w:rsidRPr="00152A20">
        <w:rPr>
          <w:lang w:val="en-GB"/>
        </w:rPr>
        <w:t xml:space="preserve">exam is called </w:t>
      </w:r>
      <w:r w:rsidR="00B17D3B" w:rsidRPr="00152A20">
        <w:rPr>
          <w:lang w:val="en-GB"/>
        </w:rPr>
        <w:t>‘unified’ as schools and HEIs use the same exam. The USE is designed for</w:t>
      </w:r>
      <w:r w:rsidR="00E06391" w:rsidRPr="00152A20">
        <w:rPr>
          <w:lang w:val="en-GB"/>
        </w:rPr>
        <w:t xml:space="preserve"> the</w:t>
      </w:r>
      <w:r w:rsidR="00B17D3B" w:rsidRPr="00152A20">
        <w:rPr>
          <w:lang w:val="en-GB"/>
        </w:rPr>
        <w:t xml:space="preserve"> </w:t>
      </w:r>
      <w:r w:rsidR="00C93099" w:rsidRPr="00152A20">
        <w:rPr>
          <w:lang w:val="en-GB"/>
        </w:rPr>
        <w:t>assess</w:t>
      </w:r>
      <w:r w:rsidR="00B17D3B" w:rsidRPr="00152A20">
        <w:rPr>
          <w:lang w:val="en-GB"/>
        </w:rPr>
        <w:t xml:space="preserve">ment of </w:t>
      </w:r>
      <w:r w:rsidR="00D01BBF" w:rsidRPr="00152A20">
        <w:rPr>
          <w:lang w:val="en-GB"/>
        </w:rPr>
        <w:t xml:space="preserve">all </w:t>
      </w:r>
      <w:r w:rsidR="00E71070" w:rsidRPr="00152A20">
        <w:rPr>
          <w:lang w:val="en-GB"/>
        </w:rPr>
        <w:t>results</w:t>
      </w:r>
      <w:r w:rsidR="00E71070">
        <w:rPr>
          <w:lang w:val="en-GB"/>
        </w:rPr>
        <w:t xml:space="preserve"> for</w:t>
      </w:r>
      <w:r w:rsidR="00E71070" w:rsidRPr="00152A20">
        <w:rPr>
          <w:lang w:val="en-GB"/>
        </w:rPr>
        <w:t xml:space="preserve"> </w:t>
      </w:r>
      <w:r w:rsidR="00D01BBF" w:rsidRPr="00152A20">
        <w:rPr>
          <w:lang w:val="en-GB"/>
        </w:rPr>
        <w:t xml:space="preserve">secondary education </w:t>
      </w:r>
      <w:r w:rsidR="00D01BBF">
        <w:rPr>
          <w:lang w:val="en-GB"/>
        </w:rPr>
        <w:t>graduate</w:t>
      </w:r>
      <w:r w:rsidR="00E71070">
        <w:rPr>
          <w:lang w:val="en-GB"/>
        </w:rPr>
        <w:t>s</w:t>
      </w:r>
      <w:r w:rsidR="00D01BBF" w:rsidRPr="00152A20">
        <w:rPr>
          <w:lang w:val="en-GB"/>
        </w:rPr>
        <w:t xml:space="preserve"> </w:t>
      </w:r>
      <w:r w:rsidR="00B17D3B" w:rsidRPr="00152A20">
        <w:rPr>
          <w:lang w:val="en-GB"/>
        </w:rPr>
        <w:t xml:space="preserve">and for </w:t>
      </w:r>
      <w:r w:rsidR="00D01BBF">
        <w:rPr>
          <w:lang w:val="en-GB"/>
        </w:rPr>
        <w:t xml:space="preserve">the </w:t>
      </w:r>
      <w:r w:rsidR="00B17D3B" w:rsidRPr="00152A20">
        <w:rPr>
          <w:lang w:val="en-GB"/>
        </w:rPr>
        <w:t xml:space="preserve">enrolment of prospective </w:t>
      </w:r>
      <w:r w:rsidR="00D01BBF">
        <w:rPr>
          <w:lang w:val="en-GB"/>
        </w:rPr>
        <w:t xml:space="preserve">HE </w:t>
      </w:r>
      <w:r w:rsidR="00B17D3B" w:rsidRPr="00152A20">
        <w:rPr>
          <w:lang w:val="en-GB"/>
        </w:rPr>
        <w:t>students</w:t>
      </w:r>
      <w:r w:rsidRPr="00152A20">
        <w:rPr>
          <w:lang w:val="en-GB"/>
        </w:rPr>
        <w:t xml:space="preserve">. </w:t>
      </w:r>
      <w:r w:rsidR="00D01BBF">
        <w:rPr>
          <w:lang w:val="en-GB"/>
        </w:rPr>
        <w:t xml:space="preserve">The USE is administered in </w:t>
      </w:r>
      <w:r w:rsidRPr="00152A20">
        <w:rPr>
          <w:lang w:val="en-GB"/>
        </w:rPr>
        <w:t>test form</w:t>
      </w:r>
      <w:r w:rsidR="00D01BBF">
        <w:rPr>
          <w:lang w:val="en-GB"/>
        </w:rPr>
        <w:t xml:space="preserve"> and </w:t>
      </w:r>
      <w:r w:rsidRPr="00152A20">
        <w:rPr>
          <w:lang w:val="en-GB"/>
        </w:rPr>
        <w:t>school graduate</w:t>
      </w:r>
      <w:r w:rsidR="00D01BBF">
        <w:rPr>
          <w:lang w:val="en-GB"/>
        </w:rPr>
        <w:t>s</w:t>
      </w:r>
      <w:r w:rsidRPr="00152A20">
        <w:rPr>
          <w:lang w:val="en-GB"/>
        </w:rPr>
        <w:t xml:space="preserve"> must choose several subjects to enter a</w:t>
      </w:r>
      <w:r w:rsidR="00D01BBF">
        <w:rPr>
          <w:lang w:val="en-GB"/>
        </w:rPr>
        <w:t>n</w:t>
      </w:r>
      <w:r w:rsidRPr="00152A20">
        <w:rPr>
          <w:lang w:val="en-GB"/>
        </w:rPr>
        <w:t xml:space="preserve"> HEI (two </w:t>
      </w:r>
      <w:r w:rsidR="00D01BBF">
        <w:rPr>
          <w:lang w:val="en-GB"/>
        </w:rPr>
        <w:t xml:space="preserve">are </w:t>
      </w:r>
      <w:r w:rsidRPr="00152A20">
        <w:rPr>
          <w:lang w:val="en-GB"/>
        </w:rPr>
        <w:t>obligatory</w:t>
      </w:r>
      <w:r w:rsidR="00D01BBF">
        <w:rPr>
          <w:lang w:val="en-GB"/>
        </w:rPr>
        <w:t xml:space="preserve">, </w:t>
      </w:r>
      <w:r w:rsidRPr="00152A20">
        <w:rPr>
          <w:lang w:val="en-GB"/>
        </w:rPr>
        <w:t xml:space="preserve">mathematics and </w:t>
      </w:r>
      <w:r w:rsidR="00D01BBF">
        <w:rPr>
          <w:lang w:val="en-GB"/>
        </w:rPr>
        <w:t xml:space="preserve">the </w:t>
      </w:r>
      <w:r w:rsidRPr="00152A20">
        <w:rPr>
          <w:lang w:val="en-GB"/>
        </w:rPr>
        <w:t>Russian language). Due to the double</w:t>
      </w:r>
      <w:r w:rsidR="009F65F1" w:rsidRPr="00152A20">
        <w:rPr>
          <w:lang w:val="en-GB"/>
        </w:rPr>
        <w:t xml:space="preserve"> </w:t>
      </w:r>
      <w:r w:rsidRPr="00152A20">
        <w:rPr>
          <w:lang w:val="en-GB"/>
        </w:rPr>
        <w:t xml:space="preserve">track tuition system </w:t>
      </w:r>
      <w:r w:rsidR="00D01BBF">
        <w:rPr>
          <w:lang w:val="en-GB"/>
        </w:rPr>
        <w:t xml:space="preserve">with </w:t>
      </w:r>
      <w:r w:rsidRPr="00152A20">
        <w:rPr>
          <w:lang w:val="en-GB"/>
        </w:rPr>
        <w:t xml:space="preserve">publicly and privately funded slots, students </w:t>
      </w:r>
      <w:r w:rsidR="00D01BBF">
        <w:rPr>
          <w:lang w:val="en-GB"/>
        </w:rPr>
        <w:t>with</w:t>
      </w:r>
      <w:r w:rsidRPr="00152A20">
        <w:rPr>
          <w:lang w:val="en-GB"/>
        </w:rPr>
        <w:t xml:space="preserve"> lower grades can choose to study on </w:t>
      </w:r>
      <w:r w:rsidR="00D01BBF">
        <w:rPr>
          <w:lang w:val="en-GB"/>
        </w:rPr>
        <w:t xml:space="preserve">a </w:t>
      </w:r>
      <w:r w:rsidRPr="00152A20">
        <w:rPr>
          <w:lang w:val="en-GB"/>
        </w:rPr>
        <w:t>payment</w:t>
      </w:r>
      <w:r w:rsidR="00D01BBF">
        <w:rPr>
          <w:lang w:val="en-GB"/>
        </w:rPr>
        <w:t xml:space="preserve"> </w:t>
      </w:r>
      <w:r w:rsidRPr="00152A20">
        <w:rPr>
          <w:lang w:val="en-GB"/>
        </w:rPr>
        <w:t>basis</w:t>
      </w:r>
      <w:r w:rsidR="00D01BBF">
        <w:rPr>
          <w:lang w:val="en-GB"/>
        </w:rPr>
        <w:t xml:space="preserve">, yet </w:t>
      </w:r>
      <w:r w:rsidRPr="00152A20">
        <w:rPr>
          <w:lang w:val="en-GB"/>
        </w:rPr>
        <w:t>“pass</w:t>
      </w:r>
      <w:r w:rsidR="00D01BBF">
        <w:rPr>
          <w:lang w:val="en-GB"/>
        </w:rPr>
        <w:t>ing</w:t>
      </w:r>
      <w:r w:rsidRPr="00152A20">
        <w:rPr>
          <w:lang w:val="en-GB"/>
        </w:rPr>
        <w:t>” score</w:t>
      </w:r>
      <w:r w:rsidR="00D01BBF">
        <w:rPr>
          <w:lang w:val="en-GB"/>
        </w:rPr>
        <w:t>s</w:t>
      </w:r>
      <w:r w:rsidRPr="00152A20">
        <w:rPr>
          <w:lang w:val="en-GB"/>
        </w:rPr>
        <w:t xml:space="preserve"> var</w:t>
      </w:r>
      <w:r w:rsidR="00D01BBF">
        <w:rPr>
          <w:lang w:val="en-GB"/>
        </w:rPr>
        <w:t>y</w:t>
      </w:r>
      <w:r w:rsidRPr="00152A20">
        <w:rPr>
          <w:lang w:val="en-GB"/>
        </w:rPr>
        <w:t xml:space="preserve"> between HEIs. </w:t>
      </w:r>
    </w:p>
    <w:p w14:paraId="2E7D6A94" w14:textId="4C5E14B2" w:rsidR="00037D5F" w:rsidRPr="00152A20" w:rsidRDefault="008E5AA1">
      <w:pPr>
        <w:rPr>
          <w:lang w:val="en-GB"/>
        </w:rPr>
      </w:pPr>
      <w:r w:rsidRPr="00152A20">
        <w:rPr>
          <w:lang w:val="en-GB"/>
        </w:rPr>
        <w:t xml:space="preserve">The USE project is considered one of the most influential institutional reforms in </w:t>
      </w:r>
      <w:r w:rsidR="00382D3B">
        <w:rPr>
          <w:lang w:val="en-GB"/>
        </w:rPr>
        <w:t xml:space="preserve">Russian </w:t>
      </w:r>
      <w:r w:rsidRPr="00152A20">
        <w:rPr>
          <w:lang w:val="en-GB"/>
        </w:rPr>
        <w:t xml:space="preserve">higher education. </w:t>
      </w:r>
      <w:r w:rsidR="009F65F1" w:rsidRPr="00152A20">
        <w:rPr>
          <w:lang w:val="en-GB"/>
        </w:rPr>
        <w:t>A</w:t>
      </w:r>
      <w:r w:rsidRPr="00152A20">
        <w:rPr>
          <w:lang w:val="en-GB"/>
        </w:rPr>
        <w:t xml:space="preserve"> high score </w:t>
      </w:r>
      <w:r w:rsidR="009F65F1" w:rsidRPr="00152A20">
        <w:rPr>
          <w:lang w:val="en-GB"/>
        </w:rPr>
        <w:t xml:space="preserve">on the exam </w:t>
      </w:r>
      <w:r w:rsidRPr="00152A20">
        <w:rPr>
          <w:lang w:val="en-GB"/>
        </w:rPr>
        <w:t xml:space="preserve">has become the aim of most school leavers. Selectivity </w:t>
      </w:r>
      <w:r w:rsidRPr="00152A20">
        <w:rPr>
          <w:lang w:val="en-GB"/>
        </w:rPr>
        <w:lastRenderedPageBreak/>
        <w:t xml:space="preserve">became a measurable indicator of </w:t>
      </w:r>
      <w:r w:rsidR="009F65F1" w:rsidRPr="00152A20">
        <w:rPr>
          <w:lang w:val="en-GB"/>
        </w:rPr>
        <w:t xml:space="preserve">perceived </w:t>
      </w:r>
      <w:r w:rsidRPr="00152A20">
        <w:rPr>
          <w:lang w:val="en-GB"/>
        </w:rPr>
        <w:t>education</w:t>
      </w:r>
      <w:r w:rsidR="009F65F1" w:rsidRPr="00152A20">
        <w:rPr>
          <w:lang w:val="en-GB"/>
        </w:rPr>
        <w:t xml:space="preserve">al </w:t>
      </w:r>
      <w:r w:rsidRPr="00152A20">
        <w:rPr>
          <w:lang w:val="en-GB"/>
        </w:rPr>
        <w:t>success</w:t>
      </w:r>
      <w:r w:rsidR="00382D3B">
        <w:rPr>
          <w:lang w:val="en-GB"/>
        </w:rPr>
        <w:t xml:space="preserve"> at HEIs</w:t>
      </w:r>
      <w:r w:rsidRPr="00152A20">
        <w:rPr>
          <w:lang w:val="en-GB"/>
        </w:rPr>
        <w:t xml:space="preserve">. The higher </w:t>
      </w:r>
      <w:r w:rsidR="009F65F1" w:rsidRPr="00152A20">
        <w:rPr>
          <w:lang w:val="en-GB"/>
        </w:rPr>
        <w:t xml:space="preserve">the </w:t>
      </w:r>
      <w:r w:rsidRPr="00152A20">
        <w:rPr>
          <w:lang w:val="en-GB"/>
        </w:rPr>
        <w:t xml:space="preserve">average entry exam score </w:t>
      </w:r>
      <w:r w:rsidR="009F65F1" w:rsidRPr="00152A20">
        <w:rPr>
          <w:lang w:val="en-GB"/>
        </w:rPr>
        <w:t>of</w:t>
      </w:r>
      <w:r w:rsidRPr="00152A20">
        <w:rPr>
          <w:lang w:val="en-GB"/>
        </w:rPr>
        <w:t xml:space="preserve"> the HEI, the more successful it i</w:t>
      </w:r>
      <w:r w:rsidR="009F65F1" w:rsidRPr="00152A20">
        <w:rPr>
          <w:lang w:val="en-GB"/>
        </w:rPr>
        <w:t>s i</w:t>
      </w:r>
      <w:r w:rsidRPr="00152A20">
        <w:rPr>
          <w:lang w:val="en-GB"/>
        </w:rPr>
        <w:t xml:space="preserve">n attracting talented students </w:t>
      </w:r>
      <w:r w:rsidR="009F65F1" w:rsidRPr="00152A20">
        <w:rPr>
          <w:lang w:val="en-GB"/>
        </w:rPr>
        <w:t>and (</w:t>
      </w:r>
      <w:r w:rsidR="00382D3B">
        <w:rPr>
          <w:lang w:val="en-GB"/>
        </w:rPr>
        <w:t>presumably</w:t>
      </w:r>
      <w:r w:rsidR="009F65F1" w:rsidRPr="00152A20">
        <w:rPr>
          <w:lang w:val="en-GB"/>
        </w:rPr>
        <w:t xml:space="preserve">) </w:t>
      </w:r>
      <w:r w:rsidRPr="00152A20">
        <w:rPr>
          <w:lang w:val="en-GB"/>
        </w:rPr>
        <w:t xml:space="preserve">the higher </w:t>
      </w:r>
      <w:r w:rsidR="009F65F1" w:rsidRPr="00152A20">
        <w:rPr>
          <w:lang w:val="en-GB"/>
        </w:rPr>
        <w:t xml:space="preserve">the </w:t>
      </w:r>
      <w:r w:rsidRPr="00152A20">
        <w:rPr>
          <w:lang w:val="en-GB"/>
        </w:rPr>
        <w:t xml:space="preserve">quality of </w:t>
      </w:r>
      <w:r w:rsidR="009F65F1" w:rsidRPr="00152A20">
        <w:rPr>
          <w:lang w:val="en-GB"/>
        </w:rPr>
        <w:t>teaching</w:t>
      </w:r>
      <w:r w:rsidR="00382D3B">
        <w:rPr>
          <w:lang w:val="en-GB"/>
        </w:rPr>
        <w:t xml:space="preserve">; </w:t>
      </w:r>
      <w:r w:rsidRPr="00152A20">
        <w:rPr>
          <w:lang w:val="en-GB"/>
        </w:rPr>
        <w:t xml:space="preserve">this is the guiding logic of the </w:t>
      </w:r>
      <w:proofErr w:type="spellStart"/>
      <w:r w:rsidRPr="00152A20">
        <w:rPr>
          <w:lang w:val="en-GB"/>
        </w:rPr>
        <w:t>MoES</w:t>
      </w:r>
      <w:proofErr w:type="spellEnd"/>
      <w:r w:rsidRPr="00152A20">
        <w:rPr>
          <w:lang w:val="en-GB"/>
        </w:rPr>
        <w:t xml:space="preserve">. Selectivity has always </w:t>
      </w:r>
      <w:r w:rsidR="009F65F1" w:rsidRPr="00152A20">
        <w:rPr>
          <w:lang w:val="en-GB"/>
        </w:rPr>
        <w:t xml:space="preserve">been </w:t>
      </w:r>
      <w:r w:rsidRPr="00152A20">
        <w:rPr>
          <w:lang w:val="en-GB"/>
        </w:rPr>
        <w:t xml:space="preserve">in place, during Soviet times as well, but transparency brought a clear framework for </w:t>
      </w:r>
      <w:r w:rsidR="00382D3B">
        <w:rPr>
          <w:lang w:val="en-GB"/>
        </w:rPr>
        <w:t xml:space="preserve">HEI </w:t>
      </w:r>
      <w:r w:rsidRPr="00152A20">
        <w:rPr>
          <w:lang w:val="en-GB"/>
        </w:rPr>
        <w:t>hierarchy</w:t>
      </w:r>
      <w:r w:rsidR="00B92150" w:rsidRPr="00152A20">
        <w:rPr>
          <w:lang w:val="en-GB"/>
        </w:rPr>
        <w:t xml:space="preserve"> based </w:t>
      </w:r>
      <w:r w:rsidRPr="00152A20">
        <w:rPr>
          <w:lang w:val="en-GB"/>
        </w:rPr>
        <w:t>on prestige and demand.</w:t>
      </w:r>
    </w:p>
    <w:p w14:paraId="1C6E6F9B" w14:textId="77777777" w:rsidR="00037D5F" w:rsidRPr="00152A20" w:rsidRDefault="008E5AA1">
      <w:pPr>
        <w:rPr>
          <w:lang w:val="en-GB"/>
        </w:rPr>
      </w:pPr>
      <w:r w:rsidRPr="00152A20">
        <w:rPr>
          <w:lang w:val="en-GB"/>
        </w:rPr>
        <w:t>The distribution of HEIs by average exam score</w:t>
      </w:r>
      <w:r w:rsidR="00B92150" w:rsidRPr="00152A20">
        <w:rPr>
          <w:lang w:val="en-GB"/>
        </w:rPr>
        <w:t>s</w:t>
      </w:r>
      <w:r w:rsidRPr="00152A20">
        <w:rPr>
          <w:lang w:val="en-GB"/>
        </w:rPr>
        <w:t xml:space="preserve"> is far from normal:</w:t>
      </w:r>
    </w:p>
    <w:p w14:paraId="53BC5DDB" w14:textId="504CD5BE" w:rsidR="00037D5F" w:rsidRPr="00152A20" w:rsidRDefault="00382D3B">
      <w:pPr>
        <w:numPr>
          <w:ilvl w:val="0"/>
          <w:numId w:val="2"/>
        </w:numPr>
        <w:ind w:hanging="360"/>
        <w:contextualSpacing/>
        <w:rPr>
          <w:lang w:val="en-GB"/>
        </w:rPr>
      </w:pPr>
      <w:r>
        <w:rPr>
          <w:lang w:val="en-GB"/>
        </w:rPr>
        <w:t xml:space="preserve">Only a </w:t>
      </w:r>
      <w:r w:rsidR="008E5AA1" w:rsidRPr="00152A20">
        <w:rPr>
          <w:lang w:val="en-GB"/>
        </w:rPr>
        <w:t>few HEIs accept students with very high exam score</w:t>
      </w:r>
      <w:r w:rsidR="00B92150" w:rsidRPr="00152A20">
        <w:rPr>
          <w:lang w:val="en-GB"/>
        </w:rPr>
        <w:t>s</w:t>
      </w:r>
      <w:r w:rsidR="008E5AA1" w:rsidRPr="00152A20">
        <w:rPr>
          <w:lang w:val="en-GB"/>
        </w:rPr>
        <w:t xml:space="preserve"> (most of the</w:t>
      </w:r>
      <w:r w:rsidR="00B92150" w:rsidRPr="00152A20">
        <w:rPr>
          <w:lang w:val="en-GB"/>
        </w:rPr>
        <w:t>se</w:t>
      </w:r>
      <w:r w:rsidR="008E5AA1" w:rsidRPr="00152A20">
        <w:rPr>
          <w:lang w:val="en-GB"/>
        </w:rPr>
        <w:t xml:space="preserve"> HEIs are medical);</w:t>
      </w:r>
    </w:p>
    <w:p w14:paraId="7C697E82" w14:textId="2EB0B523" w:rsidR="00037D5F" w:rsidRPr="00152A20" w:rsidRDefault="00382D3B">
      <w:pPr>
        <w:numPr>
          <w:ilvl w:val="0"/>
          <w:numId w:val="2"/>
        </w:numPr>
        <w:ind w:hanging="360"/>
        <w:contextualSpacing/>
        <w:rPr>
          <w:lang w:val="en-GB"/>
        </w:rPr>
      </w:pPr>
      <w:r>
        <w:rPr>
          <w:lang w:val="en-GB"/>
        </w:rPr>
        <w:t>O</w:t>
      </w:r>
      <w:r w:rsidR="008E5AA1" w:rsidRPr="00152A20">
        <w:rPr>
          <w:lang w:val="en-GB"/>
        </w:rPr>
        <w:t>nly 10% of HEIs ha</w:t>
      </w:r>
      <w:r w:rsidR="00B92150" w:rsidRPr="00152A20">
        <w:rPr>
          <w:lang w:val="en-GB"/>
        </w:rPr>
        <w:t>ve</w:t>
      </w:r>
      <w:r w:rsidR="008E5AA1" w:rsidRPr="00152A20">
        <w:rPr>
          <w:lang w:val="en-GB"/>
        </w:rPr>
        <w:t xml:space="preserve"> </w:t>
      </w:r>
      <w:r w:rsidR="00B92150" w:rsidRPr="00152A20">
        <w:rPr>
          <w:lang w:val="en-GB"/>
        </w:rPr>
        <w:t>a</w:t>
      </w:r>
      <w:r w:rsidR="00001626" w:rsidRPr="00152A20">
        <w:rPr>
          <w:lang w:val="en-GB"/>
        </w:rPr>
        <w:t>n</w:t>
      </w:r>
      <w:r w:rsidR="008E5AA1" w:rsidRPr="00152A20">
        <w:rPr>
          <w:lang w:val="en-GB"/>
        </w:rPr>
        <w:t xml:space="preserve"> </w:t>
      </w:r>
      <w:r w:rsidR="00001626" w:rsidRPr="00152A20">
        <w:rPr>
          <w:lang w:val="en-GB"/>
        </w:rPr>
        <w:t xml:space="preserve">average entrance </w:t>
      </w:r>
      <w:r w:rsidR="008E5AA1" w:rsidRPr="00152A20">
        <w:rPr>
          <w:lang w:val="en-GB"/>
        </w:rPr>
        <w:t xml:space="preserve">score </w:t>
      </w:r>
      <w:r>
        <w:rPr>
          <w:lang w:val="en-GB"/>
        </w:rPr>
        <w:t xml:space="preserve">of </w:t>
      </w:r>
      <w:r w:rsidR="008E5AA1" w:rsidRPr="00152A20">
        <w:rPr>
          <w:lang w:val="en-GB"/>
        </w:rPr>
        <w:t>more than 67.5 (out of 100);</w:t>
      </w:r>
    </w:p>
    <w:p w14:paraId="76274D44" w14:textId="4C21D4C2" w:rsidR="00037D5F" w:rsidRPr="00152A20" w:rsidRDefault="00382D3B">
      <w:pPr>
        <w:numPr>
          <w:ilvl w:val="0"/>
          <w:numId w:val="2"/>
        </w:numPr>
        <w:ind w:hanging="360"/>
        <w:contextualSpacing/>
        <w:rPr>
          <w:lang w:val="en-GB"/>
        </w:rPr>
      </w:pPr>
      <w:r>
        <w:rPr>
          <w:lang w:val="en-GB"/>
        </w:rPr>
        <w:t xml:space="preserve">And </w:t>
      </w:r>
      <w:r w:rsidR="00B92150" w:rsidRPr="00152A20">
        <w:rPr>
          <w:lang w:val="en-GB"/>
        </w:rPr>
        <w:t xml:space="preserve">40% of HEIs have </w:t>
      </w:r>
      <w:r w:rsidR="008E5AA1" w:rsidRPr="00152A20">
        <w:rPr>
          <w:lang w:val="en-GB"/>
        </w:rPr>
        <w:t>very low average exam score</w:t>
      </w:r>
      <w:r w:rsidR="00B92150" w:rsidRPr="00152A20">
        <w:rPr>
          <w:lang w:val="en-GB"/>
        </w:rPr>
        <w:t>s</w:t>
      </w:r>
      <w:r w:rsidR="008E5AA1" w:rsidRPr="00152A20">
        <w:rPr>
          <w:lang w:val="en-GB"/>
        </w:rPr>
        <w:t xml:space="preserve"> (under 55), with </w:t>
      </w:r>
      <w:r w:rsidR="00B92150" w:rsidRPr="00152A20">
        <w:rPr>
          <w:lang w:val="en-GB"/>
        </w:rPr>
        <w:t xml:space="preserve">a dominance of </w:t>
      </w:r>
      <w:r w:rsidR="008E5AA1" w:rsidRPr="00152A20">
        <w:rPr>
          <w:lang w:val="en-GB"/>
        </w:rPr>
        <w:t>private HEIs</w:t>
      </w:r>
      <w:r>
        <w:rPr>
          <w:lang w:val="en-GB"/>
        </w:rPr>
        <w:t>.</w:t>
      </w:r>
    </w:p>
    <w:p w14:paraId="5CCC1646" w14:textId="77777777" w:rsidR="00EE7E9C" w:rsidRPr="00152A20" w:rsidRDefault="00EE7E9C">
      <w:pPr>
        <w:spacing w:before="200" w:line="276" w:lineRule="auto"/>
        <w:rPr>
          <w:lang w:val="en-GB"/>
        </w:rPr>
      </w:pPr>
    </w:p>
    <w:p w14:paraId="5D1C3C8C" w14:textId="77777777" w:rsidR="00037D5F" w:rsidRPr="00152A20" w:rsidRDefault="008E5AA1">
      <w:pPr>
        <w:spacing w:before="200" w:line="276" w:lineRule="auto"/>
        <w:rPr>
          <w:lang w:val="en-GB"/>
        </w:rPr>
      </w:pPr>
      <w:r w:rsidRPr="00152A20">
        <w:rPr>
          <w:smallCaps/>
          <w:sz w:val="28"/>
          <w:szCs w:val="28"/>
          <w:lang w:val="en-GB"/>
        </w:rPr>
        <w:t>Normative Types of HEIs in Russia</w:t>
      </w:r>
      <w:r w:rsidRPr="00152A20">
        <w:rPr>
          <w:rFonts w:ascii="Times New Roman" w:eastAsia="Times New Roman" w:hAnsi="Times New Roman" w:cs="Times New Roman"/>
          <w:lang w:val="en-GB"/>
        </w:rPr>
        <w:tab/>
      </w:r>
      <w:r w:rsidRPr="00152A20">
        <w:rPr>
          <w:rFonts w:ascii="Times New Roman" w:eastAsia="Times New Roman" w:hAnsi="Times New Roman" w:cs="Times New Roman"/>
          <w:lang w:val="en-GB"/>
        </w:rPr>
        <w:tab/>
      </w:r>
      <w:r w:rsidRPr="00152A20">
        <w:rPr>
          <w:rFonts w:ascii="Times New Roman" w:eastAsia="Times New Roman" w:hAnsi="Times New Roman" w:cs="Times New Roman"/>
          <w:lang w:val="en-GB"/>
        </w:rPr>
        <w:tab/>
      </w:r>
      <w:r w:rsidRPr="00152A20">
        <w:rPr>
          <w:rFonts w:ascii="Times New Roman" w:eastAsia="Times New Roman" w:hAnsi="Times New Roman" w:cs="Times New Roman"/>
          <w:lang w:val="en-GB"/>
        </w:rPr>
        <w:tab/>
      </w:r>
      <w:r w:rsidRPr="00152A20">
        <w:rPr>
          <w:rFonts w:ascii="Times New Roman" w:eastAsia="Times New Roman" w:hAnsi="Times New Roman" w:cs="Times New Roman"/>
          <w:lang w:val="en-GB"/>
        </w:rPr>
        <w:tab/>
      </w:r>
    </w:p>
    <w:p w14:paraId="1F4BA1E6" w14:textId="69C35E65" w:rsidR="00037D5F" w:rsidRPr="00152A20" w:rsidRDefault="008E5AA1">
      <w:pPr>
        <w:rPr>
          <w:lang w:val="en-GB"/>
        </w:rPr>
      </w:pPr>
      <w:r w:rsidRPr="00152A20">
        <w:rPr>
          <w:lang w:val="en-GB"/>
        </w:rPr>
        <w:t xml:space="preserve">The Federal Law (1996) defined the structure of </w:t>
      </w:r>
      <w:r w:rsidR="00382D3B">
        <w:rPr>
          <w:lang w:val="en-GB"/>
        </w:rPr>
        <w:t xml:space="preserve">the </w:t>
      </w:r>
      <w:r w:rsidRPr="00152A20">
        <w:rPr>
          <w:lang w:val="en-GB"/>
        </w:rPr>
        <w:t>higher education system, considering the types of HEIs</w:t>
      </w:r>
      <w:r w:rsidR="00382D3B">
        <w:rPr>
          <w:lang w:val="en-GB"/>
        </w:rPr>
        <w:t>:</w:t>
      </w:r>
      <w:r w:rsidRPr="00152A20">
        <w:rPr>
          <w:lang w:val="en-GB"/>
        </w:rPr>
        <w:t xml:space="preserve"> universities, academies and institutes (see</w:t>
      </w:r>
      <w:r w:rsidRPr="00152A20">
        <w:rPr>
          <w:shd w:val="clear" w:color="auto" w:fill="FFF5BF"/>
          <w:lang w:val="en-GB"/>
        </w:rPr>
        <w:t xml:space="preserve"> </w:t>
      </w:r>
      <w:r w:rsidR="00382D3B">
        <w:rPr>
          <w:shd w:val="clear" w:color="auto" w:fill="FFF5BF"/>
          <w:lang w:val="en-GB"/>
        </w:rPr>
        <w:t>F</w:t>
      </w:r>
      <w:r w:rsidRPr="00152A20">
        <w:rPr>
          <w:shd w:val="clear" w:color="auto" w:fill="FFF5BF"/>
          <w:lang w:val="en-GB"/>
        </w:rPr>
        <w:t>igure 6</w:t>
      </w:r>
      <w:r w:rsidRPr="00152A20">
        <w:rPr>
          <w:lang w:val="en-GB"/>
        </w:rPr>
        <w:t>). According to th</w:t>
      </w:r>
      <w:r w:rsidR="00382D3B">
        <w:rPr>
          <w:lang w:val="en-GB"/>
        </w:rPr>
        <w:t>is</w:t>
      </w:r>
      <w:r w:rsidRPr="00152A20">
        <w:rPr>
          <w:lang w:val="en-GB"/>
        </w:rPr>
        <w:t xml:space="preserve"> law, the distinguishing characteristics of th</w:t>
      </w:r>
      <w:r w:rsidR="00BC2653" w:rsidRPr="00152A20">
        <w:rPr>
          <w:lang w:val="en-GB"/>
        </w:rPr>
        <w:t>e</w:t>
      </w:r>
      <w:r w:rsidRPr="00152A20">
        <w:rPr>
          <w:lang w:val="en-GB"/>
        </w:rPr>
        <w:t>s</w:t>
      </w:r>
      <w:r w:rsidR="00BC2653" w:rsidRPr="00152A20">
        <w:rPr>
          <w:lang w:val="en-GB"/>
        </w:rPr>
        <w:t>e</w:t>
      </w:r>
      <w:r w:rsidRPr="00152A20">
        <w:rPr>
          <w:lang w:val="en-GB"/>
        </w:rPr>
        <w:t xml:space="preserve"> formal types were:</w:t>
      </w:r>
    </w:p>
    <w:p w14:paraId="338EC2A2" w14:textId="0A35943E" w:rsidR="00037D5F" w:rsidRPr="00152A20" w:rsidRDefault="008E5AA1">
      <w:pPr>
        <w:numPr>
          <w:ilvl w:val="0"/>
          <w:numId w:val="1"/>
        </w:numPr>
        <w:ind w:hanging="360"/>
        <w:contextualSpacing/>
        <w:rPr>
          <w:lang w:val="en-GB"/>
        </w:rPr>
      </w:pPr>
      <w:r w:rsidRPr="00152A20">
        <w:rPr>
          <w:lang w:val="en-GB"/>
        </w:rPr>
        <w:t xml:space="preserve">University </w:t>
      </w:r>
      <w:r w:rsidR="00B92150" w:rsidRPr="00152A20">
        <w:rPr>
          <w:lang w:val="en-GB"/>
        </w:rPr>
        <w:t>–</w:t>
      </w:r>
      <w:r w:rsidRPr="00152A20">
        <w:rPr>
          <w:lang w:val="en-GB"/>
        </w:rPr>
        <w:t xml:space="preserve"> wide range of education fields;</w:t>
      </w:r>
    </w:p>
    <w:p w14:paraId="06CD7EAC" w14:textId="0769EB75" w:rsidR="00037D5F" w:rsidRPr="00152A20" w:rsidRDefault="008E5AA1">
      <w:pPr>
        <w:numPr>
          <w:ilvl w:val="0"/>
          <w:numId w:val="1"/>
        </w:numPr>
        <w:ind w:hanging="360"/>
        <w:contextualSpacing/>
        <w:rPr>
          <w:lang w:val="en-GB"/>
        </w:rPr>
      </w:pPr>
      <w:r w:rsidRPr="00152A20">
        <w:rPr>
          <w:lang w:val="en-GB"/>
        </w:rPr>
        <w:t>Academy - focus</w:t>
      </w:r>
      <w:r w:rsidR="00D67D50">
        <w:rPr>
          <w:lang w:val="en-GB"/>
        </w:rPr>
        <w:t>s</w:t>
      </w:r>
      <w:r w:rsidRPr="00152A20">
        <w:rPr>
          <w:lang w:val="en-GB"/>
        </w:rPr>
        <w:t xml:space="preserve">ed </w:t>
      </w:r>
      <w:r w:rsidR="00382D3B">
        <w:rPr>
          <w:lang w:val="en-GB"/>
        </w:rPr>
        <w:t xml:space="preserve">on </w:t>
      </w:r>
      <w:r w:rsidRPr="00152A20">
        <w:rPr>
          <w:lang w:val="en-GB"/>
        </w:rPr>
        <w:t xml:space="preserve">graduate education </w:t>
      </w:r>
      <w:r w:rsidR="00B92150" w:rsidRPr="00152A20">
        <w:rPr>
          <w:lang w:val="en-GB"/>
        </w:rPr>
        <w:t>i</w:t>
      </w:r>
      <w:r w:rsidRPr="00152A20">
        <w:rPr>
          <w:lang w:val="en-GB"/>
        </w:rPr>
        <w:t xml:space="preserve">n one or more fields (often medical HEIs) </w:t>
      </w:r>
    </w:p>
    <w:p w14:paraId="14813A58" w14:textId="1E78C096" w:rsidR="00037D5F" w:rsidRPr="00152A20" w:rsidRDefault="008E5AA1">
      <w:pPr>
        <w:numPr>
          <w:ilvl w:val="0"/>
          <w:numId w:val="1"/>
        </w:numPr>
        <w:ind w:hanging="360"/>
        <w:contextualSpacing/>
        <w:rPr>
          <w:lang w:val="en-GB"/>
        </w:rPr>
      </w:pPr>
      <w:r w:rsidRPr="00152A20">
        <w:rPr>
          <w:lang w:val="en-GB"/>
        </w:rPr>
        <w:t xml:space="preserve">Institute </w:t>
      </w:r>
      <w:r w:rsidR="00382D3B">
        <w:rPr>
          <w:lang w:val="en-GB"/>
        </w:rPr>
        <w:t>–</w:t>
      </w:r>
      <w:r w:rsidRPr="00152A20">
        <w:rPr>
          <w:lang w:val="en-GB"/>
        </w:rPr>
        <w:t xml:space="preserve"> HEI</w:t>
      </w:r>
      <w:r w:rsidR="00382D3B">
        <w:rPr>
          <w:lang w:val="en-GB"/>
        </w:rPr>
        <w:t xml:space="preserve">s </w:t>
      </w:r>
      <w:r w:rsidRPr="00152A20">
        <w:rPr>
          <w:lang w:val="en-GB"/>
        </w:rPr>
        <w:t xml:space="preserve">mostly with </w:t>
      </w:r>
      <w:r w:rsidR="00382D3B">
        <w:rPr>
          <w:lang w:val="en-GB"/>
        </w:rPr>
        <w:t xml:space="preserve">a </w:t>
      </w:r>
      <w:r w:rsidRPr="00152A20">
        <w:rPr>
          <w:lang w:val="en-GB"/>
        </w:rPr>
        <w:t>particular speciali</w:t>
      </w:r>
      <w:r w:rsidR="00382D3B">
        <w:rPr>
          <w:lang w:val="en-GB"/>
        </w:rPr>
        <w:t>s</w:t>
      </w:r>
      <w:r w:rsidRPr="00152A20">
        <w:rPr>
          <w:lang w:val="en-GB"/>
        </w:rPr>
        <w:t>ation (inherited from Soviet times)</w:t>
      </w:r>
    </w:p>
    <w:p w14:paraId="3CA7FBBD" w14:textId="1F289CB1" w:rsidR="00037D5F" w:rsidRDefault="008E5AA1">
      <w:pPr>
        <w:rPr>
          <w:lang w:val="en-GB"/>
        </w:rPr>
      </w:pPr>
      <w:r w:rsidRPr="00152A20">
        <w:rPr>
          <w:lang w:val="en-GB"/>
        </w:rPr>
        <w:t xml:space="preserve">Due to the loss of federal funding in </w:t>
      </w:r>
      <w:r w:rsidR="00B92150" w:rsidRPr="00152A20">
        <w:rPr>
          <w:lang w:val="en-GB"/>
        </w:rPr>
        <w:t>the 19</w:t>
      </w:r>
      <w:r w:rsidRPr="00152A20">
        <w:rPr>
          <w:lang w:val="en-GB"/>
        </w:rPr>
        <w:t>90s, many institutes upgraded themselves to university status, expect</w:t>
      </w:r>
      <w:r w:rsidR="00742180">
        <w:rPr>
          <w:lang w:val="en-GB"/>
        </w:rPr>
        <w:t xml:space="preserve"> those with </w:t>
      </w:r>
      <w:r w:rsidRPr="00152A20">
        <w:rPr>
          <w:lang w:val="en-GB"/>
        </w:rPr>
        <w:t>more stable public financing and attractiveness for tuition-paying students (</w:t>
      </w:r>
      <w:r w:rsidRPr="00152A20">
        <w:rPr>
          <w:shd w:val="clear" w:color="auto" w:fill="FFF5BF"/>
          <w:lang w:val="en-GB"/>
        </w:rPr>
        <w:t>Bain 2003)</w:t>
      </w:r>
      <w:r w:rsidRPr="00152A20">
        <w:rPr>
          <w:lang w:val="en-GB"/>
        </w:rPr>
        <w:t xml:space="preserve">. </w:t>
      </w:r>
      <w:r w:rsidR="00382D3B">
        <w:rPr>
          <w:lang w:val="en-GB"/>
        </w:rPr>
        <w:t>As t</w:t>
      </w:r>
      <w:r w:rsidRPr="00152A20">
        <w:rPr>
          <w:lang w:val="en-GB"/>
        </w:rPr>
        <w:t>he upgrades had to be permitted by the state, the acquisition of university status was associated with diversification of fields.</w:t>
      </w:r>
    </w:p>
    <w:p w14:paraId="10765A13" w14:textId="276A469F" w:rsidR="00382D3B" w:rsidRDefault="00382D3B">
      <w:pPr>
        <w:rPr>
          <w:lang w:val="en-GB"/>
        </w:rPr>
      </w:pPr>
    </w:p>
    <w:p w14:paraId="332412AF" w14:textId="09EDA403" w:rsidR="00382D3B" w:rsidRDefault="00382D3B">
      <w:pPr>
        <w:rPr>
          <w:lang w:val="en-GB"/>
        </w:rPr>
      </w:pPr>
    </w:p>
    <w:p w14:paraId="7CB9B1CC" w14:textId="7AE6CD7A" w:rsidR="00382D3B" w:rsidRDefault="00382D3B">
      <w:pPr>
        <w:rPr>
          <w:lang w:val="en-GB"/>
        </w:rPr>
      </w:pPr>
    </w:p>
    <w:p w14:paraId="0365B098" w14:textId="6F3460A7" w:rsidR="00382D3B" w:rsidRDefault="00382D3B">
      <w:pPr>
        <w:rPr>
          <w:lang w:val="en-GB"/>
        </w:rPr>
      </w:pPr>
    </w:p>
    <w:p w14:paraId="476CD1AA" w14:textId="77777777" w:rsidR="00382D3B" w:rsidRPr="00152A20" w:rsidRDefault="00382D3B">
      <w:pPr>
        <w:rPr>
          <w:lang w:val="en-GB"/>
        </w:rPr>
      </w:pPr>
    </w:p>
    <w:p w14:paraId="13715D3A" w14:textId="77777777" w:rsidR="00037D5F" w:rsidRPr="00152A20" w:rsidRDefault="008E5AA1">
      <w:pPr>
        <w:rPr>
          <w:lang w:val="en-GB"/>
        </w:rPr>
      </w:pPr>
      <w:r w:rsidRPr="00152A20">
        <w:rPr>
          <w:i/>
          <w:shd w:val="clear" w:color="auto" w:fill="FFF5BF"/>
          <w:lang w:val="en-GB"/>
        </w:rPr>
        <w:t>Figure 6</w:t>
      </w:r>
      <w:r w:rsidRPr="00152A20">
        <w:rPr>
          <w:i/>
          <w:lang w:val="en-GB"/>
        </w:rPr>
        <w:t>. Russian HEIs by nominal types, 1998-2012</w:t>
      </w:r>
    </w:p>
    <w:p w14:paraId="7F122C32" w14:textId="77777777" w:rsidR="00037D5F" w:rsidRPr="00152A20" w:rsidRDefault="008E5AA1">
      <w:pPr>
        <w:jc w:val="center"/>
        <w:rPr>
          <w:lang w:val="en-GB"/>
        </w:rPr>
      </w:pPr>
      <w:r w:rsidRPr="00152A20">
        <w:rPr>
          <w:noProof/>
        </w:rPr>
        <w:drawing>
          <wp:inline distT="114300" distB="114300" distL="114300" distR="114300" wp14:anchorId="36454EAB" wp14:editId="1BE7C09A">
            <wp:extent cx="4556443" cy="305752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l="10461" t="16510" r="15540"/>
                    <a:stretch>
                      <a:fillRect/>
                    </a:stretch>
                  </pic:blipFill>
                  <pic:spPr>
                    <a:xfrm>
                      <a:off x="0" y="0"/>
                      <a:ext cx="4556443" cy="3057525"/>
                    </a:xfrm>
                    <a:prstGeom prst="rect">
                      <a:avLst/>
                    </a:prstGeom>
                    <a:ln/>
                  </pic:spPr>
                </pic:pic>
              </a:graphicData>
            </a:graphic>
          </wp:inline>
        </w:drawing>
      </w:r>
    </w:p>
    <w:p w14:paraId="773667DB" w14:textId="22CBFF80" w:rsidR="00037D5F" w:rsidRPr="00152A20" w:rsidRDefault="008E5AA1">
      <w:pPr>
        <w:spacing w:line="240" w:lineRule="auto"/>
        <w:jc w:val="left"/>
        <w:rPr>
          <w:lang w:val="en-GB"/>
        </w:rPr>
      </w:pPr>
      <w:r w:rsidRPr="00152A20">
        <w:rPr>
          <w:i/>
          <w:sz w:val="20"/>
          <w:szCs w:val="20"/>
          <w:lang w:val="en-GB"/>
        </w:rPr>
        <w:t>Source: Education in the R</w:t>
      </w:r>
      <w:r w:rsidR="0020780D" w:rsidRPr="00152A20">
        <w:rPr>
          <w:i/>
          <w:sz w:val="20"/>
          <w:szCs w:val="20"/>
          <w:lang w:val="en-GB"/>
        </w:rPr>
        <w:t xml:space="preserve">ussian </w:t>
      </w:r>
      <w:r w:rsidRPr="00152A20">
        <w:rPr>
          <w:i/>
          <w:sz w:val="20"/>
          <w:szCs w:val="20"/>
          <w:lang w:val="en-GB"/>
        </w:rPr>
        <w:t>F</w:t>
      </w:r>
      <w:r w:rsidR="0020780D" w:rsidRPr="00152A20">
        <w:rPr>
          <w:i/>
          <w:sz w:val="20"/>
          <w:szCs w:val="20"/>
          <w:lang w:val="en-GB"/>
        </w:rPr>
        <w:t>ederation</w:t>
      </w:r>
      <w:r w:rsidRPr="00152A20">
        <w:rPr>
          <w:i/>
          <w:sz w:val="20"/>
          <w:szCs w:val="20"/>
          <w:lang w:val="en-GB"/>
        </w:rPr>
        <w:t xml:space="preserve"> 2006; </w:t>
      </w:r>
      <w:r w:rsidR="0020780D" w:rsidRPr="00152A20">
        <w:rPr>
          <w:i/>
          <w:sz w:val="20"/>
          <w:lang w:val="en-GB"/>
        </w:rPr>
        <w:t>Fe</w:t>
      </w:r>
      <w:r w:rsidR="007F4FF6">
        <w:rPr>
          <w:i/>
          <w:sz w:val="20"/>
          <w:lang w:val="en-GB"/>
        </w:rPr>
        <w:t>d</w:t>
      </w:r>
      <w:r w:rsidR="0020780D" w:rsidRPr="00152A20">
        <w:rPr>
          <w:i/>
          <w:sz w:val="20"/>
          <w:lang w:val="en-GB"/>
        </w:rPr>
        <w:t>eral State Statistics Service</w:t>
      </w:r>
      <w:r w:rsidR="00877E10">
        <w:rPr>
          <w:i/>
          <w:sz w:val="20"/>
          <w:lang w:val="en-GB"/>
        </w:rPr>
        <w:t>,</w:t>
      </w:r>
      <w:r w:rsidR="0020780D" w:rsidRPr="00152A20">
        <w:rPr>
          <w:i/>
          <w:sz w:val="20"/>
          <w:lang w:val="en-GB"/>
        </w:rPr>
        <w:t xml:space="preserve"> 2015</w:t>
      </w:r>
      <w:r w:rsidR="00877E10">
        <w:rPr>
          <w:i/>
          <w:sz w:val="20"/>
          <w:lang w:val="en-GB"/>
        </w:rPr>
        <w:t>.</w:t>
      </w:r>
      <w:hyperlink r:id="rId18"/>
    </w:p>
    <w:p w14:paraId="7D3B39C3" w14:textId="60813225" w:rsidR="00037D5F" w:rsidRPr="00152A20" w:rsidRDefault="008E5AA1">
      <w:pPr>
        <w:rPr>
          <w:lang w:val="en-GB"/>
        </w:rPr>
      </w:pPr>
      <w:r w:rsidRPr="00152A20">
        <w:rPr>
          <w:lang w:val="en-GB"/>
        </w:rPr>
        <w:t>Soviet diversity with reference to speciali</w:t>
      </w:r>
      <w:r w:rsidR="007F4FF6">
        <w:rPr>
          <w:lang w:val="en-GB"/>
        </w:rPr>
        <w:t>s</w:t>
      </w:r>
      <w:r w:rsidRPr="00152A20">
        <w:rPr>
          <w:lang w:val="en-GB"/>
        </w:rPr>
        <w:t>ation is also rooted in the description of</w:t>
      </w:r>
      <w:r w:rsidR="007F4FF6">
        <w:rPr>
          <w:lang w:val="en-GB"/>
        </w:rPr>
        <w:t xml:space="preserve"> the</w:t>
      </w:r>
      <w:r w:rsidRPr="00152A20">
        <w:rPr>
          <w:lang w:val="en-GB"/>
        </w:rPr>
        <w:t xml:space="preserve"> HE landscape in post-Soviet Russia. Until 2004 the Federal Statistical Agency collected data on </w:t>
      </w:r>
      <w:r w:rsidR="00B92150" w:rsidRPr="00152A20">
        <w:rPr>
          <w:lang w:val="en-GB"/>
        </w:rPr>
        <w:t xml:space="preserve">the </w:t>
      </w:r>
      <w:r w:rsidRPr="00152A20">
        <w:rPr>
          <w:lang w:val="en-GB"/>
        </w:rPr>
        <w:t xml:space="preserve">number of students within such groups as engineering HEIs, agricultural HEIs, transport HEIs, pedagogical HEIs, arts HEIs and medical HEIs. </w:t>
      </w:r>
      <w:r w:rsidR="00B92150" w:rsidRPr="00152A20">
        <w:rPr>
          <w:lang w:val="en-GB"/>
        </w:rPr>
        <w:t xml:space="preserve">The </w:t>
      </w:r>
      <w:r w:rsidRPr="00152A20">
        <w:rPr>
          <w:lang w:val="en-GB"/>
        </w:rPr>
        <w:t xml:space="preserve">classification reflects </w:t>
      </w:r>
      <w:r w:rsidR="00B92150" w:rsidRPr="00152A20">
        <w:rPr>
          <w:lang w:val="en-GB"/>
        </w:rPr>
        <w:t>merely</w:t>
      </w:r>
      <w:r w:rsidRPr="00152A20">
        <w:rPr>
          <w:lang w:val="en-GB"/>
        </w:rPr>
        <w:t xml:space="preserve"> path-dependence, but does not reflect the actual subject mix. </w:t>
      </w:r>
    </w:p>
    <w:p w14:paraId="6423DBC2" w14:textId="28B8257B" w:rsidR="00037D5F" w:rsidRPr="00152A20" w:rsidRDefault="00B92150">
      <w:pPr>
        <w:rPr>
          <w:lang w:val="en-GB"/>
        </w:rPr>
      </w:pPr>
      <w:r w:rsidRPr="00152A20">
        <w:rPr>
          <w:lang w:val="en-GB"/>
        </w:rPr>
        <w:t xml:space="preserve">As </w:t>
      </w:r>
      <w:r w:rsidR="007F4FF6">
        <w:rPr>
          <w:lang w:val="en-GB"/>
        </w:rPr>
        <w:t>mentioned</w:t>
      </w:r>
      <w:r w:rsidRPr="00152A20">
        <w:rPr>
          <w:lang w:val="en-GB"/>
        </w:rPr>
        <w:t>, t</w:t>
      </w:r>
      <w:r w:rsidR="008E5AA1" w:rsidRPr="00152A20">
        <w:rPr>
          <w:lang w:val="en-GB"/>
        </w:rPr>
        <w:t xml:space="preserve">he new Federal Law was adopted in 2012. It suspended </w:t>
      </w:r>
      <w:r w:rsidRPr="00152A20">
        <w:rPr>
          <w:lang w:val="en-GB"/>
        </w:rPr>
        <w:t xml:space="preserve">the </w:t>
      </w:r>
      <w:r w:rsidR="008E5AA1" w:rsidRPr="00152A20">
        <w:rPr>
          <w:lang w:val="en-GB"/>
        </w:rPr>
        <w:t xml:space="preserve">three </w:t>
      </w:r>
      <w:r w:rsidR="007F4FF6">
        <w:rPr>
          <w:lang w:val="en-GB"/>
        </w:rPr>
        <w:t xml:space="preserve">HEI </w:t>
      </w:r>
      <w:r w:rsidR="008E5AA1" w:rsidRPr="00152A20">
        <w:rPr>
          <w:lang w:val="en-GB"/>
        </w:rPr>
        <w:t xml:space="preserve">categories. </w:t>
      </w:r>
      <w:r w:rsidR="007F4FF6">
        <w:rPr>
          <w:lang w:val="en-GB"/>
        </w:rPr>
        <w:t xml:space="preserve">In addition to </w:t>
      </w:r>
      <w:r w:rsidRPr="00152A20">
        <w:rPr>
          <w:lang w:val="en-GB"/>
        </w:rPr>
        <w:t xml:space="preserve">proposing a </w:t>
      </w:r>
      <w:r w:rsidR="008E5AA1" w:rsidRPr="00152A20">
        <w:rPr>
          <w:lang w:val="en-GB"/>
        </w:rPr>
        <w:t>general HEI category (‘organi</w:t>
      </w:r>
      <w:r w:rsidR="007F4FF6">
        <w:rPr>
          <w:lang w:val="en-GB"/>
        </w:rPr>
        <w:t>s</w:t>
      </w:r>
      <w:r w:rsidR="008E5AA1" w:rsidRPr="00152A20">
        <w:rPr>
          <w:lang w:val="en-GB"/>
        </w:rPr>
        <w:t>ation of higher education’)</w:t>
      </w:r>
      <w:r w:rsidRPr="00152A20">
        <w:rPr>
          <w:lang w:val="en-GB"/>
        </w:rPr>
        <w:t>,</w:t>
      </w:r>
      <w:r w:rsidR="008E5AA1" w:rsidRPr="00152A20">
        <w:rPr>
          <w:lang w:val="en-GB"/>
        </w:rPr>
        <w:t xml:space="preserve"> th</w:t>
      </w:r>
      <w:r w:rsidRPr="00152A20">
        <w:rPr>
          <w:lang w:val="en-GB"/>
        </w:rPr>
        <w:t>e</w:t>
      </w:r>
      <w:r w:rsidR="008E5AA1" w:rsidRPr="00152A20">
        <w:rPr>
          <w:lang w:val="en-GB"/>
        </w:rPr>
        <w:t xml:space="preserve"> </w:t>
      </w:r>
      <w:r w:rsidRPr="00152A20">
        <w:rPr>
          <w:lang w:val="en-GB"/>
        </w:rPr>
        <w:t>l</w:t>
      </w:r>
      <w:r w:rsidR="008E5AA1" w:rsidRPr="00152A20">
        <w:rPr>
          <w:lang w:val="en-GB"/>
        </w:rPr>
        <w:t xml:space="preserve">aw </w:t>
      </w:r>
      <w:r w:rsidRPr="00152A20">
        <w:rPr>
          <w:lang w:val="en-GB"/>
        </w:rPr>
        <w:t>labels</w:t>
      </w:r>
      <w:r w:rsidR="008E5AA1" w:rsidRPr="00152A20">
        <w:rPr>
          <w:lang w:val="en-GB"/>
        </w:rPr>
        <w:t xml:space="preserve"> Moscow State University and S</w:t>
      </w:r>
      <w:r w:rsidR="00877E10">
        <w:rPr>
          <w:lang w:val="en-GB"/>
        </w:rPr>
        <w:t xml:space="preserve">aint </w:t>
      </w:r>
      <w:r w:rsidR="008E5AA1" w:rsidRPr="00152A20">
        <w:rPr>
          <w:lang w:val="en-GB"/>
        </w:rPr>
        <w:t>Petersburg State University as leading classic universities with special status</w:t>
      </w:r>
      <w:r w:rsidR="00BF7A97">
        <w:rPr>
          <w:lang w:val="en-GB"/>
        </w:rPr>
        <w:t xml:space="preserve">. Other categories included </w:t>
      </w:r>
      <w:r w:rsidR="008E5AA1" w:rsidRPr="00152A20">
        <w:rPr>
          <w:lang w:val="en-GB"/>
        </w:rPr>
        <w:t xml:space="preserve">federal universities and national research universities (Federal Law 2012).   </w:t>
      </w:r>
    </w:p>
    <w:p w14:paraId="4EB28D4C" w14:textId="77777777" w:rsidR="00037D5F" w:rsidRPr="00152A20" w:rsidRDefault="008E5AA1">
      <w:pPr>
        <w:pStyle w:val="Heading2"/>
        <w:rPr>
          <w:lang w:val="en-GB"/>
        </w:rPr>
      </w:pPr>
      <w:bookmarkStart w:id="14" w:name="_1ksv4uv" w:colFirst="0" w:colLast="0"/>
      <w:bookmarkEnd w:id="14"/>
      <w:r w:rsidRPr="00152A20">
        <w:rPr>
          <w:lang w:val="en-GB"/>
        </w:rPr>
        <w:t>Leading Universities Program</w:t>
      </w:r>
      <w:r w:rsidR="00B92150" w:rsidRPr="00152A20">
        <w:rPr>
          <w:lang w:val="en-GB"/>
        </w:rPr>
        <w:t>me</w:t>
      </w:r>
      <w:r w:rsidRPr="00152A20">
        <w:rPr>
          <w:lang w:val="en-GB"/>
        </w:rPr>
        <w:t>s</w:t>
      </w:r>
    </w:p>
    <w:p w14:paraId="32E3850F" w14:textId="30D8A29C" w:rsidR="00037D5F" w:rsidRPr="00152A20" w:rsidRDefault="008E5AA1">
      <w:pPr>
        <w:rPr>
          <w:lang w:val="en-GB"/>
        </w:rPr>
      </w:pPr>
      <w:r w:rsidRPr="00152A20">
        <w:rPr>
          <w:lang w:val="en-GB"/>
        </w:rPr>
        <w:t>From the mid-2000s</w:t>
      </w:r>
      <w:r w:rsidR="00B92150" w:rsidRPr="00152A20">
        <w:rPr>
          <w:lang w:val="en-GB"/>
        </w:rPr>
        <w:t>,</w:t>
      </w:r>
      <w:r w:rsidRPr="00152A20">
        <w:rPr>
          <w:lang w:val="en-GB"/>
        </w:rPr>
        <w:t xml:space="preserve"> the government made efforts to </w:t>
      </w:r>
      <w:r w:rsidR="00B92150" w:rsidRPr="00152A20">
        <w:rPr>
          <w:lang w:val="en-GB"/>
        </w:rPr>
        <w:t>select</w:t>
      </w:r>
      <w:r w:rsidRPr="00152A20">
        <w:rPr>
          <w:lang w:val="en-GB"/>
        </w:rPr>
        <w:t xml:space="preserve"> </w:t>
      </w:r>
      <w:r w:rsidR="00B92150" w:rsidRPr="00152A20">
        <w:rPr>
          <w:lang w:val="en-GB"/>
        </w:rPr>
        <w:t>a</w:t>
      </w:r>
      <w:r w:rsidRPr="00152A20">
        <w:rPr>
          <w:lang w:val="en-GB"/>
        </w:rPr>
        <w:t xml:space="preserve"> group of leading universities. In 2004</w:t>
      </w:r>
      <w:r w:rsidR="00B92150" w:rsidRPr="00152A20">
        <w:rPr>
          <w:lang w:val="en-GB"/>
        </w:rPr>
        <w:t>,</w:t>
      </w:r>
      <w:r w:rsidRPr="00152A20">
        <w:rPr>
          <w:lang w:val="en-GB"/>
        </w:rPr>
        <w:t xml:space="preserve"> two universities (Moscow State University and Saint Petersburg State University) were assigned a special status, which implied a particular model of autonomy and funding. From 2006, </w:t>
      </w:r>
      <w:r w:rsidR="00E06391" w:rsidRPr="00152A20">
        <w:rPr>
          <w:lang w:val="en-GB"/>
        </w:rPr>
        <w:lastRenderedPageBreak/>
        <w:t xml:space="preserve">the </w:t>
      </w:r>
      <w:r w:rsidR="00BC2653" w:rsidRPr="00152A20">
        <w:rPr>
          <w:lang w:val="en-GB"/>
        </w:rPr>
        <w:t xml:space="preserve">government has frequently launched special programmes to shape </w:t>
      </w:r>
      <w:r w:rsidR="00E06391" w:rsidRPr="00152A20">
        <w:rPr>
          <w:lang w:val="en-GB"/>
        </w:rPr>
        <w:t xml:space="preserve">an </w:t>
      </w:r>
      <w:r w:rsidR="00BC2653" w:rsidRPr="00152A20">
        <w:rPr>
          <w:lang w:val="en-GB"/>
        </w:rPr>
        <w:t xml:space="preserve">elite </w:t>
      </w:r>
      <w:r w:rsidR="007F4FF6" w:rsidRPr="00152A20">
        <w:rPr>
          <w:lang w:val="en-GB"/>
        </w:rPr>
        <w:t xml:space="preserve">higher education </w:t>
      </w:r>
      <w:r w:rsidR="00BC2653" w:rsidRPr="00152A20">
        <w:rPr>
          <w:lang w:val="en-GB"/>
        </w:rPr>
        <w:t>segment</w:t>
      </w:r>
      <w:r w:rsidRPr="00152A20">
        <w:rPr>
          <w:lang w:val="en-GB"/>
        </w:rPr>
        <w:t xml:space="preserve">. </w:t>
      </w:r>
    </w:p>
    <w:p w14:paraId="5D74723B" w14:textId="0CEB8191" w:rsidR="00037D5F" w:rsidRPr="00152A20" w:rsidRDefault="008E5AA1">
      <w:pPr>
        <w:rPr>
          <w:lang w:val="en-GB"/>
        </w:rPr>
      </w:pPr>
      <w:r w:rsidRPr="00152A20">
        <w:rPr>
          <w:lang w:val="en-GB"/>
        </w:rPr>
        <w:t>In 2006 the government start</w:t>
      </w:r>
      <w:r w:rsidR="00B92150" w:rsidRPr="00152A20">
        <w:rPr>
          <w:lang w:val="en-GB"/>
        </w:rPr>
        <w:t>ed</w:t>
      </w:r>
      <w:r w:rsidRPr="00152A20">
        <w:rPr>
          <w:lang w:val="en-GB"/>
        </w:rPr>
        <w:t xml:space="preserve"> establishing ‘federal universities’ by merging several regional institutions (e.g. comprehensive, teacher training</w:t>
      </w:r>
      <w:r w:rsidR="00B92150" w:rsidRPr="00152A20">
        <w:rPr>
          <w:lang w:val="en-GB"/>
        </w:rPr>
        <w:t xml:space="preserve"> and</w:t>
      </w:r>
      <w:r w:rsidRPr="00152A20">
        <w:rPr>
          <w:lang w:val="en-GB"/>
        </w:rPr>
        <w:t xml:space="preserve"> arts</w:t>
      </w:r>
      <w:r w:rsidR="00B92150" w:rsidRPr="00152A20">
        <w:rPr>
          <w:lang w:val="en-GB"/>
        </w:rPr>
        <w:t xml:space="preserve"> HEIs</w:t>
      </w:r>
      <w:r w:rsidRPr="00152A20">
        <w:rPr>
          <w:lang w:val="en-GB"/>
        </w:rPr>
        <w:t xml:space="preserve">). The model implied </w:t>
      </w:r>
      <w:r w:rsidR="00B92150" w:rsidRPr="00152A20">
        <w:rPr>
          <w:lang w:val="en-GB"/>
        </w:rPr>
        <w:t xml:space="preserve">a </w:t>
      </w:r>
      <w:r w:rsidRPr="00152A20">
        <w:rPr>
          <w:lang w:val="en-GB"/>
        </w:rPr>
        <w:t xml:space="preserve">special focus on </w:t>
      </w:r>
      <w:r w:rsidR="00B92150" w:rsidRPr="00152A20">
        <w:rPr>
          <w:lang w:val="en-GB"/>
        </w:rPr>
        <w:t xml:space="preserve">the </w:t>
      </w:r>
      <w:r w:rsidRPr="00152A20">
        <w:rPr>
          <w:lang w:val="en-GB"/>
        </w:rPr>
        <w:t xml:space="preserve">regional economic context and special funding. Currently, there are ten federal HEIs. </w:t>
      </w:r>
    </w:p>
    <w:p w14:paraId="574F1CD8" w14:textId="7E23E7F1" w:rsidR="00037D5F" w:rsidRPr="00152A20" w:rsidRDefault="008E5AA1">
      <w:pPr>
        <w:rPr>
          <w:lang w:val="en-GB"/>
        </w:rPr>
      </w:pPr>
      <w:r w:rsidRPr="00152A20">
        <w:rPr>
          <w:lang w:val="en-GB"/>
        </w:rPr>
        <w:t>In 2006-2007</w:t>
      </w:r>
      <w:r w:rsidR="00B92150" w:rsidRPr="00152A20">
        <w:rPr>
          <w:lang w:val="en-GB"/>
        </w:rPr>
        <w:t>,</w:t>
      </w:r>
      <w:r w:rsidRPr="00152A20">
        <w:rPr>
          <w:lang w:val="en-GB"/>
        </w:rPr>
        <w:t xml:space="preserve"> 62 institutions </w:t>
      </w:r>
      <w:r w:rsidR="00C578CB">
        <w:rPr>
          <w:lang w:val="en-GB"/>
        </w:rPr>
        <w:t>received</w:t>
      </w:r>
      <w:r w:rsidRPr="00152A20">
        <w:rPr>
          <w:lang w:val="en-GB"/>
        </w:rPr>
        <w:t xml:space="preserve"> special funding for </w:t>
      </w:r>
      <w:r w:rsidR="00C578CB">
        <w:rPr>
          <w:lang w:val="en-GB"/>
        </w:rPr>
        <w:t xml:space="preserve">the </w:t>
      </w:r>
      <w:r w:rsidRPr="00152A20">
        <w:rPr>
          <w:lang w:val="en-GB"/>
        </w:rPr>
        <w:t>implementation of “innovative education program</w:t>
      </w:r>
      <w:r w:rsidR="00B92150" w:rsidRPr="00152A20">
        <w:rPr>
          <w:lang w:val="en-GB"/>
        </w:rPr>
        <w:t>me</w:t>
      </w:r>
      <w:r w:rsidRPr="00152A20">
        <w:rPr>
          <w:lang w:val="en-GB"/>
        </w:rPr>
        <w:t>s”. This was the first example of targeted funding for selected universities.</w:t>
      </w:r>
    </w:p>
    <w:p w14:paraId="11127B64" w14:textId="3BAC70E1" w:rsidR="00037D5F" w:rsidRPr="00152A20" w:rsidRDefault="008E5AA1">
      <w:pPr>
        <w:rPr>
          <w:lang w:val="en-GB"/>
        </w:rPr>
      </w:pPr>
      <w:r w:rsidRPr="00152A20">
        <w:rPr>
          <w:lang w:val="en-GB"/>
        </w:rPr>
        <w:t>In 2008-2009</w:t>
      </w:r>
      <w:r w:rsidR="00B92150" w:rsidRPr="00152A20">
        <w:rPr>
          <w:lang w:val="en-GB"/>
        </w:rPr>
        <w:t>,</w:t>
      </w:r>
      <w:r w:rsidRPr="00152A20">
        <w:rPr>
          <w:lang w:val="en-GB"/>
        </w:rPr>
        <w:t xml:space="preserve"> 29 HEIs </w:t>
      </w:r>
      <w:r w:rsidR="00C578CB">
        <w:rPr>
          <w:lang w:val="en-GB"/>
        </w:rPr>
        <w:t xml:space="preserve">obtained </w:t>
      </w:r>
      <w:r w:rsidRPr="00152A20">
        <w:rPr>
          <w:lang w:val="en-GB"/>
        </w:rPr>
        <w:t xml:space="preserve">national research university </w:t>
      </w:r>
      <w:r w:rsidR="00C578CB">
        <w:rPr>
          <w:lang w:val="en-GB"/>
        </w:rPr>
        <w:t xml:space="preserve">status </w:t>
      </w:r>
      <w:r w:rsidRPr="00152A20">
        <w:rPr>
          <w:lang w:val="en-GB"/>
        </w:rPr>
        <w:t xml:space="preserve">with special government funding for research, internationalisation and </w:t>
      </w:r>
      <w:r w:rsidR="00001626" w:rsidRPr="00152A20">
        <w:rPr>
          <w:lang w:val="en-GB"/>
        </w:rPr>
        <w:t>curriculum development</w:t>
      </w:r>
      <w:r w:rsidRPr="00152A20">
        <w:rPr>
          <w:lang w:val="en-GB"/>
        </w:rPr>
        <w:t>. The program</w:t>
      </w:r>
      <w:r w:rsidR="00B92150" w:rsidRPr="00152A20">
        <w:rPr>
          <w:lang w:val="en-GB"/>
        </w:rPr>
        <w:t>me</w:t>
      </w:r>
      <w:r w:rsidRPr="00152A20">
        <w:rPr>
          <w:lang w:val="en-GB"/>
        </w:rPr>
        <w:t xml:space="preserve"> set incentives for research intensiveness</w:t>
      </w:r>
      <w:r w:rsidR="00C578CB">
        <w:rPr>
          <w:lang w:val="en-GB"/>
        </w:rPr>
        <w:t xml:space="preserve"> and was </w:t>
      </w:r>
      <w:r w:rsidRPr="00152A20">
        <w:rPr>
          <w:lang w:val="en-GB"/>
        </w:rPr>
        <w:t xml:space="preserve">intended to stimulate </w:t>
      </w:r>
      <w:r w:rsidR="00B92150" w:rsidRPr="00152A20">
        <w:rPr>
          <w:lang w:val="en-GB"/>
        </w:rPr>
        <w:t>the strategic development o</w:t>
      </w:r>
      <w:r w:rsidR="00C578CB">
        <w:rPr>
          <w:lang w:val="en-GB"/>
        </w:rPr>
        <w:t>f</w:t>
      </w:r>
      <w:r w:rsidRPr="00152A20">
        <w:rPr>
          <w:lang w:val="en-GB"/>
        </w:rPr>
        <w:t xml:space="preserve"> university R&amp;D mission</w:t>
      </w:r>
      <w:r w:rsidR="00C578CB">
        <w:rPr>
          <w:lang w:val="en-GB"/>
        </w:rPr>
        <w:t>s</w:t>
      </w:r>
      <w:r w:rsidRPr="00152A20">
        <w:rPr>
          <w:lang w:val="en-GB"/>
        </w:rPr>
        <w:t xml:space="preserve"> </w:t>
      </w:r>
      <w:r w:rsidR="00C578CB">
        <w:rPr>
          <w:lang w:val="en-GB"/>
        </w:rPr>
        <w:t>through</w:t>
      </w:r>
      <w:r w:rsidRPr="00152A20">
        <w:rPr>
          <w:lang w:val="en-GB"/>
        </w:rPr>
        <w:t xml:space="preserve"> annual performance evaluations.</w:t>
      </w:r>
    </w:p>
    <w:p w14:paraId="0D14548B" w14:textId="1BF58FF8" w:rsidR="00037D5F" w:rsidRPr="00152A20" w:rsidRDefault="008E5AA1">
      <w:pPr>
        <w:rPr>
          <w:lang w:val="en-GB"/>
        </w:rPr>
      </w:pPr>
      <w:r w:rsidRPr="00152A20">
        <w:rPr>
          <w:lang w:val="en-GB"/>
        </w:rPr>
        <w:t xml:space="preserve">Furthermore, in 2013, Russia launched its Excellence Initiative (“5-100”). The Russian government, with the help of the International Council, selected 15 Russian universities to receive special funding in efforts to place these universities </w:t>
      </w:r>
      <w:r w:rsidR="00592E68">
        <w:rPr>
          <w:lang w:val="en-GB"/>
        </w:rPr>
        <w:t xml:space="preserve">among </w:t>
      </w:r>
      <w:r w:rsidRPr="00152A20">
        <w:rPr>
          <w:lang w:val="en-GB"/>
        </w:rPr>
        <w:t>the top 100 universities (</w:t>
      </w:r>
      <w:r w:rsidR="00510784">
        <w:rPr>
          <w:lang w:val="en-GB"/>
        </w:rPr>
        <w:t>i</w:t>
      </w:r>
      <w:r w:rsidR="00C578CB">
        <w:rPr>
          <w:lang w:val="en-GB"/>
        </w:rPr>
        <w:t>n</w:t>
      </w:r>
      <w:r w:rsidRPr="00152A20">
        <w:rPr>
          <w:lang w:val="en-GB"/>
        </w:rPr>
        <w:t xml:space="preserve"> major global rankings) by 2020. In 2015</w:t>
      </w:r>
      <w:r w:rsidR="006E238F" w:rsidRPr="00152A20">
        <w:rPr>
          <w:lang w:val="en-GB"/>
        </w:rPr>
        <w:t>,</w:t>
      </w:r>
      <w:r w:rsidRPr="00152A20">
        <w:rPr>
          <w:lang w:val="en-GB"/>
        </w:rPr>
        <w:t xml:space="preserve"> the program</w:t>
      </w:r>
      <w:r w:rsidR="006E238F" w:rsidRPr="00152A20">
        <w:rPr>
          <w:lang w:val="en-GB"/>
        </w:rPr>
        <w:t>me</w:t>
      </w:r>
      <w:r w:rsidRPr="00152A20">
        <w:rPr>
          <w:lang w:val="en-GB"/>
        </w:rPr>
        <w:t xml:space="preserve"> was extended by </w:t>
      </w:r>
      <w:r w:rsidR="006E238F" w:rsidRPr="00152A20">
        <w:rPr>
          <w:lang w:val="en-GB"/>
        </w:rPr>
        <w:t xml:space="preserve">adding </w:t>
      </w:r>
      <w:r w:rsidRPr="00152A20">
        <w:rPr>
          <w:lang w:val="en-GB"/>
        </w:rPr>
        <w:t>six more universities.</w:t>
      </w:r>
    </w:p>
    <w:p w14:paraId="5FFC0839" w14:textId="53A1D4DF" w:rsidR="00037D5F" w:rsidRPr="00152A20" w:rsidRDefault="008E5AA1">
      <w:pPr>
        <w:rPr>
          <w:lang w:val="en-GB"/>
        </w:rPr>
      </w:pPr>
      <w:r w:rsidRPr="00152A20">
        <w:rPr>
          <w:lang w:val="en-GB"/>
        </w:rPr>
        <w:t xml:space="preserve">Although the number of institutions decreases from one project to another, in general the policy trend </w:t>
      </w:r>
      <w:r w:rsidR="00C578CB">
        <w:rPr>
          <w:lang w:val="en-GB"/>
        </w:rPr>
        <w:t xml:space="preserve">is to </w:t>
      </w:r>
      <w:r w:rsidR="006E238F" w:rsidRPr="00152A20">
        <w:rPr>
          <w:lang w:val="en-GB"/>
        </w:rPr>
        <w:t xml:space="preserve">establish a benchmark </w:t>
      </w:r>
      <w:r w:rsidRPr="00152A20">
        <w:rPr>
          <w:lang w:val="en-GB"/>
        </w:rPr>
        <w:t>for leading institutions</w:t>
      </w:r>
      <w:r w:rsidR="006E238F" w:rsidRPr="00152A20">
        <w:rPr>
          <w:lang w:val="en-GB"/>
        </w:rPr>
        <w:t>, modelled on the idea of the</w:t>
      </w:r>
      <w:r w:rsidRPr="00152A20">
        <w:rPr>
          <w:lang w:val="en-GB"/>
        </w:rPr>
        <w:t xml:space="preserve"> research university. </w:t>
      </w:r>
    </w:p>
    <w:p w14:paraId="62D46798" w14:textId="545BDCA7" w:rsidR="00037D5F" w:rsidRPr="00152A20" w:rsidRDefault="008E5AA1">
      <w:pPr>
        <w:rPr>
          <w:lang w:val="en-GB"/>
        </w:rPr>
      </w:pPr>
      <w:r w:rsidRPr="00152A20">
        <w:rPr>
          <w:lang w:val="en-GB"/>
        </w:rPr>
        <w:t xml:space="preserve">Universities with special status </w:t>
      </w:r>
      <w:r w:rsidR="00C578CB" w:rsidRPr="00152A20">
        <w:rPr>
          <w:lang w:val="en-GB"/>
        </w:rPr>
        <w:t xml:space="preserve">differ </w:t>
      </w:r>
      <w:r w:rsidRPr="00152A20">
        <w:rPr>
          <w:lang w:val="en-GB"/>
        </w:rPr>
        <w:t xml:space="preserve">considerably from all other HEIs in </w:t>
      </w:r>
      <w:r w:rsidR="00C578CB">
        <w:rPr>
          <w:lang w:val="en-GB"/>
        </w:rPr>
        <w:t xml:space="preserve">terms of </w:t>
      </w:r>
      <w:r w:rsidRPr="00152A20">
        <w:rPr>
          <w:lang w:val="en-GB"/>
        </w:rPr>
        <w:t xml:space="preserve">size, funding, research activity and enrolments. Federal universities are the largest in </w:t>
      </w:r>
      <w:r w:rsidR="006E238F" w:rsidRPr="00152A20">
        <w:rPr>
          <w:lang w:val="en-GB"/>
        </w:rPr>
        <w:t xml:space="preserve">the </w:t>
      </w:r>
      <w:r w:rsidRPr="00152A20">
        <w:rPr>
          <w:lang w:val="en-GB"/>
        </w:rPr>
        <w:t xml:space="preserve">higher education system in terms of student numbers and federal funding. Research universities </w:t>
      </w:r>
      <w:r w:rsidR="00C578CB">
        <w:rPr>
          <w:lang w:val="en-GB"/>
        </w:rPr>
        <w:t>in</w:t>
      </w:r>
      <w:r w:rsidR="006E238F" w:rsidRPr="00152A20">
        <w:rPr>
          <w:lang w:val="en-GB"/>
        </w:rPr>
        <w:t xml:space="preserve"> the</w:t>
      </w:r>
      <w:r w:rsidRPr="00152A20">
        <w:rPr>
          <w:lang w:val="en-GB"/>
        </w:rPr>
        <w:t xml:space="preserve"> 5-100 program</w:t>
      </w:r>
      <w:r w:rsidR="006E238F" w:rsidRPr="00152A20">
        <w:rPr>
          <w:lang w:val="en-GB"/>
        </w:rPr>
        <w:t>me</w:t>
      </w:r>
      <w:r w:rsidRPr="00152A20">
        <w:rPr>
          <w:lang w:val="en-GB"/>
        </w:rPr>
        <w:t xml:space="preserve"> rely </w:t>
      </w:r>
      <w:r w:rsidR="00C578CB" w:rsidRPr="00152A20">
        <w:rPr>
          <w:lang w:val="en-GB"/>
        </w:rPr>
        <w:t xml:space="preserve">mainly </w:t>
      </w:r>
      <w:r w:rsidRPr="00152A20">
        <w:rPr>
          <w:lang w:val="en-GB"/>
        </w:rPr>
        <w:t xml:space="preserve">on federal funding. Moreover, </w:t>
      </w:r>
      <w:r w:rsidR="000402FA" w:rsidRPr="00152A20">
        <w:rPr>
          <w:lang w:val="en-GB"/>
        </w:rPr>
        <w:t xml:space="preserve">the </w:t>
      </w:r>
      <w:r w:rsidRPr="00152A20">
        <w:rPr>
          <w:lang w:val="en-GB"/>
        </w:rPr>
        <w:t>excellence program</w:t>
      </w:r>
      <w:r w:rsidR="000402FA" w:rsidRPr="00152A20">
        <w:rPr>
          <w:lang w:val="en-GB"/>
        </w:rPr>
        <w:t>me</w:t>
      </w:r>
      <w:r w:rsidRPr="00152A20">
        <w:rPr>
          <w:lang w:val="en-GB"/>
        </w:rPr>
        <w:t xml:space="preserve"> spurs </w:t>
      </w:r>
      <w:r w:rsidR="00C578CB">
        <w:rPr>
          <w:lang w:val="en-GB"/>
        </w:rPr>
        <w:t xml:space="preserve">the </w:t>
      </w:r>
      <w:r w:rsidRPr="00152A20">
        <w:rPr>
          <w:lang w:val="en-GB"/>
        </w:rPr>
        <w:t>internationali</w:t>
      </w:r>
      <w:r w:rsidR="00C578CB">
        <w:rPr>
          <w:lang w:val="en-GB"/>
        </w:rPr>
        <w:t>s</w:t>
      </w:r>
      <w:r w:rsidRPr="00152A20">
        <w:rPr>
          <w:lang w:val="en-GB"/>
        </w:rPr>
        <w:t xml:space="preserve">ation of education activity and research. The number of publications indexed in Scopus </w:t>
      </w:r>
      <w:r w:rsidR="00C578CB">
        <w:rPr>
          <w:lang w:val="en-GB"/>
        </w:rPr>
        <w:t xml:space="preserve">and the </w:t>
      </w:r>
      <w:r w:rsidRPr="00152A20">
        <w:rPr>
          <w:lang w:val="en-GB"/>
        </w:rPr>
        <w:t xml:space="preserve">Web of Science is several times higher than in other universities. </w:t>
      </w:r>
      <w:r w:rsidR="00C578CB">
        <w:rPr>
          <w:lang w:val="en-GB"/>
        </w:rPr>
        <w:t>Ve</w:t>
      </w:r>
      <w:r w:rsidRPr="00152A20">
        <w:rPr>
          <w:lang w:val="en-GB"/>
        </w:rPr>
        <w:t xml:space="preserve">rtical diversification, initiated by </w:t>
      </w:r>
      <w:r w:rsidR="000402FA" w:rsidRPr="00152A20">
        <w:rPr>
          <w:lang w:val="en-GB"/>
        </w:rPr>
        <w:t xml:space="preserve">the </w:t>
      </w:r>
      <w:r w:rsidRPr="00152A20">
        <w:rPr>
          <w:lang w:val="en-GB"/>
        </w:rPr>
        <w:t xml:space="preserve">structural reforms, </w:t>
      </w:r>
      <w:r w:rsidR="00C578CB">
        <w:rPr>
          <w:lang w:val="en-GB"/>
        </w:rPr>
        <w:t xml:space="preserve">has </w:t>
      </w:r>
      <w:r w:rsidR="000402FA" w:rsidRPr="00152A20">
        <w:rPr>
          <w:lang w:val="en-GB"/>
        </w:rPr>
        <w:t>increased</w:t>
      </w:r>
      <w:r w:rsidRPr="00152A20">
        <w:rPr>
          <w:lang w:val="en-GB"/>
        </w:rPr>
        <w:t xml:space="preserve">. The most talented students choose these universities. Almost 50% of school </w:t>
      </w:r>
      <w:r w:rsidR="000402FA" w:rsidRPr="00152A20">
        <w:rPr>
          <w:lang w:val="en-GB"/>
        </w:rPr>
        <w:t>O</w:t>
      </w:r>
      <w:r w:rsidRPr="00152A20">
        <w:rPr>
          <w:lang w:val="en-GB"/>
        </w:rPr>
        <w:t xml:space="preserve">lympiad winners enrol </w:t>
      </w:r>
      <w:r w:rsidR="00C578CB">
        <w:rPr>
          <w:lang w:val="en-GB"/>
        </w:rPr>
        <w:t xml:space="preserve">in </w:t>
      </w:r>
      <w:r w:rsidRPr="00152A20">
        <w:rPr>
          <w:lang w:val="en-GB"/>
        </w:rPr>
        <w:t>5-100 and national research universities.</w:t>
      </w:r>
    </w:p>
    <w:p w14:paraId="099719D9" w14:textId="77777777" w:rsidR="00037D5F" w:rsidRPr="00152A20" w:rsidRDefault="008E5AA1">
      <w:pPr>
        <w:pStyle w:val="Heading2"/>
        <w:rPr>
          <w:lang w:val="en-GB"/>
        </w:rPr>
      </w:pPr>
      <w:bookmarkStart w:id="15" w:name="_44sinio" w:colFirst="0" w:colLast="0"/>
      <w:bookmarkEnd w:id="15"/>
      <w:r w:rsidRPr="00152A20">
        <w:rPr>
          <w:lang w:val="en-GB"/>
        </w:rPr>
        <w:lastRenderedPageBreak/>
        <w:t>Post-</w:t>
      </w:r>
      <w:proofErr w:type="spellStart"/>
      <w:r w:rsidRPr="00152A20">
        <w:rPr>
          <w:lang w:val="en-GB"/>
        </w:rPr>
        <w:t>massification</w:t>
      </w:r>
      <w:proofErr w:type="spellEnd"/>
      <w:r w:rsidRPr="00152A20">
        <w:rPr>
          <w:lang w:val="en-GB"/>
        </w:rPr>
        <w:t>: Quality and Performance</w:t>
      </w:r>
    </w:p>
    <w:p w14:paraId="04C75554" w14:textId="632CDAD1" w:rsidR="00037D5F" w:rsidRPr="00152A20" w:rsidRDefault="008E5AA1">
      <w:pPr>
        <w:rPr>
          <w:lang w:val="en-GB"/>
        </w:rPr>
      </w:pPr>
      <w:r w:rsidRPr="00152A20">
        <w:rPr>
          <w:lang w:val="en-GB"/>
        </w:rPr>
        <w:t xml:space="preserve">The topic of insufficient quality and </w:t>
      </w:r>
      <w:r w:rsidR="000402FA" w:rsidRPr="00152A20">
        <w:rPr>
          <w:lang w:val="en-GB"/>
        </w:rPr>
        <w:t>quality</w:t>
      </w:r>
      <w:r w:rsidRPr="00152A20">
        <w:rPr>
          <w:lang w:val="en-GB"/>
        </w:rPr>
        <w:t xml:space="preserve"> assurance is a </w:t>
      </w:r>
      <w:r w:rsidR="000402FA" w:rsidRPr="00152A20">
        <w:rPr>
          <w:lang w:val="en-GB"/>
        </w:rPr>
        <w:t xml:space="preserve">recurrent theme on the </w:t>
      </w:r>
      <w:r w:rsidRPr="00152A20">
        <w:rPr>
          <w:lang w:val="en-GB"/>
        </w:rPr>
        <w:t xml:space="preserve">agenda in public and policy debates, </w:t>
      </w:r>
      <w:r w:rsidR="000402FA" w:rsidRPr="00152A20">
        <w:rPr>
          <w:lang w:val="en-GB"/>
        </w:rPr>
        <w:t>fed by nostalgia with reference to the S</w:t>
      </w:r>
      <w:r w:rsidRPr="00152A20">
        <w:rPr>
          <w:lang w:val="en-GB"/>
        </w:rPr>
        <w:t xml:space="preserve">oviet past. </w:t>
      </w:r>
      <w:r w:rsidR="000402FA" w:rsidRPr="00152A20">
        <w:rPr>
          <w:lang w:val="en-GB"/>
        </w:rPr>
        <w:t>T</w:t>
      </w:r>
      <w:r w:rsidRPr="00152A20">
        <w:rPr>
          <w:lang w:val="en-GB"/>
        </w:rPr>
        <w:t xml:space="preserve">he government has made an attempt to reshape the accreditation system. The authorities decided to establish </w:t>
      </w:r>
      <w:r w:rsidR="000402FA" w:rsidRPr="00152A20">
        <w:rPr>
          <w:lang w:val="en-GB"/>
        </w:rPr>
        <w:t xml:space="preserve">a </w:t>
      </w:r>
      <w:r w:rsidRPr="00152A20">
        <w:rPr>
          <w:lang w:val="en-GB"/>
        </w:rPr>
        <w:t>special department inside the federal ministry</w:t>
      </w:r>
      <w:r w:rsidR="00AF5AF8">
        <w:rPr>
          <w:lang w:val="en-GB"/>
        </w:rPr>
        <w:t xml:space="preserve"> which now </w:t>
      </w:r>
      <w:r w:rsidRPr="00152A20">
        <w:rPr>
          <w:lang w:val="en-GB"/>
        </w:rPr>
        <w:t xml:space="preserve">exists as </w:t>
      </w:r>
      <w:r w:rsidR="000402FA" w:rsidRPr="00152A20">
        <w:rPr>
          <w:lang w:val="en-GB"/>
        </w:rPr>
        <w:t xml:space="preserve">the </w:t>
      </w:r>
      <w:r w:rsidRPr="00152A20">
        <w:rPr>
          <w:lang w:val="en-GB"/>
        </w:rPr>
        <w:t>Federal Service of Inspection and Control in Education and Science</w:t>
      </w:r>
      <w:r w:rsidR="00BA28D2" w:rsidRPr="00152A20">
        <w:rPr>
          <w:lang w:val="en-GB"/>
        </w:rPr>
        <w:t>.</w:t>
      </w:r>
    </w:p>
    <w:p w14:paraId="6E213388" w14:textId="57F32818" w:rsidR="00037D5F" w:rsidRPr="00152A20" w:rsidRDefault="008E5AA1">
      <w:pPr>
        <w:rPr>
          <w:lang w:val="en-GB"/>
        </w:rPr>
      </w:pPr>
      <w:r w:rsidRPr="00152A20">
        <w:rPr>
          <w:lang w:val="en-GB"/>
        </w:rPr>
        <w:t>In 2012</w:t>
      </w:r>
      <w:r w:rsidR="000402FA" w:rsidRPr="00152A20">
        <w:rPr>
          <w:lang w:val="en-GB"/>
        </w:rPr>
        <w:t>,</w:t>
      </w:r>
      <w:r w:rsidRPr="00152A20">
        <w:rPr>
          <w:lang w:val="en-GB"/>
        </w:rPr>
        <w:t xml:space="preserve"> the </w:t>
      </w:r>
      <w:proofErr w:type="spellStart"/>
      <w:r w:rsidRPr="00152A20">
        <w:rPr>
          <w:lang w:val="en-GB"/>
        </w:rPr>
        <w:t>MoES</w:t>
      </w:r>
      <w:proofErr w:type="spellEnd"/>
      <w:r w:rsidRPr="00152A20">
        <w:rPr>
          <w:lang w:val="en-GB"/>
        </w:rPr>
        <w:t xml:space="preserve"> launched </w:t>
      </w:r>
      <w:r w:rsidR="00AF5AF8">
        <w:rPr>
          <w:lang w:val="en-GB"/>
        </w:rPr>
        <w:t xml:space="preserve">HEI </w:t>
      </w:r>
      <w:r w:rsidR="00AF5AF8" w:rsidRPr="00152A20">
        <w:rPr>
          <w:lang w:val="en-GB"/>
        </w:rPr>
        <w:t>Performance</w:t>
      </w:r>
      <w:r w:rsidR="00AF5AF8" w:rsidRPr="00152A20" w:rsidDel="00AF5AF8">
        <w:rPr>
          <w:lang w:val="en-GB"/>
        </w:rPr>
        <w:t xml:space="preserve"> </w:t>
      </w:r>
      <w:r w:rsidRPr="00152A20">
        <w:rPr>
          <w:lang w:val="en-GB"/>
        </w:rPr>
        <w:t>Monitoring</w:t>
      </w:r>
      <w:r w:rsidR="000402FA" w:rsidRPr="00152A20">
        <w:rPr>
          <w:lang w:val="en-GB"/>
        </w:rPr>
        <w:t>, an</w:t>
      </w:r>
      <w:r w:rsidRPr="00152A20">
        <w:rPr>
          <w:lang w:val="en-GB"/>
        </w:rPr>
        <w:t xml:space="preserve"> annual institutional assessment of HEIs. The </w:t>
      </w:r>
      <w:proofErr w:type="spellStart"/>
      <w:r w:rsidRPr="00152A20">
        <w:rPr>
          <w:lang w:val="en-GB"/>
        </w:rPr>
        <w:t>MoES</w:t>
      </w:r>
      <w:proofErr w:type="spellEnd"/>
      <w:r w:rsidRPr="00152A20">
        <w:rPr>
          <w:lang w:val="en-GB"/>
        </w:rPr>
        <w:t xml:space="preserve"> collects and publishes about 150 </w:t>
      </w:r>
      <w:r w:rsidR="000402FA" w:rsidRPr="00152A20">
        <w:rPr>
          <w:lang w:val="en-GB"/>
        </w:rPr>
        <w:t>indicators</w:t>
      </w:r>
      <w:r w:rsidRPr="00152A20">
        <w:rPr>
          <w:lang w:val="en-GB"/>
        </w:rPr>
        <w:t xml:space="preserve"> </w:t>
      </w:r>
      <w:r w:rsidR="000402FA" w:rsidRPr="00152A20">
        <w:rPr>
          <w:lang w:val="en-GB"/>
        </w:rPr>
        <w:t xml:space="preserve">for </w:t>
      </w:r>
      <w:r w:rsidRPr="00152A20">
        <w:rPr>
          <w:lang w:val="en-GB"/>
        </w:rPr>
        <w:t>each HEI</w:t>
      </w:r>
      <w:r w:rsidR="00FE7FB3">
        <w:rPr>
          <w:lang w:val="en-GB"/>
        </w:rPr>
        <w:t>, and s</w:t>
      </w:r>
      <w:r w:rsidR="00AF5AF8">
        <w:rPr>
          <w:lang w:val="en-GB"/>
        </w:rPr>
        <w:t>ix to eight</w:t>
      </w:r>
      <w:r w:rsidR="00BF15A1" w:rsidRPr="00152A20">
        <w:rPr>
          <w:lang w:val="en-GB"/>
        </w:rPr>
        <w:t xml:space="preserve"> </w:t>
      </w:r>
      <w:r w:rsidR="00BA28D2" w:rsidRPr="00152A20">
        <w:rPr>
          <w:lang w:val="en-GB"/>
        </w:rPr>
        <w:t>indicators</w:t>
      </w:r>
      <w:r w:rsidR="00BF15A1" w:rsidRPr="00152A20">
        <w:rPr>
          <w:lang w:val="en-GB"/>
        </w:rPr>
        <w:t xml:space="preserve"> that vary through the years are </w:t>
      </w:r>
      <w:r w:rsidR="00AF5AF8">
        <w:rPr>
          <w:lang w:val="en-GB"/>
        </w:rPr>
        <w:t xml:space="preserve">also </w:t>
      </w:r>
      <w:r w:rsidR="00BF15A1" w:rsidRPr="00152A20">
        <w:rPr>
          <w:lang w:val="en-GB"/>
        </w:rPr>
        <w:t xml:space="preserve">selected as performance indicators. They describe all fields of activity such as education (average entry exam score), research (share of R&amp;D revenues), international activity (share of international students), financial stability (revenues per faculty), </w:t>
      </w:r>
      <w:r w:rsidR="00FE7FB3">
        <w:rPr>
          <w:lang w:val="en-GB"/>
        </w:rPr>
        <w:t xml:space="preserve">and </w:t>
      </w:r>
      <w:r w:rsidR="00BF15A1" w:rsidRPr="00152A20">
        <w:rPr>
          <w:lang w:val="en-GB"/>
        </w:rPr>
        <w:t>faculty salaries (</w:t>
      </w:r>
      <w:r w:rsidR="00BA28D2" w:rsidRPr="00152A20">
        <w:rPr>
          <w:lang w:val="en-GB"/>
        </w:rPr>
        <w:t>ratio</w:t>
      </w:r>
      <w:r w:rsidR="00BF15A1" w:rsidRPr="00152A20">
        <w:rPr>
          <w:lang w:val="en-GB"/>
        </w:rPr>
        <w:t xml:space="preserve"> between average faculty salary and average salary in the region)</w:t>
      </w:r>
      <w:r w:rsidR="00BA28D2" w:rsidRPr="00152A20">
        <w:rPr>
          <w:lang w:val="en-GB"/>
        </w:rPr>
        <w:t>.</w:t>
      </w:r>
      <w:r w:rsidR="00BF15A1" w:rsidRPr="00152A20">
        <w:rPr>
          <w:lang w:val="en-GB"/>
        </w:rPr>
        <w:t xml:space="preserve"> </w:t>
      </w:r>
      <w:r w:rsidRPr="00152A20">
        <w:rPr>
          <w:lang w:val="en-GB"/>
        </w:rPr>
        <w:t xml:space="preserve">High </w:t>
      </w:r>
      <w:r w:rsidRPr="00152A20">
        <w:rPr>
          <w:rFonts w:asciiTheme="minorHAnsi" w:hAnsiTheme="minorHAnsi"/>
          <w:lang w:val="en-GB"/>
        </w:rPr>
        <w:t>results on</w:t>
      </w:r>
      <w:r w:rsidR="00BF15A1" w:rsidRPr="00152A20">
        <w:rPr>
          <w:rFonts w:asciiTheme="minorHAnsi" w:hAnsiTheme="minorHAnsi"/>
          <w:lang w:val="en-GB"/>
        </w:rPr>
        <w:t xml:space="preserve"> </w:t>
      </w:r>
      <w:r w:rsidR="00BF15A1" w:rsidRPr="00152A20">
        <w:rPr>
          <w:rFonts w:asciiTheme="minorHAnsi" w:hAnsiTheme="minorHAnsi" w:cs="Times New Roman"/>
          <w:lang w:val="en-GB"/>
        </w:rPr>
        <w:t xml:space="preserve">at least </w:t>
      </w:r>
      <w:r w:rsidR="000402FA" w:rsidRPr="00152A20">
        <w:rPr>
          <w:rFonts w:asciiTheme="minorHAnsi" w:hAnsiTheme="minorHAnsi"/>
          <w:lang w:val="en-GB"/>
        </w:rPr>
        <w:t>four</w:t>
      </w:r>
      <w:r w:rsidRPr="00152A20">
        <w:rPr>
          <w:rFonts w:asciiTheme="minorHAnsi" w:hAnsiTheme="minorHAnsi"/>
          <w:lang w:val="en-GB"/>
        </w:rPr>
        <w:t xml:space="preserve"> indicators</w:t>
      </w:r>
      <w:r w:rsidR="00AF5AF8">
        <w:rPr>
          <w:lang w:val="en-GB"/>
        </w:rPr>
        <w:t xml:space="preserve"> are</w:t>
      </w:r>
      <w:r w:rsidRPr="00152A20">
        <w:rPr>
          <w:lang w:val="en-GB"/>
        </w:rPr>
        <w:t xml:space="preserve"> considered critical </w:t>
      </w:r>
      <w:r w:rsidR="00AF5AF8">
        <w:rPr>
          <w:lang w:val="en-GB"/>
        </w:rPr>
        <w:t>for</w:t>
      </w:r>
      <w:r w:rsidRPr="00152A20">
        <w:rPr>
          <w:lang w:val="en-GB"/>
        </w:rPr>
        <w:t xml:space="preserve"> efficient HEI</w:t>
      </w:r>
      <w:r w:rsidR="00AF5AF8">
        <w:rPr>
          <w:lang w:val="en-GB"/>
        </w:rPr>
        <w:t>s</w:t>
      </w:r>
      <w:r w:rsidRPr="00152A20">
        <w:rPr>
          <w:lang w:val="en-GB"/>
        </w:rPr>
        <w:t xml:space="preserve">.  </w:t>
      </w:r>
    </w:p>
    <w:p w14:paraId="0AC2D535" w14:textId="310F1A12" w:rsidR="00037D5F" w:rsidRPr="00152A20" w:rsidRDefault="000402FA">
      <w:pPr>
        <w:rPr>
          <w:lang w:val="en-GB"/>
        </w:rPr>
      </w:pPr>
      <w:r w:rsidRPr="00152A20">
        <w:rPr>
          <w:lang w:val="en-GB"/>
        </w:rPr>
        <w:t>A</w:t>
      </w:r>
      <w:r w:rsidR="008E5AA1" w:rsidRPr="00152A20">
        <w:rPr>
          <w:lang w:val="en-GB"/>
        </w:rPr>
        <w:t xml:space="preserve"> radical policy </w:t>
      </w:r>
      <w:r w:rsidRPr="00152A20">
        <w:rPr>
          <w:lang w:val="en-GB"/>
        </w:rPr>
        <w:t>was implemented when</w:t>
      </w:r>
      <w:r w:rsidR="008E5AA1" w:rsidRPr="00152A20">
        <w:rPr>
          <w:lang w:val="en-GB"/>
        </w:rPr>
        <w:t xml:space="preserve"> the first results of the Monitoring</w:t>
      </w:r>
      <w:r w:rsidRPr="00152A20">
        <w:rPr>
          <w:lang w:val="en-GB"/>
        </w:rPr>
        <w:t xml:space="preserve"> project were published</w:t>
      </w:r>
      <w:r w:rsidR="008E5AA1" w:rsidRPr="00152A20">
        <w:rPr>
          <w:lang w:val="en-GB"/>
        </w:rPr>
        <w:t>. In 2012-2013</w:t>
      </w:r>
      <w:r w:rsidRPr="00152A20">
        <w:rPr>
          <w:lang w:val="en-GB"/>
        </w:rPr>
        <w:t>,</w:t>
      </w:r>
      <w:r w:rsidR="008E5AA1" w:rsidRPr="00152A20">
        <w:rPr>
          <w:lang w:val="en-GB"/>
        </w:rPr>
        <w:t xml:space="preserve"> 52 HEIs and 373 satellite HEIs were </w:t>
      </w:r>
      <w:r w:rsidR="00FE7FB3">
        <w:rPr>
          <w:lang w:val="en-GB"/>
        </w:rPr>
        <w:t xml:space="preserve">either </w:t>
      </w:r>
      <w:r w:rsidR="008E5AA1" w:rsidRPr="00152A20">
        <w:rPr>
          <w:lang w:val="en-GB"/>
        </w:rPr>
        <w:t>reorgani</w:t>
      </w:r>
      <w:r w:rsidR="00FE7FB3">
        <w:rPr>
          <w:lang w:val="en-GB"/>
        </w:rPr>
        <w:t>s</w:t>
      </w:r>
      <w:r w:rsidR="008E5AA1" w:rsidRPr="00152A20">
        <w:rPr>
          <w:lang w:val="en-GB"/>
        </w:rPr>
        <w:t xml:space="preserve">ed </w:t>
      </w:r>
      <w:r w:rsidR="00FE7FB3">
        <w:rPr>
          <w:lang w:val="en-GB"/>
        </w:rPr>
        <w:t xml:space="preserve">through </w:t>
      </w:r>
      <w:r w:rsidR="008E5AA1" w:rsidRPr="00152A20">
        <w:rPr>
          <w:lang w:val="en-GB"/>
        </w:rPr>
        <w:t>mergers</w:t>
      </w:r>
      <w:r w:rsidR="00FE7FB3">
        <w:rPr>
          <w:lang w:val="en-GB"/>
        </w:rPr>
        <w:t>,</w:t>
      </w:r>
      <w:r w:rsidR="008E5AA1" w:rsidRPr="00152A20">
        <w:rPr>
          <w:lang w:val="en-GB"/>
        </w:rPr>
        <w:t xml:space="preserve"> or</w:t>
      </w:r>
      <w:r w:rsidR="00BA28D2" w:rsidRPr="00152A20">
        <w:rPr>
          <w:lang w:val="en-GB"/>
        </w:rPr>
        <w:t xml:space="preserve"> the Federal Service of Inspection and Control in Education and Science</w:t>
      </w:r>
      <w:r w:rsidR="008E5AA1" w:rsidRPr="00152A20">
        <w:rPr>
          <w:lang w:val="en-GB"/>
        </w:rPr>
        <w:t xml:space="preserve"> revoked their licen</w:t>
      </w:r>
      <w:r w:rsidR="00F522B7">
        <w:rPr>
          <w:lang w:val="en-GB"/>
        </w:rPr>
        <w:t>c</w:t>
      </w:r>
      <w:r w:rsidR="008E5AA1" w:rsidRPr="00152A20">
        <w:rPr>
          <w:lang w:val="en-GB"/>
        </w:rPr>
        <w:t xml:space="preserve">es. </w:t>
      </w:r>
      <w:r w:rsidRPr="00152A20">
        <w:rPr>
          <w:lang w:val="en-GB"/>
        </w:rPr>
        <w:t xml:space="preserve">In subsequent years, </w:t>
      </w:r>
      <w:r w:rsidR="008E5AA1" w:rsidRPr="00152A20">
        <w:rPr>
          <w:lang w:val="en-GB"/>
        </w:rPr>
        <w:t>more than 200 HEI satellites were reorgani</w:t>
      </w:r>
      <w:r w:rsidR="00FE7FB3">
        <w:rPr>
          <w:lang w:val="en-GB"/>
        </w:rPr>
        <w:t>s</w:t>
      </w:r>
      <w:r w:rsidR="008E5AA1" w:rsidRPr="00152A20">
        <w:rPr>
          <w:lang w:val="en-GB"/>
        </w:rPr>
        <w:t>ed</w:t>
      </w:r>
      <w:r w:rsidR="00FE7FB3">
        <w:rPr>
          <w:lang w:val="en-GB"/>
        </w:rPr>
        <w:t xml:space="preserve"> and e</w:t>
      </w:r>
      <w:r w:rsidR="008E5AA1" w:rsidRPr="00152A20">
        <w:rPr>
          <w:lang w:val="en-GB"/>
        </w:rPr>
        <w:t xml:space="preserve">ven private HEIs could not avoid reforms. </w:t>
      </w:r>
    </w:p>
    <w:p w14:paraId="6F79FBD6" w14:textId="77777777" w:rsidR="00037D5F" w:rsidRPr="00152A20" w:rsidRDefault="000402FA">
      <w:pPr>
        <w:pStyle w:val="Heading1"/>
        <w:rPr>
          <w:lang w:val="en-GB"/>
        </w:rPr>
      </w:pPr>
      <w:r w:rsidRPr="00152A20">
        <w:rPr>
          <w:lang w:val="en-GB"/>
        </w:rPr>
        <w:t xml:space="preserve">Current </w:t>
      </w:r>
      <w:r w:rsidR="008E5AA1" w:rsidRPr="00152A20">
        <w:rPr>
          <w:lang w:val="en-GB"/>
        </w:rPr>
        <w:t>Higher Education System Landscape in Russia</w:t>
      </w:r>
    </w:p>
    <w:p w14:paraId="35BF39AD" w14:textId="30000528" w:rsidR="00037D5F" w:rsidRPr="00152A20" w:rsidRDefault="008E5AA1">
      <w:pPr>
        <w:rPr>
          <w:lang w:val="en-GB"/>
        </w:rPr>
      </w:pPr>
      <w:r w:rsidRPr="00152A20">
        <w:rPr>
          <w:lang w:val="en-GB"/>
        </w:rPr>
        <w:t xml:space="preserve">As </w:t>
      </w:r>
      <w:r w:rsidR="000402FA" w:rsidRPr="00152A20">
        <w:rPr>
          <w:lang w:val="en-GB"/>
        </w:rPr>
        <w:t xml:space="preserve">the </w:t>
      </w:r>
      <w:r w:rsidRPr="00152A20">
        <w:rPr>
          <w:lang w:val="en-GB"/>
        </w:rPr>
        <w:t xml:space="preserve">Russian higher education system is large, </w:t>
      </w:r>
      <w:r w:rsidR="000402FA" w:rsidRPr="00152A20">
        <w:rPr>
          <w:lang w:val="en-GB"/>
        </w:rPr>
        <w:t xml:space="preserve">we employ a quantitative analysis </w:t>
      </w:r>
      <w:r w:rsidRPr="00152A20">
        <w:rPr>
          <w:lang w:val="en-GB"/>
        </w:rPr>
        <w:t>to identify the types of HEIs</w:t>
      </w:r>
      <w:r w:rsidR="00FE7FB3">
        <w:rPr>
          <w:lang w:val="en-GB"/>
        </w:rPr>
        <w:t xml:space="preserve"> by</w:t>
      </w:r>
      <w:r w:rsidRPr="00152A20">
        <w:rPr>
          <w:lang w:val="en-GB"/>
        </w:rPr>
        <w:t xml:space="preserve"> implement</w:t>
      </w:r>
      <w:r w:rsidR="00FE7FB3">
        <w:rPr>
          <w:lang w:val="en-GB"/>
        </w:rPr>
        <w:t>ing a</w:t>
      </w:r>
      <w:r w:rsidRPr="00152A20">
        <w:rPr>
          <w:lang w:val="en-GB"/>
        </w:rPr>
        <w:t xml:space="preserve"> cluster technique to </w:t>
      </w:r>
      <w:r w:rsidR="00FE7FB3">
        <w:rPr>
          <w:lang w:val="en-GB"/>
        </w:rPr>
        <w:t xml:space="preserve">categorise </w:t>
      </w:r>
      <w:r w:rsidRPr="00152A20">
        <w:rPr>
          <w:lang w:val="en-GB"/>
        </w:rPr>
        <w:t xml:space="preserve">the classification of HEIs. In previous sections we described the major changes that influenced </w:t>
      </w:r>
      <w:r w:rsidR="000402FA" w:rsidRPr="00152A20">
        <w:rPr>
          <w:lang w:val="en-GB"/>
        </w:rPr>
        <w:t xml:space="preserve">the </w:t>
      </w:r>
      <w:r w:rsidRPr="00152A20">
        <w:rPr>
          <w:lang w:val="en-GB"/>
        </w:rPr>
        <w:t xml:space="preserve">HE landscape in post-Soviet Russia, </w:t>
      </w:r>
      <w:r w:rsidR="00FE7FB3">
        <w:rPr>
          <w:lang w:val="en-GB"/>
        </w:rPr>
        <w:t xml:space="preserve">and </w:t>
      </w:r>
      <w:r w:rsidRPr="00152A20">
        <w:rPr>
          <w:lang w:val="en-GB"/>
        </w:rPr>
        <w:t xml:space="preserve">on this basis we suggest key indicators for </w:t>
      </w:r>
      <w:r w:rsidR="000402FA" w:rsidRPr="00152A20">
        <w:rPr>
          <w:lang w:val="en-GB"/>
        </w:rPr>
        <w:t xml:space="preserve">the </w:t>
      </w:r>
      <w:r w:rsidRPr="00152A20">
        <w:rPr>
          <w:lang w:val="en-GB"/>
        </w:rPr>
        <w:t>quantitative analysis in the table below.</w:t>
      </w:r>
    </w:p>
    <w:p w14:paraId="04148249" w14:textId="44E0D32D" w:rsidR="00037D5F" w:rsidRPr="00152A20" w:rsidRDefault="008E5AA1">
      <w:pPr>
        <w:spacing w:line="240" w:lineRule="auto"/>
        <w:rPr>
          <w:lang w:val="en-GB"/>
        </w:rPr>
      </w:pPr>
      <w:r w:rsidRPr="00152A20">
        <w:rPr>
          <w:lang w:val="en-GB"/>
        </w:rPr>
        <w:t xml:space="preserve">Table </w:t>
      </w:r>
      <w:r w:rsidR="00F04EC1">
        <w:rPr>
          <w:lang w:val="en-GB"/>
        </w:rPr>
        <w:t>6</w:t>
      </w:r>
      <w:r w:rsidRPr="00152A20">
        <w:rPr>
          <w:lang w:val="en-GB"/>
        </w:rPr>
        <w:t>.</w:t>
      </w:r>
      <w:r w:rsidR="00F04EC1">
        <w:rPr>
          <w:lang w:val="en-GB"/>
        </w:rPr>
        <w:t xml:space="preserve"> </w:t>
      </w:r>
      <w:r w:rsidR="0029475F">
        <w:rPr>
          <w:lang w:val="en-GB"/>
        </w:rPr>
        <w:t>Indicators and measurement</w:t>
      </w:r>
    </w:p>
    <w:tbl>
      <w:tblPr>
        <w:tblStyle w:val="a4"/>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5640"/>
      </w:tblGrid>
      <w:tr w:rsidR="00037D5F" w:rsidRPr="00152A20" w14:paraId="3F80B7E2" w14:textId="77777777">
        <w:tc>
          <w:tcPr>
            <w:tcW w:w="4050" w:type="dxa"/>
            <w:tcMar>
              <w:top w:w="100" w:type="dxa"/>
              <w:left w:w="100" w:type="dxa"/>
              <w:bottom w:w="100" w:type="dxa"/>
              <w:right w:w="100" w:type="dxa"/>
            </w:tcMar>
          </w:tcPr>
          <w:p w14:paraId="21D6D53B" w14:textId="77777777" w:rsidR="00037D5F" w:rsidRPr="00152A20" w:rsidRDefault="008E5AA1">
            <w:pPr>
              <w:widowControl w:val="0"/>
              <w:spacing w:after="0" w:line="240" w:lineRule="auto"/>
              <w:jc w:val="left"/>
              <w:rPr>
                <w:lang w:val="en-GB"/>
              </w:rPr>
            </w:pPr>
            <w:r w:rsidRPr="00152A20">
              <w:rPr>
                <w:lang w:val="en-GB"/>
              </w:rPr>
              <w:t>Indicator</w:t>
            </w:r>
          </w:p>
        </w:tc>
        <w:tc>
          <w:tcPr>
            <w:tcW w:w="5640" w:type="dxa"/>
            <w:tcMar>
              <w:top w:w="100" w:type="dxa"/>
              <w:left w:w="100" w:type="dxa"/>
              <w:bottom w:w="100" w:type="dxa"/>
              <w:right w:w="100" w:type="dxa"/>
            </w:tcMar>
          </w:tcPr>
          <w:p w14:paraId="49BF0070" w14:textId="77777777" w:rsidR="00037D5F" w:rsidRPr="00152A20" w:rsidRDefault="008E5AA1">
            <w:pPr>
              <w:widowControl w:val="0"/>
              <w:spacing w:after="0" w:line="240" w:lineRule="auto"/>
              <w:jc w:val="left"/>
              <w:rPr>
                <w:lang w:val="en-GB"/>
              </w:rPr>
            </w:pPr>
            <w:r w:rsidRPr="00152A20">
              <w:rPr>
                <w:lang w:val="en-GB"/>
              </w:rPr>
              <w:t>Measurement</w:t>
            </w:r>
          </w:p>
        </w:tc>
      </w:tr>
      <w:tr w:rsidR="00037D5F" w:rsidRPr="00152A20" w14:paraId="07E42A07" w14:textId="77777777">
        <w:tc>
          <w:tcPr>
            <w:tcW w:w="4050" w:type="dxa"/>
            <w:tcMar>
              <w:top w:w="100" w:type="dxa"/>
              <w:left w:w="100" w:type="dxa"/>
              <w:bottom w:w="100" w:type="dxa"/>
              <w:right w:w="100" w:type="dxa"/>
            </w:tcMar>
          </w:tcPr>
          <w:p w14:paraId="481B21DB" w14:textId="77777777" w:rsidR="00037D5F" w:rsidRPr="00152A20" w:rsidRDefault="008E5AA1">
            <w:pPr>
              <w:widowControl w:val="0"/>
              <w:spacing w:after="0" w:line="240" w:lineRule="auto"/>
              <w:jc w:val="left"/>
              <w:rPr>
                <w:lang w:val="en-GB"/>
              </w:rPr>
            </w:pPr>
            <w:r w:rsidRPr="00152A20">
              <w:rPr>
                <w:lang w:val="en-GB"/>
              </w:rPr>
              <w:t>Size of student body</w:t>
            </w:r>
          </w:p>
        </w:tc>
        <w:tc>
          <w:tcPr>
            <w:tcW w:w="5640" w:type="dxa"/>
            <w:tcMar>
              <w:top w:w="100" w:type="dxa"/>
              <w:left w:w="100" w:type="dxa"/>
              <w:bottom w:w="100" w:type="dxa"/>
              <w:right w:w="100" w:type="dxa"/>
            </w:tcMar>
          </w:tcPr>
          <w:p w14:paraId="53EEB6B5" w14:textId="77777777" w:rsidR="00037D5F" w:rsidRPr="00152A20" w:rsidRDefault="008E5AA1">
            <w:pPr>
              <w:widowControl w:val="0"/>
              <w:spacing w:after="0" w:line="240" w:lineRule="auto"/>
              <w:jc w:val="left"/>
              <w:rPr>
                <w:lang w:val="en-GB"/>
              </w:rPr>
            </w:pPr>
            <w:r w:rsidRPr="00152A20">
              <w:rPr>
                <w:lang w:val="en-GB"/>
              </w:rPr>
              <w:t>Number of students, headcount</w:t>
            </w:r>
          </w:p>
        </w:tc>
      </w:tr>
      <w:tr w:rsidR="00037D5F" w:rsidRPr="0029475F" w14:paraId="6DAD8372" w14:textId="77777777">
        <w:tc>
          <w:tcPr>
            <w:tcW w:w="4050" w:type="dxa"/>
            <w:tcMar>
              <w:top w:w="100" w:type="dxa"/>
              <w:left w:w="100" w:type="dxa"/>
              <w:bottom w:w="100" w:type="dxa"/>
              <w:right w:w="100" w:type="dxa"/>
            </w:tcMar>
          </w:tcPr>
          <w:p w14:paraId="572D1413" w14:textId="77777777" w:rsidR="00037D5F" w:rsidRPr="00152A20" w:rsidRDefault="008E5AA1">
            <w:pPr>
              <w:widowControl w:val="0"/>
              <w:spacing w:after="0" w:line="240" w:lineRule="auto"/>
              <w:jc w:val="left"/>
              <w:rPr>
                <w:lang w:val="en-GB"/>
              </w:rPr>
            </w:pPr>
            <w:r w:rsidRPr="00152A20">
              <w:rPr>
                <w:lang w:val="en-GB"/>
              </w:rPr>
              <w:t>Part-time education</w:t>
            </w:r>
          </w:p>
        </w:tc>
        <w:tc>
          <w:tcPr>
            <w:tcW w:w="5640" w:type="dxa"/>
            <w:tcMar>
              <w:top w:w="100" w:type="dxa"/>
              <w:left w:w="100" w:type="dxa"/>
              <w:bottom w:w="100" w:type="dxa"/>
              <w:right w:w="100" w:type="dxa"/>
            </w:tcMar>
          </w:tcPr>
          <w:p w14:paraId="77680C51" w14:textId="2751A5E2" w:rsidR="00037D5F" w:rsidRPr="00152A20" w:rsidRDefault="008E5AA1" w:rsidP="000402FA">
            <w:pPr>
              <w:widowControl w:val="0"/>
              <w:spacing w:after="0" w:line="240" w:lineRule="auto"/>
              <w:jc w:val="left"/>
              <w:rPr>
                <w:lang w:val="en-GB"/>
              </w:rPr>
            </w:pPr>
            <w:r w:rsidRPr="00152A20">
              <w:rPr>
                <w:lang w:val="en-GB"/>
              </w:rPr>
              <w:t xml:space="preserve">Share of full-time students </w:t>
            </w:r>
            <w:r w:rsidR="00F04EC1">
              <w:rPr>
                <w:lang w:val="en-GB"/>
              </w:rPr>
              <w:t>in</w:t>
            </w:r>
            <w:r w:rsidRPr="00152A20">
              <w:rPr>
                <w:lang w:val="en-GB"/>
              </w:rPr>
              <w:t xml:space="preserve"> all students, %</w:t>
            </w:r>
          </w:p>
        </w:tc>
      </w:tr>
      <w:tr w:rsidR="00037D5F" w:rsidRPr="0029475F" w14:paraId="48BD2FBD" w14:textId="77777777">
        <w:tc>
          <w:tcPr>
            <w:tcW w:w="4050" w:type="dxa"/>
            <w:tcMar>
              <w:top w:w="100" w:type="dxa"/>
              <w:left w:w="100" w:type="dxa"/>
              <w:bottom w:w="100" w:type="dxa"/>
              <w:right w:w="100" w:type="dxa"/>
            </w:tcMar>
          </w:tcPr>
          <w:p w14:paraId="3498AEB7" w14:textId="02558654" w:rsidR="00037D5F" w:rsidRPr="00152A20" w:rsidRDefault="008E5AA1">
            <w:pPr>
              <w:widowControl w:val="0"/>
              <w:spacing w:after="0" w:line="240" w:lineRule="auto"/>
              <w:jc w:val="left"/>
              <w:rPr>
                <w:lang w:val="en-GB"/>
              </w:rPr>
            </w:pPr>
            <w:r w:rsidRPr="00152A20">
              <w:rPr>
                <w:lang w:val="en-GB"/>
              </w:rPr>
              <w:lastRenderedPageBreak/>
              <w:t>Privati</w:t>
            </w:r>
            <w:r w:rsidR="00F04EC1">
              <w:rPr>
                <w:lang w:val="en-GB"/>
              </w:rPr>
              <w:t>s</w:t>
            </w:r>
            <w:r w:rsidRPr="00152A20">
              <w:rPr>
                <w:lang w:val="en-GB"/>
              </w:rPr>
              <w:t>ation of costs</w:t>
            </w:r>
          </w:p>
        </w:tc>
        <w:tc>
          <w:tcPr>
            <w:tcW w:w="5640" w:type="dxa"/>
            <w:tcMar>
              <w:top w:w="100" w:type="dxa"/>
              <w:left w:w="100" w:type="dxa"/>
              <w:bottom w:w="100" w:type="dxa"/>
              <w:right w:w="100" w:type="dxa"/>
            </w:tcMar>
          </w:tcPr>
          <w:p w14:paraId="60737786" w14:textId="7A8D158D" w:rsidR="00037D5F" w:rsidRPr="00152A20" w:rsidRDefault="008E5AA1" w:rsidP="000402FA">
            <w:pPr>
              <w:spacing w:before="200" w:line="240" w:lineRule="auto"/>
              <w:rPr>
                <w:lang w:val="en-GB"/>
              </w:rPr>
            </w:pPr>
            <w:r w:rsidRPr="00152A20">
              <w:rPr>
                <w:i/>
                <w:lang w:val="en-GB"/>
              </w:rPr>
              <w:t>Non-state revenues</w:t>
            </w:r>
            <w:r w:rsidRPr="00152A20">
              <w:rPr>
                <w:lang w:val="en-GB"/>
              </w:rPr>
              <w:t xml:space="preserve"> from education activities </w:t>
            </w:r>
            <w:r w:rsidR="000402FA" w:rsidRPr="00152A20">
              <w:rPr>
                <w:lang w:val="en-GB"/>
              </w:rPr>
              <w:t xml:space="preserve">as </w:t>
            </w:r>
            <w:r w:rsidR="00F04EC1">
              <w:rPr>
                <w:lang w:val="en-GB"/>
              </w:rPr>
              <w:t xml:space="preserve">a </w:t>
            </w:r>
            <w:r w:rsidR="000402FA" w:rsidRPr="00152A20">
              <w:rPr>
                <w:lang w:val="en-GB"/>
              </w:rPr>
              <w:t>share of</w:t>
            </w:r>
            <w:r w:rsidRPr="00152A20">
              <w:rPr>
                <w:lang w:val="en-GB"/>
              </w:rPr>
              <w:t xml:space="preserve"> overall revenues from education activity</w:t>
            </w:r>
          </w:p>
        </w:tc>
      </w:tr>
      <w:tr w:rsidR="00037D5F" w:rsidRPr="00152A20" w14:paraId="10ABF408" w14:textId="77777777">
        <w:tc>
          <w:tcPr>
            <w:tcW w:w="4050" w:type="dxa"/>
            <w:tcMar>
              <w:top w:w="100" w:type="dxa"/>
              <w:left w:w="100" w:type="dxa"/>
              <w:bottom w:w="100" w:type="dxa"/>
              <w:right w:w="100" w:type="dxa"/>
            </w:tcMar>
          </w:tcPr>
          <w:p w14:paraId="1CDD3A42" w14:textId="77777777" w:rsidR="00037D5F" w:rsidRPr="00152A20" w:rsidRDefault="008E5AA1">
            <w:pPr>
              <w:widowControl w:val="0"/>
              <w:spacing w:after="0" w:line="240" w:lineRule="auto"/>
              <w:jc w:val="left"/>
              <w:rPr>
                <w:lang w:val="en-GB"/>
              </w:rPr>
            </w:pPr>
            <w:r w:rsidRPr="00152A20">
              <w:rPr>
                <w:lang w:val="en-GB"/>
              </w:rPr>
              <w:t>Subject mix</w:t>
            </w:r>
          </w:p>
        </w:tc>
        <w:tc>
          <w:tcPr>
            <w:tcW w:w="5640" w:type="dxa"/>
            <w:tcMar>
              <w:top w:w="100" w:type="dxa"/>
              <w:left w:w="100" w:type="dxa"/>
              <w:bottom w:w="100" w:type="dxa"/>
              <w:right w:w="100" w:type="dxa"/>
            </w:tcMar>
          </w:tcPr>
          <w:p w14:paraId="6E10AC39" w14:textId="77777777" w:rsidR="00037D5F" w:rsidRPr="00152A20" w:rsidRDefault="008E5AA1">
            <w:pPr>
              <w:spacing w:before="200" w:line="240" w:lineRule="auto"/>
              <w:rPr>
                <w:lang w:val="en-GB"/>
              </w:rPr>
            </w:pPr>
            <w:proofErr w:type="spellStart"/>
            <w:r w:rsidRPr="00152A20">
              <w:rPr>
                <w:lang w:val="en-GB"/>
              </w:rPr>
              <w:t>Herfindahl</w:t>
            </w:r>
            <w:proofErr w:type="spellEnd"/>
            <w:r w:rsidRPr="00152A20">
              <w:rPr>
                <w:lang w:val="en-GB"/>
              </w:rPr>
              <w:t xml:space="preserve">-Hirschman index </w:t>
            </w:r>
          </w:p>
        </w:tc>
      </w:tr>
      <w:tr w:rsidR="00037D5F" w:rsidRPr="0029475F" w14:paraId="5C21DCF1" w14:textId="77777777">
        <w:trPr>
          <w:trHeight w:val="440"/>
        </w:trPr>
        <w:tc>
          <w:tcPr>
            <w:tcW w:w="4050" w:type="dxa"/>
            <w:vMerge w:val="restart"/>
            <w:tcMar>
              <w:top w:w="100" w:type="dxa"/>
              <w:left w:w="100" w:type="dxa"/>
              <w:bottom w:w="100" w:type="dxa"/>
              <w:right w:w="100" w:type="dxa"/>
            </w:tcMar>
          </w:tcPr>
          <w:p w14:paraId="2FBD8AFC" w14:textId="77777777" w:rsidR="00037D5F" w:rsidRPr="00152A20" w:rsidRDefault="008E5AA1">
            <w:pPr>
              <w:widowControl w:val="0"/>
              <w:spacing w:after="0" w:line="240" w:lineRule="auto"/>
              <w:jc w:val="left"/>
              <w:rPr>
                <w:lang w:val="en-GB"/>
              </w:rPr>
            </w:pPr>
            <w:r w:rsidRPr="00152A20">
              <w:rPr>
                <w:lang w:val="en-GB"/>
              </w:rPr>
              <w:t>Research</w:t>
            </w:r>
          </w:p>
        </w:tc>
        <w:tc>
          <w:tcPr>
            <w:tcW w:w="5640" w:type="dxa"/>
            <w:tcMar>
              <w:top w:w="100" w:type="dxa"/>
              <w:left w:w="100" w:type="dxa"/>
              <w:bottom w:w="100" w:type="dxa"/>
              <w:right w:w="100" w:type="dxa"/>
            </w:tcMar>
          </w:tcPr>
          <w:p w14:paraId="1589A23E" w14:textId="77777777" w:rsidR="00037D5F" w:rsidRPr="00152A20" w:rsidRDefault="008E5AA1">
            <w:pPr>
              <w:spacing w:before="200" w:line="240" w:lineRule="auto"/>
              <w:rPr>
                <w:lang w:val="en-GB"/>
              </w:rPr>
            </w:pPr>
            <w:r w:rsidRPr="00152A20">
              <w:rPr>
                <w:lang w:val="en-GB"/>
              </w:rPr>
              <w:t xml:space="preserve">R&amp;D revenues per faculty </w:t>
            </w:r>
          </w:p>
        </w:tc>
      </w:tr>
      <w:tr w:rsidR="00037D5F" w:rsidRPr="0029475F" w14:paraId="754320FB" w14:textId="77777777">
        <w:trPr>
          <w:trHeight w:val="440"/>
        </w:trPr>
        <w:tc>
          <w:tcPr>
            <w:tcW w:w="4050" w:type="dxa"/>
            <w:vMerge/>
            <w:tcMar>
              <w:top w:w="100" w:type="dxa"/>
              <w:left w:w="100" w:type="dxa"/>
              <w:bottom w:w="100" w:type="dxa"/>
              <w:right w:w="100" w:type="dxa"/>
            </w:tcMar>
          </w:tcPr>
          <w:p w14:paraId="1A260124" w14:textId="77777777" w:rsidR="00037D5F" w:rsidRPr="00152A20" w:rsidRDefault="00037D5F">
            <w:pPr>
              <w:widowControl w:val="0"/>
              <w:spacing w:after="0" w:line="240" w:lineRule="auto"/>
              <w:jc w:val="left"/>
              <w:rPr>
                <w:lang w:val="en-GB"/>
              </w:rPr>
            </w:pPr>
          </w:p>
        </w:tc>
        <w:tc>
          <w:tcPr>
            <w:tcW w:w="5640" w:type="dxa"/>
            <w:tcMar>
              <w:top w:w="100" w:type="dxa"/>
              <w:left w:w="100" w:type="dxa"/>
              <w:bottom w:w="100" w:type="dxa"/>
              <w:right w:w="100" w:type="dxa"/>
            </w:tcMar>
          </w:tcPr>
          <w:p w14:paraId="3F0671A8" w14:textId="77777777" w:rsidR="00037D5F" w:rsidRPr="00152A20" w:rsidRDefault="008E5AA1">
            <w:pPr>
              <w:spacing w:before="200" w:line="240" w:lineRule="auto"/>
              <w:rPr>
                <w:lang w:val="en-GB"/>
              </w:rPr>
            </w:pPr>
            <w:r w:rsidRPr="00152A20">
              <w:rPr>
                <w:lang w:val="en-GB"/>
              </w:rPr>
              <w:t xml:space="preserve">Number of publications in Scopus per 100 faculty </w:t>
            </w:r>
          </w:p>
        </w:tc>
      </w:tr>
      <w:tr w:rsidR="00037D5F" w:rsidRPr="0029475F" w14:paraId="1DFD8A50" w14:textId="77777777">
        <w:tc>
          <w:tcPr>
            <w:tcW w:w="4050" w:type="dxa"/>
            <w:tcMar>
              <w:top w:w="100" w:type="dxa"/>
              <w:left w:w="100" w:type="dxa"/>
              <w:bottom w:w="100" w:type="dxa"/>
              <w:right w:w="100" w:type="dxa"/>
            </w:tcMar>
          </w:tcPr>
          <w:p w14:paraId="2B552D0E" w14:textId="144ADA5D" w:rsidR="00037D5F" w:rsidRPr="00152A20" w:rsidRDefault="008E5AA1">
            <w:pPr>
              <w:widowControl w:val="0"/>
              <w:spacing w:after="0" w:line="240" w:lineRule="auto"/>
              <w:jc w:val="left"/>
              <w:rPr>
                <w:lang w:val="en-GB"/>
              </w:rPr>
            </w:pPr>
            <w:r w:rsidRPr="00152A20">
              <w:rPr>
                <w:lang w:val="en-GB"/>
              </w:rPr>
              <w:t>Balance between bachelor/specialist and master program</w:t>
            </w:r>
            <w:r w:rsidR="00F04EC1">
              <w:rPr>
                <w:lang w:val="en-GB"/>
              </w:rPr>
              <w:t>me</w:t>
            </w:r>
            <w:r w:rsidRPr="00152A20">
              <w:rPr>
                <w:lang w:val="en-GB"/>
              </w:rPr>
              <w:t>s</w:t>
            </w:r>
          </w:p>
        </w:tc>
        <w:tc>
          <w:tcPr>
            <w:tcW w:w="5640" w:type="dxa"/>
            <w:tcMar>
              <w:top w:w="100" w:type="dxa"/>
              <w:left w:w="100" w:type="dxa"/>
              <w:bottom w:w="100" w:type="dxa"/>
              <w:right w:w="100" w:type="dxa"/>
            </w:tcMar>
          </w:tcPr>
          <w:p w14:paraId="7DAE2CE7" w14:textId="260EF2F9" w:rsidR="00037D5F" w:rsidRPr="00152A20" w:rsidRDefault="008E5AA1" w:rsidP="000402FA">
            <w:pPr>
              <w:widowControl w:val="0"/>
              <w:spacing w:after="0" w:line="240" w:lineRule="auto"/>
              <w:jc w:val="left"/>
              <w:rPr>
                <w:lang w:val="en-GB"/>
              </w:rPr>
            </w:pPr>
            <w:r w:rsidRPr="00152A20">
              <w:rPr>
                <w:lang w:val="en-GB"/>
              </w:rPr>
              <w:t xml:space="preserve">Share of </w:t>
            </w:r>
            <w:r w:rsidR="000402FA" w:rsidRPr="00152A20">
              <w:rPr>
                <w:lang w:val="en-GB"/>
              </w:rPr>
              <w:t>master</w:t>
            </w:r>
            <w:r w:rsidRPr="00152A20">
              <w:rPr>
                <w:lang w:val="en-GB"/>
              </w:rPr>
              <w:t xml:space="preserve"> students </w:t>
            </w:r>
            <w:r w:rsidR="00F04EC1">
              <w:rPr>
                <w:lang w:val="en-GB"/>
              </w:rPr>
              <w:t>in</w:t>
            </w:r>
            <w:r w:rsidRPr="00152A20">
              <w:rPr>
                <w:lang w:val="en-GB"/>
              </w:rPr>
              <w:t xml:space="preserve"> all students, %</w:t>
            </w:r>
          </w:p>
        </w:tc>
      </w:tr>
      <w:tr w:rsidR="00037D5F" w:rsidRPr="00152A20" w14:paraId="50305B6C" w14:textId="77777777">
        <w:tc>
          <w:tcPr>
            <w:tcW w:w="4050" w:type="dxa"/>
            <w:tcMar>
              <w:top w:w="100" w:type="dxa"/>
              <w:left w:w="100" w:type="dxa"/>
              <w:bottom w:w="100" w:type="dxa"/>
              <w:right w:w="100" w:type="dxa"/>
            </w:tcMar>
          </w:tcPr>
          <w:p w14:paraId="22AFE439" w14:textId="77777777" w:rsidR="00037D5F" w:rsidRPr="00152A20" w:rsidRDefault="008E5AA1">
            <w:pPr>
              <w:widowControl w:val="0"/>
              <w:spacing w:after="0" w:line="240" w:lineRule="auto"/>
              <w:jc w:val="left"/>
              <w:rPr>
                <w:lang w:val="en-GB"/>
              </w:rPr>
            </w:pPr>
            <w:r w:rsidRPr="00152A20">
              <w:rPr>
                <w:lang w:val="en-GB"/>
              </w:rPr>
              <w:t>Unified State Exam</w:t>
            </w:r>
          </w:p>
        </w:tc>
        <w:tc>
          <w:tcPr>
            <w:tcW w:w="5640" w:type="dxa"/>
            <w:tcMar>
              <w:top w:w="100" w:type="dxa"/>
              <w:left w:w="100" w:type="dxa"/>
              <w:bottom w:w="100" w:type="dxa"/>
              <w:right w:w="100" w:type="dxa"/>
            </w:tcMar>
          </w:tcPr>
          <w:p w14:paraId="50D32B48" w14:textId="77777777" w:rsidR="00037D5F" w:rsidRPr="00152A20" w:rsidRDefault="008E5AA1">
            <w:pPr>
              <w:spacing w:before="200" w:line="240" w:lineRule="auto"/>
              <w:rPr>
                <w:lang w:val="en-GB"/>
              </w:rPr>
            </w:pPr>
            <w:r w:rsidRPr="00152A20">
              <w:rPr>
                <w:lang w:val="en-GB"/>
              </w:rPr>
              <w:t>Average exam score</w:t>
            </w:r>
            <w:r w:rsidR="000402FA" w:rsidRPr="00152A20">
              <w:rPr>
                <w:lang w:val="en-GB"/>
              </w:rPr>
              <w:t>s</w:t>
            </w:r>
          </w:p>
        </w:tc>
      </w:tr>
      <w:tr w:rsidR="00037D5F" w:rsidRPr="0029475F" w14:paraId="7AD0E4AE" w14:textId="77777777">
        <w:tc>
          <w:tcPr>
            <w:tcW w:w="4050" w:type="dxa"/>
            <w:tcMar>
              <w:top w:w="100" w:type="dxa"/>
              <w:left w:w="100" w:type="dxa"/>
              <w:bottom w:w="100" w:type="dxa"/>
              <w:right w:w="100" w:type="dxa"/>
            </w:tcMar>
          </w:tcPr>
          <w:p w14:paraId="6A301825" w14:textId="77777777" w:rsidR="00037D5F" w:rsidRPr="00152A20" w:rsidRDefault="008E5AA1">
            <w:pPr>
              <w:widowControl w:val="0"/>
              <w:spacing w:after="0" w:line="240" w:lineRule="auto"/>
              <w:jc w:val="left"/>
              <w:rPr>
                <w:lang w:val="en-GB"/>
              </w:rPr>
            </w:pPr>
            <w:r w:rsidRPr="00152A20">
              <w:rPr>
                <w:lang w:val="en-GB"/>
              </w:rPr>
              <w:t>Selectivity</w:t>
            </w:r>
          </w:p>
        </w:tc>
        <w:tc>
          <w:tcPr>
            <w:tcW w:w="5640" w:type="dxa"/>
            <w:tcMar>
              <w:top w:w="100" w:type="dxa"/>
              <w:left w:w="100" w:type="dxa"/>
              <w:bottom w:w="100" w:type="dxa"/>
              <w:right w:w="100" w:type="dxa"/>
            </w:tcMar>
          </w:tcPr>
          <w:p w14:paraId="521B4272" w14:textId="77777777" w:rsidR="00037D5F" w:rsidRPr="00152A20" w:rsidRDefault="008E5AA1">
            <w:pPr>
              <w:spacing w:before="200" w:line="240" w:lineRule="auto"/>
              <w:rPr>
                <w:lang w:val="en-GB"/>
              </w:rPr>
            </w:pPr>
            <w:r w:rsidRPr="00152A20">
              <w:rPr>
                <w:lang w:val="en-GB"/>
              </w:rPr>
              <w:t>the number of students, admitted by the school Olympiad</w:t>
            </w:r>
          </w:p>
        </w:tc>
      </w:tr>
      <w:tr w:rsidR="00037D5F" w:rsidRPr="0029475F" w14:paraId="75E3555E" w14:textId="77777777">
        <w:tc>
          <w:tcPr>
            <w:tcW w:w="4050" w:type="dxa"/>
            <w:tcMar>
              <w:top w:w="100" w:type="dxa"/>
              <w:left w:w="100" w:type="dxa"/>
              <w:bottom w:w="100" w:type="dxa"/>
              <w:right w:w="100" w:type="dxa"/>
            </w:tcMar>
          </w:tcPr>
          <w:p w14:paraId="3AE1DC2D" w14:textId="77777777" w:rsidR="00037D5F" w:rsidRPr="00152A20" w:rsidRDefault="008E5AA1">
            <w:pPr>
              <w:widowControl w:val="0"/>
              <w:spacing w:after="0" w:line="240" w:lineRule="auto"/>
              <w:jc w:val="left"/>
              <w:rPr>
                <w:lang w:val="en-GB"/>
              </w:rPr>
            </w:pPr>
            <w:r w:rsidRPr="00152A20">
              <w:rPr>
                <w:lang w:val="en-GB"/>
              </w:rPr>
              <w:t>State support</w:t>
            </w:r>
          </w:p>
        </w:tc>
        <w:tc>
          <w:tcPr>
            <w:tcW w:w="5640" w:type="dxa"/>
            <w:tcMar>
              <w:top w:w="100" w:type="dxa"/>
              <w:left w:w="100" w:type="dxa"/>
              <w:bottom w:w="100" w:type="dxa"/>
              <w:right w:w="100" w:type="dxa"/>
            </w:tcMar>
          </w:tcPr>
          <w:p w14:paraId="05C872A8" w14:textId="77777777" w:rsidR="00037D5F" w:rsidRPr="00152A20" w:rsidRDefault="008E5AA1">
            <w:pPr>
              <w:spacing w:before="200" w:line="240" w:lineRule="auto"/>
              <w:rPr>
                <w:lang w:val="en-GB"/>
              </w:rPr>
            </w:pPr>
            <w:r w:rsidRPr="00152A20">
              <w:rPr>
                <w:lang w:val="en-GB"/>
              </w:rPr>
              <w:t>the share of federal funding in all revenues</w:t>
            </w:r>
          </w:p>
        </w:tc>
      </w:tr>
    </w:tbl>
    <w:p w14:paraId="2D4EFC26" w14:textId="77777777" w:rsidR="00037D5F" w:rsidRPr="00152A20" w:rsidRDefault="00037D5F">
      <w:pPr>
        <w:pStyle w:val="Heading3"/>
        <w:rPr>
          <w:lang w:val="en-GB"/>
        </w:rPr>
      </w:pPr>
    </w:p>
    <w:p w14:paraId="4A2C012A" w14:textId="77777777" w:rsidR="00037D5F" w:rsidRPr="00152A20" w:rsidRDefault="008E5AA1">
      <w:pPr>
        <w:pStyle w:val="Heading3"/>
        <w:rPr>
          <w:lang w:val="en-GB"/>
        </w:rPr>
      </w:pPr>
      <w:r w:rsidRPr="00152A20">
        <w:rPr>
          <w:lang w:val="en-GB"/>
        </w:rPr>
        <w:t>Approach, Sample &amp; Data</w:t>
      </w:r>
    </w:p>
    <w:p w14:paraId="15358D6A" w14:textId="64C029A1" w:rsidR="00037D5F" w:rsidRPr="00152A20" w:rsidRDefault="008E5AA1">
      <w:pPr>
        <w:rPr>
          <w:lang w:val="en-GB"/>
        </w:rPr>
      </w:pPr>
      <w:r w:rsidRPr="00152A20">
        <w:rPr>
          <w:lang w:val="en-GB"/>
        </w:rPr>
        <w:t>The general sample consists of 1</w:t>
      </w:r>
      <w:r w:rsidR="000402FA" w:rsidRPr="00152A20">
        <w:rPr>
          <w:lang w:val="en-GB"/>
        </w:rPr>
        <w:t>,</w:t>
      </w:r>
      <w:r w:rsidRPr="00152A20">
        <w:rPr>
          <w:lang w:val="en-GB"/>
        </w:rPr>
        <w:t>653 parent and satellite HEIs. For</w:t>
      </w:r>
      <w:r w:rsidR="000402FA" w:rsidRPr="00152A20">
        <w:rPr>
          <w:lang w:val="en-GB"/>
        </w:rPr>
        <w:t xml:space="preserve"> the</w:t>
      </w:r>
      <w:r w:rsidRPr="00152A20">
        <w:rPr>
          <w:lang w:val="en-GB"/>
        </w:rPr>
        <w:t xml:space="preserve"> quantitative analysis we take only 772 parent HEIs, excluding </w:t>
      </w:r>
      <w:r w:rsidR="000402FA" w:rsidRPr="00152A20">
        <w:rPr>
          <w:lang w:val="en-GB"/>
        </w:rPr>
        <w:t xml:space="preserve">the </w:t>
      </w:r>
      <w:r w:rsidRPr="00152A20">
        <w:rPr>
          <w:lang w:val="en-GB"/>
        </w:rPr>
        <w:t xml:space="preserve">satellite HEIs as </w:t>
      </w:r>
      <w:r w:rsidR="000402FA" w:rsidRPr="00152A20">
        <w:rPr>
          <w:lang w:val="en-GB"/>
        </w:rPr>
        <w:t>a</w:t>
      </w:r>
      <w:r w:rsidRPr="00152A20">
        <w:rPr>
          <w:lang w:val="en-GB"/>
        </w:rPr>
        <w:t xml:space="preserve"> relatively homogeneous group. We exclude some organi</w:t>
      </w:r>
      <w:r w:rsidR="00334B59">
        <w:rPr>
          <w:lang w:val="en-GB"/>
        </w:rPr>
        <w:t>s</w:t>
      </w:r>
      <w:r w:rsidRPr="00152A20">
        <w:rPr>
          <w:lang w:val="en-GB"/>
        </w:rPr>
        <w:t>ations that are in the process of reorgani</w:t>
      </w:r>
      <w:r w:rsidR="00334B59">
        <w:rPr>
          <w:lang w:val="en-GB"/>
        </w:rPr>
        <w:t>s</w:t>
      </w:r>
      <w:r w:rsidRPr="00152A20">
        <w:rPr>
          <w:lang w:val="en-GB"/>
        </w:rPr>
        <w:t xml:space="preserve">ation, </w:t>
      </w:r>
      <w:r w:rsidR="0079027A">
        <w:rPr>
          <w:lang w:val="en-GB"/>
        </w:rPr>
        <w:t xml:space="preserve">as well as </w:t>
      </w:r>
      <w:r w:rsidRPr="00152A20">
        <w:rPr>
          <w:lang w:val="en-GB"/>
        </w:rPr>
        <w:t>HEIs with unreliable data (according to the Monitoring</w:t>
      </w:r>
      <w:r w:rsidR="000402FA" w:rsidRPr="00152A20">
        <w:rPr>
          <w:lang w:val="en-GB"/>
        </w:rPr>
        <w:t xml:space="preserve"> project</w:t>
      </w:r>
      <w:r w:rsidRPr="00152A20">
        <w:rPr>
          <w:lang w:val="en-GB"/>
        </w:rPr>
        <w:t xml:space="preserve">), arts and military schools (due to the specificity of their activities) and significant outliers. </w:t>
      </w:r>
    </w:p>
    <w:p w14:paraId="427ED73A" w14:textId="3B09FE46" w:rsidR="00037D5F" w:rsidRPr="00152A20" w:rsidRDefault="008E5AA1">
      <w:pPr>
        <w:rPr>
          <w:lang w:val="en-GB"/>
        </w:rPr>
      </w:pPr>
      <w:r w:rsidRPr="00152A20">
        <w:rPr>
          <w:lang w:val="en-GB"/>
        </w:rPr>
        <w:t xml:space="preserve">We use Ward’s agglomerative hierarchical clustering technique. Euclidean distance is chosen as a metric, </w:t>
      </w:r>
      <w:r w:rsidR="00334B59">
        <w:rPr>
          <w:lang w:val="en-GB"/>
        </w:rPr>
        <w:t xml:space="preserve">and </w:t>
      </w:r>
      <w:r w:rsidRPr="00152A20">
        <w:rPr>
          <w:lang w:val="en-GB"/>
        </w:rPr>
        <w:t>all variables are standardi</w:t>
      </w:r>
      <w:r w:rsidR="00334B59">
        <w:rPr>
          <w:lang w:val="en-GB"/>
        </w:rPr>
        <w:t>s</w:t>
      </w:r>
      <w:r w:rsidRPr="00152A20">
        <w:rPr>
          <w:lang w:val="en-GB"/>
        </w:rPr>
        <w:t xml:space="preserve">ed into Z-scores. Several parameters have high </w:t>
      </w:r>
      <w:r w:rsidR="000402FA" w:rsidRPr="00152A20">
        <w:rPr>
          <w:lang w:val="en-GB"/>
        </w:rPr>
        <w:t xml:space="preserve">(and significant) </w:t>
      </w:r>
      <w:r w:rsidRPr="00152A20">
        <w:rPr>
          <w:lang w:val="en-GB"/>
        </w:rPr>
        <w:t>level</w:t>
      </w:r>
      <w:r w:rsidR="000402FA" w:rsidRPr="00152A20">
        <w:rPr>
          <w:lang w:val="en-GB"/>
        </w:rPr>
        <w:t>s</w:t>
      </w:r>
      <w:r w:rsidRPr="00152A20">
        <w:rPr>
          <w:lang w:val="en-GB"/>
        </w:rPr>
        <w:t xml:space="preserve"> of correlation</w:t>
      </w:r>
      <w:r w:rsidR="000402FA" w:rsidRPr="00152A20">
        <w:rPr>
          <w:lang w:val="en-GB"/>
        </w:rPr>
        <w:t>.</w:t>
      </w:r>
      <w:r w:rsidRPr="00152A20">
        <w:rPr>
          <w:lang w:val="en-GB"/>
        </w:rPr>
        <w:t xml:space="preserve"> </w:t>
      </w:r>
      <w:r w:rsidRPr="00152A20">
        <w:rPr>
          <w:color w:val="FF0000"/>
          <w:lang w:val="en-GB"/>
        </w:rPr>
        <w:t xml:space="preserve"> </w:t>
      </w:r>
    </w:p>
    <w:p w14:paraId="17139CFF" w14:textId="31935622" w:rsidR="00037D5F" w:rsidRPr="00152A20" w:rsidRDefault="008E5AA1">
      <w:pPr>
        <w:rPr>
          <w:lang w:val="en-GB"/>
        </w:rPr>
      </w:pPr>
      <w:r w:rsidRPr="00152A20">
        <w:rPr>
          <w:lang w:val="en-GB"/>
        </w:rPr>
        <w:lastRenderedPageBreak/>
        <w:t xml:space="preserve">All data </w:t>
      </w:r>
      <w:r w:rsidR="000402FA" w:rsidRPr="00152A20">
        <w:rPr>
          <w:lang w:val="en-GB"/>
        </w:rPr>
        <w:t xml:space="preserve">are retrieved </w:t>
      </w:r>
      <w:r w:rsidRPr="00152A20">
        <w:rPr>
          <w:lang w:val="en-GB"/>
        </w:rPr>
        <w:t xml:space="preserve">from </w:t>
      </w:r>
      <w:r w:rsidR="00334B59">
        <w:rPr>
          <w:lang w:val="en-GB"/>
        </w:rPr>
        <w:t>HEI</w:t>
      </w:r>
      <w:r w:rsidR="00334B59" w:rsidRPr="00152A20">
        <w:rPr>
          <w:lang w:val="en-GB"/>
        </w:rPr>
        <w:t xml:space="preserve"> Performance </w:t>
      </w:r>
      <w:r w:rsidRPr="00152A20">
        <w:rPr>
          <w:lang w:val="en-GB"/>
        </w:rPr>
        <w:t>Monitoring 2015 (Monitoring 2015). Considering the program</w:t>
      </w:r>
      <w:r w:rsidR="000402FA" w:rsidRPr="00152A20">
        <w:rPr>
          <w:lang w:val="en-GB"/>
        </w:rPr>
        <w:t>me</w:t>
      </w:r>
      <w:r w:rsidRPr="00152A20">
        <w:rPr>
          <w:lang w:val="en-GB"/>
        </w:rPr>
        <w:t xml:space="preserve"> diversification index</w:t>
      </w:r>
      <w:r w:rsidR="00334B59">
        <w:rPr>
          <w:lang w:val="en-GB"/>
        </w:rPr>
        <w:t xml:space="preserve"> and</w:t>
      </w:r>
      <w:r w:rsidRPr="00152A20">
        <w:rPr>
          <w:lang w:val="en-GB"/>
        </w:rPr>
        <w:t xml:space="preserve"> following previous studies </w:t>
      </w:r>
      <w:r w:rsidR="000402FA" w:rsidRPr="00152A20">
        <w:rPr>
          <w:lang w:val="en-GB"/>
        </w:rPr>
        <w:t>on</w:t>
      </w:r>
      <w:r w:rsidRPr="00152A20">
        <w:rPr>
          <w:lang w:val="en-GB"/>
        </w:rPr>
        <w:t xml:space="preserve"> program</w:t>
      </w:r>
      <w:r w:rsidR="000402FA" w:rsidRPr="00152A20">
        <w:rPr>
          <w:lang w:val="en-GB"/>
        </w:rPr>
        <w:t>me</w:t>
      </w:r>
      <w:r w:rsidRPr="00152A20">
        <w:rPr>
          <w:lang w:val="en-GB"/>
        </w:rPr>
        <w:t xml:space="preserve"> diversification in universities (e.g. </w:t>
      </w:r>
      <w:r w:rsidRPr="00152A20">
        <w:rPr>
          <w:shd w:val="clear" w:color="auto" w:fill="FFF5BF"/>
          <w:lang w:val="en-GB"/>
        </w:rPr>
        <w:t>Rossi 2009</w:t>
      </w:r>
      <w:r w:rsidRPr="00152A20">
        <w:rPr>
          <w:lang w:val="en-GB"/>
        </w:rPr>
        <w:t xml:space="preserve">), we use the </w:t>
      </w:r>
      <w:proofErr w:type="spellStart"/>
      <w:r w:rsidRPr="00152A20">
        <w:rPr>
          <w:lang w:val="en-GB"/>
        </w:rPr>
        <w:t>Herfindahl</w:t>
      </w:r>
      <w:proofErr w:type="spellEnd"/>
      <w:r w:rsidR="00334B59">
        <w:rPr>
          <w:lang w:val="en-GB"/>
        </w:rPr>
        <w:t>-</w:t>
      </w:r>
      <w:r w:rsidRPr="00152A20">
        <w:rPr>
          <w:lang w:val="en-GB"/>
        </w:rPr>
        <w:t xml:space="preserve">Hirschman index. </w:t>
      </w:r>
    </w:p>
    <w:p w14:paraId="667A9CB4" w14:textId="77777777" w:rsidR="00037D5F" w:rsidRPr="00152A20" w:rsidRDefault="008E5AA1">
      <w:pPr>
        <w:pStyle w:val="Heading3"/>
        <w:rPr>
          <w:lang w:val="en-GB"/>
        </w:rPr>
      </w:pPr>
      <w:r w:rsidRPr="00152A20">
        <w:rPr>
          <w:lang w:val="en-GB"/>
        </w:rPr>
        <w:t>Empirical results</w:t>
      </w:r>
    </w:p>
    <w:p w14:paraId="08DA9CD4" w14:textId="70083CA5" w:rsidR="00037D5F" w:rsidRPr="00152A20" w:rsidRDefault="008E5AA1">
      <w:pPr>
        <w:rPr>
          <w:lang w:val="en-GB"/>
        </w:rPr>
      </w:pPr>
      <w:r w:rsidRPr="00152A20">
        <w:rPr>
          <w:lang w:val="en-GB"/>
        </w:rPr>
        <w:t xml:space="preserve">The hierarchical clustering technique is flexible in terms of </w:t>
      </w:r>
      <w:r w:rsidR="00EA6755" w:rsidRPr="00152A20">
        <w:rPr>
          <w:lang w:val="en-GB"/>
        </w:rPr>
        <w:t xml:space="preserve">arriving at the </w:t>
      </w:r>
      <w:r w:rsidRPr="00152A20">
        <w:rPr>
          <w:lang w:val="en-GB"/>
        </w:rPr>
        <w:t xml:space="preserve">number of clusters. </w:t>
      </w:r>
      <w:r w:rsidR="00334B59">
        <w:rPr>
          <w:lang w:val="en-GB"/>
        </w:rPr>
        <w:t>A</w:t>
      </w:r>
      <w:r w:rsidRPr="00152A20">
        <w:rPr>
          <w:lang w:val="en-GB"/>
        </w:rPr>
        <w:t xml:space="preserve"> step-by-step analysis of relevance for each division revealed five clusters. Hence, </w:t>
      </w:r>
      <w:r w:rsidR="00334B59">
        <w:rPr>
          <w:shd w:val="clear" w:color="auto" w:fill="FFF5BF"/>
          <w:lang w:val="en-GB"/>
        </w:rPr>
        <w:t>T</w:t>
      </w:r>
      <w:r w:rsidRPr="00152A20">
        <w:rPr>
          <w:shd w:val="clear" w:color="auto" w:fill="FFF5BF"/>
          <w:lang w:val="en-GB"/>
        </w:rPr>
        <w:t xml:space="preserve">able </w:t>
      </w:r>
      <w:r w:rsidR="00334B59">
        <w:rPr>
          <w:shd w:val="clear" w:color="auto" w:fill="FFF5BF"/>
          <w:lang w:val="en-GB"/>
        </w:rPr>
        <w:t>7</w:t>
      </w:r>
      <w:r w:rsidRPr="00152A20">
        <w:rPr>
          <w:lang w:val="en-GB"/>
        </w:rPr>
        <w:t xml:space="preserve"> shows </w:t>
      </w:r>
      <w:r w:rsidR="00EA6755" w:rsidRPr="00152A20">
        <w:rPr>
          <w:lang w:val="en-GB"/>
        </w:rPr>
        <w:t xml:space="preserve">the contemporary </w:t>
      </w:r>
      <w:r w:rsidRPr="00152A20">
        <w:rPr>
          <w:lang w:val="en-GB"/>
        </w:rPr>
        <w:t>classification of HEIs in Russia.</w:t>
      </w:r>
    </w:p>
    <w:p w14:paraId="45BF3906" w14:textId="070B7151" w:rsidR="00037D5F" w:rsidRPr="00152A20" w:rsidRDefault="008E5AA1">
      <w:pPr>
        <w:spacing w:line="240" w:lineRule="auto"/>
        <w:rPr>
          <w:lang w:val="en-GB"/>
        </w:rPr>
      </w:pPr>
      <w:r w:rsidRPr="00152A20">
        <w:rPr>
          <w:i/>
          <w:shd w:val="clear" w:color="auto" w:fill="FFF5BF"/>
          <w:lang w:val="en-GB"/>
        </w:rPr>
        <w:t xml:space="preserve">Table </w:t>
      </w:r>
      <w:r w:rsidR="00334B59">
        <w:rPr>
          <w:i/>
          <w:shd w:val="clear" w:color="auto" w:fill="FFF5BF"/>
          <w:lang w:val="en-GB"/>
        </w:rPr>
        <w:t>7</w:t>
      </w:r>
      <w:r w:rsidRPr="00152A20">
        <w:rPr>
          <w:i/>
          <w:lang w:val="en-GB"/>
        </w:rPr>
        <w:t>. Classification of HEIs in Russia, 2015</w:t>
      </w:r>
    </w:p>
    <w:tbl>
      <w:tblPr>
        <w:tblStyle w:val="a5"/>
        <w:tblW w:w="970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680"/>
        <w:gridCol w:w="5730"/>
        <w:gridCol w:w="1470"/>
      </w:tblGrid>
      <w:tr w:rsidR="00037D5F" w:rsidRPr="0029475F" w14:paraId="5940C314" w14:textId="77777777">
        <w:tc>
          <w:tcPr>
            <w:tcW w:w="825" w:type="dxa"/>
            <w:tcBorders>
              <w:top w:val="nil"/>
              <w:left w:val="nil"/>
              <w:bottom w:val="single" w:sz="8" w:space="0" w:color="999999"/>
              <w:right w:val="single" w:sz="8" w:space="0" w:color="999999"/>
            </w:tcBorders>
            <w:tcMar>
              <w:top w:w="100" w:type="dxa"/>
              <w:left w:w="100" w:type="dxa"/>
              <w:bottom w:w="100" w:type="dxa"/>
              <w:right w:w="100" w:type="dxa"/>
            </w:tcMar>
          </w:tcPr>
          <w:p w14:paraId="53FB6402" w14:textId="77777777" w:rsidR="00037D5F" w:rsidRPr="00152A20" w:rsidRDefault="00037D5F">
            <w:pPr>
              <w:widowControl w:val="0"/>
              <w:spacing w:after="0" w:line="240" w:lineRule="auto"/>
              <w:contextualSpacing w:val="0"/>
              <w:jc w:val="center"/>
              <w:rPr>
                <w:lang w:val="en-GB"/>
              </w:rPr>
            </w:pPr>
          </w:p>
        </w:tc>
        <w:tc>
          <w:tcPr>
            <w:tcW w:w="168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6E388FD8" w14:textId="77777777" w:rsidR="00037D5F" w:rsidRPr="00152A20" w:rsidRDefault="008E5AA1">
            <w:pPr>
              <w:widowControl w:val="0"/>
              <w:spacing w:after="0" w:line="240" w:lineRule="auto"/>
              <w:contextualSpacing w:val="0"/>
              <w:jc w:val="center"/>
              <w:rPr>
                <w:lang w:val="en-GB"/>
              </w:rPr>
            </w:pPr>
            <w:r w:rsidRPr="00152A20">
              <w:rPr>
                <w:b/>
                <w:sz w:val="20"/>
                <w:szCs w:val="20"/>
                <w:lang w:val="en-GB"/>
              </w:rPr>
              <w:t xml:space="preserve">Type </w:t>
            </w:r>
          </w:p>
        </w:tc>
        <w:tc>
          <w:tcPr>
            <w:tcW w:w="573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AF3399F" w14:textId="77777777" w:rsidR="00037D5F" w:rsidRPr="00152A20" w:rsidRDefault="008E5AA1">
            <w:pPr>
              <w:widowControl w:val="0"/>
              <w:spacing w:after="0" w:line="240" w:lineRule="auto"/>
              <w:contextualSpacing w:val="0"/>
              <w:jc w:val="center"/>
              <w:rPr>
                <w:lang w:val="en-GB"/>
              </w:rPr>
            </w:pPr>
            <w:r w:rsidRPr="00152A20">
              <w:rPr>
                <w:b/>
                <w:sz w:val="20"/>
                <w:szCs w:val="20"/>
                <w:lang w:val="en-GB"/>
              </w:rPr>
              <w:t>Features</w:t>
            </w:r>
          </w:p>
        </w:tc>
        <w:tc>
          <w:tcPr>
            <w:tcW w:w="1470" w:type="dxa"/>
            <w:tcBorders>
              <w:top w:val="nil"/>
              <w:left w:val="single" w:sz="8" w:space="0" w:color="999999"/>
              <w:bottom w:val="single" w:sz="8" w:space="0" w:color="999999"/>
              <w:right w:val="nil"/>
            </w:tcBorders>
            <w:tcMar>
              <w:top w:w="100" w:type="dxa"/>
              <w:left w:w="100" w:type="dxa"/>
              <w:bottom w:w="100" w:type="dxa"/>
              <w:right w:w="100" w:type="dxa"/>
            </w:tcMar>
          </w:tcPr>
          <w:p w14:paraId="2FF64ED2" w14:textId="77777777" w:rsidR="00037D5F" w:rsidRPr="00152A20" w:rsidRDefault="008E5AA1">
            <w:pPr>
              <w:widowControl w:val="0"/>
              <w:spacing w:after="0" w:line="240" w:lineRule="auto"/>
              <w:contextualSpacing w:val="0"/>
              <w:jc w:val="center"/>
              <w:rPr>
                <w:lang w:val="en-GB"/>
              </w:rPr>
            </w:pPr>
            <w:r w:rsidRPr="00152A20">
              <w:rPr>
                <w:b/>
                <w:sz w:val="20"/>
                <w:szCs w:val="20"/>
                <w:lang w:val="en-GB"/>
              </w:rPr>
              <w:t xml:space="preserve">1 - # of HEIs </w:t>
            </w:r>
          </w:p>
          <w:p w14:paraId="173AA1C3" w14:textId="77777777" w:rsidR="00037D5F" w:rsidRPr="00152A20" w:rsidRDefault="008E5AA1">
            <w:pPr>
              <w:widowControl w:val="0"/>
              <w:spacing w:after="0" w:line="240" w:lineRule="auto"/>
              <w:contextualSpacing w:val="0"/>
              <w:jc w:val="center"/>
              <w:rPr>
                <w:lang w:val="en-GB"/>
              </w:rPr>
            </w:pPr>
            <w:r w:rsidRPr="00152A20">
              <w:rPr>
                <w:b/>
                <w:sz w:val="20"/>
                <w:szCs w:val="20"/>
                <w:lang w:val="en-GB"/>
              </w:rPr>
              <w:t xml:space="preserve">2 - % of HEIs  </w:t>
            </w:r>
          </w:p>
          <w:p w14:paraId="3F5C76A7" w14:textId="77777777" w:rsidR="00037D5F" w:rsidRPr="00152A20" w:rsidRDefault="008E5AA1">
            <w:pPr>
              <w:widowControl w:val="0"/>
              <w:spacing w:after="0" w:line="240" w:lineRule="auto"/>
              <w:contextualSpacing w:val="0"/>
              <w:jc w:val="center"/>
              <w:rPr>
                <w:lang w:val="en-GB"/>
              </w:rPr>
            </w:pPr>
            <w:r w:rsidRPr="00152A20">
              <w:rPr>
                <w:b/>
                <w:sz w:val="20"/>
                <w:szCs w:val="20"/>
                <w:lang w:val="en-GB"/>
              </w:rPr>
              <w:t>3 - % of students</w:t>
            </w:r>
            <w:r w:rsidRPr="00152A20">
              <w:rPr>
                <w:b/>
                <w:sz w:val="20"/>
                <w:szCs w:val="20"/>
                <w:vertAlign w:val="superscript"/>
                <w:lang w:val="en-GB"/>
              </w:rPr>
              <w:footnoteReference w:id="4"/>
            </w:r>
            <w:r w:rsidRPr="00152A20">
              <w:rPr>
                <w:b/>
                <w:sz w:val="20"/>
                <w:szCs w:val="20"/>
                <w:lang w:val="en-GB"/>
              </w:rPr>
              <w:t xml:space="preserve"> </w:t>
            </w:r>
          </w:p>
        </w:tc>
      </w:tr>
      <w:tr w:rsidR="00037D5F" w:rsidRPr="00152A20" w14:paraId="1CC62062" w14:textId="77777777">
        <w:tc>
          <w:tcPr>
            <w:tcW w:w="825" w:type="dxa"/>
            <w:tcBorders>
              <w:top w:val="single" w:sz="8" w:space="0" w:color="999999"/>
              <w:left w:val="nil"/>
              <w:bottom w:val="dotted" w:sz="8" w:space="0" w:color="999999"/>
              <w:right w:val="single" w:sz="8" w:space="0" w:color="999999"/>
            </w:tcBorders>
            <w:tcMar>
              <w:top w:w="100" w:type="dxa"/>
              <w:left w:w="100" w:type="dxa"/>
              <w:bottom w:w="100" w:type="dxa"/>
              <w:right w:w="100" w:type="dxa"/>
            </w:tcMar>
          </w:tcPr>
          <w:p w14:paraId="2488AB03" w14:textId="77777777" w:rsidR="00037D5F" w:rsidRPr="00152A20" w:rsidRDefault="008E5AA1">
            <w:pPr>
              <w:widowControl w:val="0"/>
              <w:spacing w:after="0" w:line="240" w:lineRule="auto"/>
              <w:contextualSpacing w:val="0"/>
              <w:jc w:val="left"/>
              <w:rPr>
                <w:lang w:val="en-GB"/>
              </w:rPr>
            </w:pPr>
            <w:r w:rsidRPr="00152A20">
              <w:rPr>
                <w:lang w:val="en-GB"/>
              </w:rPr>
              <w:t>1</w:t>
            </w:r>
          </w:p>
        </w:tc>
        <w:tc>
          <w:tcPr>
            <w:tcW w:w="1680" w:type="dxa"/>
            <w:tcBorders>
              <w:top w:val="single" w:sz="8" w:space="0" w:color="999999"/>
              <w:left w:val="single" w:sz="8" w:space="0" w:color="999999"/>
              <w:bottom w:val="dotted" w:sz="8" w:space="0" w:color="999999"/>
              <w:right w:val="single" w:sz="8" w:space="0" w:color="999999"/>
            </w:tcBorders>
            <w:tcMar>
              <w:top w:w="100" w:type="dxa"/>
              <w:left w:w="100" w:type="dxa"/>
              <w:bottom w:w="100" w:type="dxa"/>
              <w:right w:w="100" w:type="dxa"/>
            </w:tcMar>
          </w:tcPr>
          <w:p w14:paraId="2A155647" w14:textId="77777777" w:rsidR="00037D5F" w:rsidRPr="00152A20" w:rsidRDefault="008E5AA1">
            <w:pPr>
              <w:widowControl w:val="0"/>
              <w:spacing w:after="0" w:line="240" w:lineRule="auto"/>
              <w:contextualSpacing w:val="0"/>
              <w:jc w:val="left"/>
              <w:rPr>
                <w:lang w:val="en-GB"/>
              </w:rPr>
            </w:pPr>
            <w:r w:rsidRPr="00152A20">
              <w:rPr>
                <w:lang w:val="en-GB"/>
              </w:rPr>
              <w:t>Research universities</w:t>
            </w:r>
          </w:p>
        </w:tc>
        <w:tc>
          <w:tcPr>
            <w:tcW w:w="5730" w:type="dxa"/>
            <w:tcBorders>
              <w:top w:val="single" w:sz="8" w:space="0" w:color="999999"/>
              <w:left w:val="single" w:sz="8" w:space="0" w:color="999999"/>
              <w:bottom w:val="dotted" w:sz="8" w:space="0" w:color="999999"/>
              <w:right w:val="single" w:sz="8" w:space="0" w:color="999999"/>
            </w:tcBorders>
            <w:tcMar>
              <w:top w:w="100" w:type="dxa"/>
              <w:left w:w="100" w:type="dxa"/>
              <w:bottom w:w="100" w:type="dxa"/>
              <w:right w:w="100" w:type="dxa"/>
            </w:tcMar>
          </w:tcPr>
          <w:p w14:paraId="0F9BA083" w14:textId="5D06EF24" w:rsidR="00037D5F" w:rsidRPr="00152A20" w:rsidRDefault="008E5AA1" w:rsidP="00E9153B">
            <w:pPr>
              <w:widowControl w:val="0"/>
              <w:spacing w:after="0" w:line="240" w:lineRule="auto"/>
              <w:contextualSpacing w:val="0"/>
              <w:jc w:val="left"/>
              <w:rPr>
                <w:lang w:val="en-GB"/>
              </w:rPr>
            </w:pPr>
            <w:r w:rsidRPr="00152A20">
              <w:rPr>
                <w:lang w:val="en-GB"/>
              </w:rPr>
              <w:t xml:space="preserve">Diversified subject mix, research-productive, selective, attract talented students, MA students, attract fee-paying students, location </w:t>
            </w:r>
            <w:r w:rsidR="0020780D" w:rsidRPr="00152A20">
              <w:rPr>
                <w:lang w:val="en-GB"/>
              </w:rPr>
              <w:t>–</w:t>
            </w:r>
            <w:r w:rsidRPr="00152A20">
              <w:rPr>
                <w:lang w:val="en-GB"/>
              </w:rPr>
              <w:t xml:space="preserve"> </w:t>
            </w:r>
            <w:r w:rsidR="00E9153B" w:rsidRPr="00152A20">
              <w:rPr>
                <w:lang w:val="en-GB"/>
              </w:rPr>
              <w:t xml:space="preserve">particularly in </w:t>
            </w:r>
            <w:r w:rsidR="0020780D" w:rsidRPr="00152A20">
              <w:rPr>
                <w:lang w:val="en-GB"/>
              </w:rPr>
              <w:t>Moscow</w:t>
            </w:r>
            <w:r w:rsidR="00E9153B" w:rsidRPr="00152A20">
              <w:rPr>
                <w:lang w:val="en-GB"/>
              </w:rPr>
              <w:t xml:space="preserve"> and</w:t>
            </w:r>
            <w:r w:rsidR="0020780D" w:rsidRPr="00152A20">
              <w:rPr>
                <w:lang w:val="en-GB"/>
              </w:rPr>
              <w:t xml:space="preserve"> Saint</w:t>
            </w:r>
            <w:r w:rsidR="00334B59">
              <w:rPr>
                <w:lang w:val="en-GB"/>
              </w:rPr>
              <w:t xml:space="preserve"> </w:t>
            </w:r>
            <w:r w:rsidR="0020780D" w:rsidRPr="00152A20">
              <w:rPr>
                <w:lang w:val="en-GB"/>
              </w:rPr>
              <w:t>Petersburg</w:t>
            </w:r>
          </w:p>
        </w:tc>
        <w:tc>
          <w:tcPr>
            <w:tcW w:w="1470" w:type="dxa"/>
            <w:tcBorders>
              <w:top w:val="single" w:sz="8" w:space="0" w:color="999999"/>
              <w:left w:val="single" w:sz="8" w:space="0" w:color="999999"/>
              <w:bottom w:val="dotted" w:sz="8" w:space="0" w:color="999999"/>
              <w:right w:val="nil"/>
            </w:tcBorders>
            <w:tcMar>
              <w:top w:w="100" w:type="dxa"/>
              <w:left w:w="100" w:type="dxa"/>
              <w:bottom w:w="100" w:type="dxa"/>
              <w:right w:w="100" w:type="dxa"/>
            </w:tcMar>
          </w:tcPr>
          <w:p w14:paraId="60697656" w14:textId="77777777" w:rsidR="00037D5F" w:rsidRPr="00152A20" w:rsidRDefault="008E5AA1">
            <w:pPr>
              <w:widowControl w:val="0"/>
              <w:spacing w:after="0" w:line="240" w:lineRule="auto"/>
              <w:contextualSpacing w:val="0"/>
              <w:jc w:val="left"/>
              <w:rPr>
                <w:lang w:val="en-GB"/>
              </w:rPr>
            </w:pPr>
            <w:r w:rsidRPr="00152A20">
              <w:rPr>
                <w:lang w:val="en-GB"/>
              </w:rPr>
              <w:t>1 - 22</w:t>
            </w:r>
          </w:p>
          <w:p w14:paraId="48EDBCA6" w14:textId="77777777" w:rsidR="00037D5F" w:rsidRPr="00152A20" w:rsidRDefault="008E5AA1">
            <w:pPr>
              <w:widowControl w:val="0"/>
              <w:spacing w:after="0" w:line="240" w:lineRule="auto"/>
              <w:contextualSpacing w:val="0"/>
              <w:jc w:val="left"/>
              <w:rPr>
                <w:lang w:val="en-GB"/>
              </w:rPr>
            </w:pPr>
            <w:r w:rsidRPr="00152A20">
              <w:rPr>
                <w:lang w:val="en-GB"/>
              </w:rPr>
              <w:t>2 - 3%</w:t>
            </w:r>
          </w:p>
          <w:p w14:paraId="636B0C5C" w14:textId="77777777" w:rsidR="00037D5F" w:rsidRPr="00152A20" w:rsidRDefault="008E5AA1">
            <w:pPr>
              <w:widowControl w:val="0"/>
              <w:spacing w:after="0" w:line="240" w:lineRule="auto"/>
              <w:contextualSpacing w:val="0"/>
              <w:jc w:val="left"/>
              <w:rPr>
                <w:lang w:val="en-GB"/>
              </w:rPr>
            </w:pPr>
            <w:r w:rsidRPr="00152A20">
              <w:rPr>
                <w:lang w:val="en-GB"/>
              </w:rPr>
              <w:t>3 - 5%</w:t>
            </w:r>
          </w:p>
        </w:tc>
      </w:tr>
      <w:tr w:rsidR="00037D5F" w:rsidRPr="00152A20" w14:paraId="4C253248" w14:textId="77777777">
        <w:tc>
          <w:tcPr>
            <w:tcW w:w="825"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77D505D9" w14:textId="77777777" w:rsidR="00037D5F" w:rsidRPr="00152A20" w:rsidRDefault="008E5AA1">
            <w:pPr>
              <w:widowControl w:val="0"/>
              <w:spacing w:after="0" w:line="240" w:lineRule="auto"/>
              <w:contextualSpacing w:val="0"/>
              <w:jc w:val="left"/>
              <w:rPr>
                <w:lang w:val="en-GB"/>
              </w:rPr>
            </w:pPr>
            <w:r w:rsidRPr="00152A20">
              <w:rPr>
                <w:lang w:val="en-GB"/>
              </w:rPr>
              <w:t>2</w:t>
            </w:r>
          </w:p>
        </w:tc>
        <w:tc>
          <w:tcPr>
            <w:tcW w:w="16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24E4327" w14:textId="77777777" w:rsidR="00037D5F" w:rsidRPr="00152A20" w:rsidRDefault="008E5AA1">
            <w:pPr>
              <w:widowControl w:val="0"/>
              <w:spacing w:after="0" w:line="240" w:lineRule="auto"/>
              <w:contextualSpacing w:val="0"/>
              <w:jc w:val="left"/>
              <w:rPr>
                <w:lang w:val="en-GB"/>
              </w:rPr>
            </w:pPr>
            <w:r w:rsidRPr="00152A20">
              <w:rPr>
                <w:lang w:val="en-GB"/>
              </w:rPr>
              <w:t>Public Regional Universities</w:t>
            </w:r>
          </w:p>
        </w:tc>
        <w:tc>
          <w:tcPr>
            <w:tcW w:w="57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F73099B" w14:textId="77777777" w:rsidR="00037D5F" w:rsidRPr="00152A20" w:rsidRDefault="008E5AA1">
            <w:pPr>
              <w:widowControl w:val="0"/>
              <w:spacing w:after="0" w:line="240" w:lineRule="auto"/>
              <w:contextualSpacing w:val="0"/>
              <w:jc w:val="left"/>
              <w:rPr>
                <w:lang w:val="en-GB"/>
              </w:rPr>
            </w:pPr>
            <w:r w:rsidRPr="00152A20">
              <w:rPr>
                <w:lang w:val="en-GB"/>
              </w:rPr>
              <w:t xml:space="preserve">Very large, diversified subject mix, selective, large part-time, large state support, some R&amp;D </w:t>
            </w:r>
          </w:p>
        </w:tc>
        <w:tc>
          <w:tcPr>
            <w:tcW w:w="1470" w:type="dxa"/>
            <w:tcBorders>
              <w:top w:val="single" w:sz="8" w:space="0" w:color="999999"/>
              <w:left w:val="single" w:sz="8" w:space="0" w:color="999999"/>
              <w:bottom w:val="single" w:sz="8" w:space="0" w:color="999999"/>
              <w:right w:val="nil"/>
            </w:tcBorders>
            <w:tcMar>
              <w:top w:w="100" w:type="dxa"/>
              <w:left w:w="100" w:type="dxa"/>
              <w:bottom w:w="100" w:type="dxa"/>
              <w:right w:w="100" w:type="dxa"/>
            </w:tcMar>
          </w:tcPr>
          <w:p w14:paraId="0B44625E" w14:textId="77777777" w:rsidR="00037D5F" w:rsidRPr="00152A20" w:rsidRDefault="008E5AA1">
            <w:pPr>
              <w:widowControl w:val="0"/>
              <w:spacing w:after="0" w:line="240" w:lineRule="auto"/>
              <w:contextualSpacing w:val="0"/>
              <w:jc w:val="left"/>
              <w:rPr>
                <w:lang w:val="en-GB"/>
              </w:rPr>
            </w:pPr>
            <w:r w:rsidRPr="00152A20">
              <w:rPr>
                <w:lang w:val="en-GB"/>
              </w:rPr>
              <w:t>1 - 84</w:t>
            </w:r>
          </w:p>
          <w:p w14:paraId="597E6891" w14:textId="77777777" w:rsidR="00037D5F" w:rsidRPr="00152A20" w:rsidRDefault="008E5AA1">
            <w:pPr>
              <w:widowControl w:val="0"/>
              <w:spacing w:after="0" w:line="240" w:lineRule="auto"/>
              <w:contextualSpacing w:val="0"/>
              <w:jc w:val="left"/>
              <w:rPr>
                <w:lang w:val="en-GB"/>
              </w:rPr>
            </w:pPr>
            <w:r w:rsidRPr="00152A20">
              <w:rPr>
                <w:lang w:val="en-GB"/>
              </w:rPr>
              <w:t>2 - 11%</w:t>
            </w:r>
          </w:p>
          <w:p w14:paraId="617E7A42" w14:textId="77777777" w:rsidR="00037D5F" w:rsidRPr="00152A20" w:rsidRDefault="008E5AA1">
            <w:pPr>
              <w:widowControl w:val="0"/>
              <w:spacing w:after="0" w:line="240" w:lineRule="auto"/>
              <w:contextualSpacing w:val="0"/>
              <w:jc w:val="left"/>
              <w:rPr>
                <w:lang w:val="en-GB"/>
              </w:rPr>
            </w:pPr>
            <w:r w:rsidRPr="00152A20">
              <w:rPr>
                <w:lang w:val="en-GB"/>
              </w:rPr>
              <w:t>3 - 38%</w:t>
            </w:r>
          </w:p>
        </w:tc>
      </w:tr>
      <w:tr w:rsidR="00037D5F" w:rsidRPr="00152A20" w14:paraId="2C4AD9BD" w14:textId="77777777">
        <w:tc>
          <w:tcPr>
            <w:tcW w:w="825"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4A06DB1C" w14:textId="77777777" w:rsidR="00037D5F" w:rsidRPr="00152A20" w:rsidRDefault="008E5AA1">
            <w:pPr>
              <w:widowControl w:val="0"/>
              <w:spacing w:after="0" w:line="240" w:lineRule="auto"/>
              <w:contextualSpacing w:val="0"/>
              <w:jc w:val="left"/>
              <w:rPr>
                <w:lang w:val="en-GB"/>
              </w:rPr>
            </w:pPr>
            <w:r w:rsidRPr="00152A20">
              <w:rPr>
                <w:lang w:val="en-GB"/>
              </w:rPr>
              <w:t>3</w:t>
            </w:r>
          </w:p>
        </w:tc>
        <w:tc>
          <w:tcPr>
            <w:tcW w:w="16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4108AAE" w14:textId="6E111330" w:rsidR="00037D5F" w:rsidRPr="00152A20" w:rsidRDefault="008E5AA1">
            <w:pPr>
              <w:widowControl w:val="0"/>
              <w:spacing w:after="0" w:line="240" w:lineRule="auto"/>
              <w:contextualSpacing w:val="0"/>
              <w:jc w:val="left"/>
              <w:rPr>
                <w:lang w:val="en-GB"/>
              </w:rPr>
            </w:pPr>
            <w:r w:rsidRPr="00152A20">
              <w:rPr>
                <w:lang w:val="en-GB"/>
              </w:rPr>
              <w:t>Speciali</w:t>
            </w:r>
            <w:r w:rsidR="0079027A">
              <w:rPr>
                <w:lang w:val="en-GB"/>
              </w:rPr>
              <w:t>s</w:t>
            </w:r>
            <w:r w:rsidRPr="00152A20">
              <w:rPr>
                <w:lang w:val="en-GB"/>
              </w:rPr>
              <w:t xml:space="preserve">ed HEIs </w:t>
            </w:r>
          </w:p>
        </w:tc>
        <w:tc>
          <w:tcPr>
            <w:tcW w:w="57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9A4EFF5" w14:textId="201A13D9" w:rsidR="00037D5F" w:rsidRPr="00152A20" w:rsidRDefault="008E5AA1">
            <w:pPr>
              <w:widowControl w:val="0"/>
              <w:spacing w:after="0" w:line="240" w:lineRule="auto"/>
              <w:contextualSpacing w:val="0"/>
              <w:jc w:val="left"/>
              <w:rPr>
                <w:lang w:val="en-GB"/>
              </w:rPr>
            </w:pPr>
            <w:r w:rsidRPr="00152A20">
              <w:rPr>
                <w:lang w:val="en-GB"/>
              </w:rPr>
              <w:t>Small, highly selective, highly speciali</w:t>
            </w:r>
            <w:r w:rsidR="00334B59">
              <w:rPr>
                <w:lang w:val="en-GB"/>
              </w:rPr>
              <w:t>s</w:t>
            </w:r>
            <w:r w:rsidRPr="00152A20">
              <w:rPr>
                <w:lang w:val="en-GB"/>
              </w:rPr>
              <w:t xml:space="preserve">ed, full-time, mostly medical </w:t>
            </w:r>
          </w:p>
          <w:p w14:paraId="17964D11" w14:textId="77777777" w:rsidR="00037D5F" w:rsidRPr="00152A20" w:rsidRDefault="00037D5F">
            <w:pPr>
              <w:widowControl w:val="0"/>
              <w:spacing w:after="0" w:line="240" w:lineRule="auto"/>
              <w:contextualSpacing w:val="0"/>
              <w:jc w:val="left"/>
              <w:rPr>
                <w:lang w:val="en-GB"/>
              </w:rPr>
            </w:pPr>
          </w:p>
        </w:tc>
        <w:tc>
          <w:tcPr>
            <w:tcW w:w="1470" w:type="dxa"/>
            <w:tcBorders>
              <w:top w:val="single" w:sz="8" w:space="0" w:color="999999"/>
              <w:left w:val="single" w:sz="8" w:space="0" w:color="999999"/>
              <w:bottom w:val="single" w:sz="8" w:space="0" w:color="999999"/>
              <w:right w:val="nil"/>
            </w:tcBorders>
            <w:tcMar>
              <w:top w:w="100" w:type="dxa"/>
              <w:left w:w="100" w:type="dxa"/>
              <w:bottom w:w="100" w:type="dxa"/>
              <w:right w:w="100" w:type="dxa"/>
            </w:tcMar>
          </w:tcPr>
          <w:p w14:paraId="7C174E74" w14:textId="77777777" w:rsidR="00037D5F" w:rsidRPr="00152A20" w:rsidRDefault="008E5AA1">
            <w:pPr>
              <w:widowControl w:val="0"/>
              <w:spacing w:after="0" w:line="240" w:lineRule="auto"/>
              <w:contextualSpacing w:val="0"/>
              <w:jc w:val="left"/>
              <w:rPr>
                <w:lang w:val="en-GB"/>
              </w:rPr>
            </w:pPr>
            <w:r w:rsidRPr="00152A20">
              <w:rPr>
                <w:lang w:val="en-GB"/>
              </w:rPr>
              <w:t>1 - 88</w:t>
            </w:r>
          </w:p>
          <w:p w14:paraId="2529AAB5" w14:textId="77777777" w:rsidR="00037D5F" w:rsidRPr="00152A20" w:rsidRDefault="008E5AA1">
            <w:pPr>
              <w:widowControl w:val="0"/>
              <w:spacing w:after="0" w:line="240" w:lineRule="auto"/>
              <w:contextualSpacing w:val="0"/>
              <w:jc w:val="left"/>
              <w:rPr>
                <w:lang w:val="en-GB"/>
              </w:rPr>
            </w:pPr>
            <w:r w:rsidRPr="00152A20">
              <w:rPr>
                <w:lang w:val="en-GB"/>
              </w:rPr>
              <w:t>2 - 11%</w:t>
            </w:r>
          </w:p>
          <w:p w14:paraId="4A86B141" w14:textId="77777777" w:rsidR="00037D5F" w:rsidRPr="00152A20" w:rsidRDefault="008E5AA1">
            <w:pPr>
              <w:widowControl w:val="0"/>
              <w:spacing w:after="0" w:line="240" w:lineRule="auto"/>
              <w:contextualSpacing w:val="0"/>
              <w:jc w:val="left"/>
              <w:rPr>
                <w:lang w:val="en-GB"/>
              </w:rPr>
            </w:pPr>
            <w:r w:rsidRPr="00152A20">
              <w:rPr>
                <w:lang w:val="en-GB"/>
              </w:rPr>
              <w:t>3 - 9%</w:t>
            </w:r>
          </w:p>
        </w:tc>
      </w:tr>
      <w:tr w:rsidR="00037D5F" w:rsidRPr="00152A20" w14:paraId="78D31EEA" w14:textId="77777777">
        <w:tc>
          <w:tcPr>
            <w:tcW w:w="825"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4E8FFA4E" w14:textId="77777777" w:rsidR="00037D5F" w:rsidRPr="00152A20" w:rsidRDefault="008E5AA1">
            <w:pPr>
              <w:widowControl w:val="0"/>
              <w:spacing w:after="0" w:line="240" w:lineRule="auto"/>
              <w:contextualSpacing w:val="0"/>
              <w:jc w:val="left"/>
              <w:rPr>
                <w:lang w:val="en-GB"/>
              </w:rPr>
            </w:pPr>
            <w:r w:rsidRPr="00152A20">
              <w:rPr>
                <w:lang w:val="en-GB"/>
              </w:rPr>
              <w:t>4</w:t>
            </w:r>
          </w:p>
        </w:tc>
        <w:tc>
          <w:tcPr>
            <w:tcW w:w="16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4826997" w14:textId="77777777" w:rsidR="00037D5F" w:rsidRPr="00152A20" w:rsidRDefault="008E5AA1">
            <w:pPr>
              <w:widowControl w:val="0"/>
              <w:spacing w:after="0" w:line="240" w:lineRule="auto"/>
              <w:contextualSpacing w:val="0"/>
              <w:jc w:val="left"/>
              <w:rPr>
                <w:lang w:val="en-GB"/>
              </w:rPr>
            </w:pPr>
            <w:r w:rsidRPr="00152A20">
              <w:rPr>
                <w:lang w:val="en-GB"/>
              </w:rPr>
              <w:t>Public Mass Universities</w:t>
            </w:r>
          </w:p>
        </w:tc>
        <w:tc>
          <w:tcPr>
            <w:tcW w:w="57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A1984DF" w14:textId="77777777" w:rsidR="00037D5F" w:rsidRPr="00152A20" w:rsidRDefault="008E5AA1">
            <w:pPr>
              <w:widowControl w:val="0"/>
              <w:spacing w:after="0" w:line="240" w:lineRule="auto"/>
              <w:contextualSpacing w:val="0"/>
              <w:jc w:val="left"/>
              <w:rPr>
                <w:lang w:val="en-GB"/>
              </w:rPr>
            </w:pPr>
            <w:r w:rsidRPr="00152A20">
              <w:rPr>
                <w:lang w:val="en-GB"/>
              </w:rPr>
              <w:t>Diversified subject mix, selective, large part-time, large state support, do not attract fee-paying students</w:t>
            </w:r>
          </w:p>
        </w:tc>
        <w:tc>
          <w:tcPr>
            <w:tcW w:w="1470" w:type="dxa"/>
            <w:tcBorders>
              <w:top w:val="single" w:sz="8" w:space="0" w:color="999999"/>
              <w:left w:val="single" w:sz="8" w:space="0" w:color="999999"/>
              <w:bottom w:val="single" w:sz="8" w:space="0" w:color="999999"/>
              <w:right w:val="nil"/>
            </w:tcBorders>
            <w:tcMar>
              <w:top w:w="100" w:type="dxa"/>
              <w:left w:w="100" w:type="dxa"/>
              <w:bottom w:w="100" w:type="dxa"/>
              <w:right w:w="100" w:type="dxa"/>
            </w:tcMar>
          </w:tcPr>
          <w:p w14:paraId="600B2FA2" w14:textId="77777777" w:rsidR="00037D5F" w:rsidRPr="00152A20" w:rsidRDefault="008E5AA1">
            <w:pPr>
              <w:widowControl w:val="0"/>
              <w:spacing w:after="0" w:line="240" w:lineRule="auto"/>
              <w:contextualSpacing w:val="0"/>
              <w:jc w:val="left"/>
              <w:rPr>
                <w:lang w:val="en-GB"/>
              </w:rPr>
            </w:pPr>
            <w:r w:rsidRPr="00152A20">
              <w:rPr>
                <w:lang w:val="en-GB"/>
              </w:rPr>
              <w:t>1 - 248</w:t>
            </w:r>
          </w:p>
          <w:p w14:paraId="282F44C7" w14:textId="77777777" w:rsidR="00037D5F" w:rsidRPr="00152A20" w:rsidRDefault="008E5AA1">
            <w:pPr>
              <w:widowControl w:val="0"/>
              <w:spacing w:after="0" w:line="240" w:lineRule="auto"/>
              <w:contextualSpacing w:val="0"/>
              <w:jc w:val="left"/>
              <w:rPr>
                <w:lang w:val="en-GB"/>
              </w:rPr>
            </w:pPr>
            <w:r w:rsidRPr="00152A20">
              <w:rPr>
                <w:lang w:val="en-GB"/>
              </w:rPr>
              <w:t>2 - 32%</w:t>
            </w:r>
          </w:p>
          <w:p w14:paraId="386E417D" w14:textId="77777777" w:rsidR="00037D5F" w:rsidRPr="00152A20" w:rsidRDefault="008E5AA1">
            <w:pPr>
              <w:widowControl w:val="0"/>
              <w:spacing w:after="0" w:line="240" w:lineRule="auto"/>
              <w:contextualSpacing w:val="0"/>
              <w:jc w:val="left"/>
              <w:rPr>
                <w:lang w:val="en-GB"/>
              </w:rPr>
            </w:pPr>
            <w:r w:rsidRPr="00152A20">
              <w:rPr>
                <w:lang w:val="en-GB"/>
              </w:rPr>
              <w:t>3 - 42%</w:t>
            </w:r>
          </w:p>
        </w:tc>
      </w:tr>
      <w:tr w:rsidR="00037D5F" w:rsidRPr="0029475F" w14:paraId="219D48A6" w14:textId="77777777">
        <w:trPr>
          <w:trHeight w:val="780"/>
        </w:trPr>
        <w:tc>
          <w:tcPr>
            <w:tcW w:w="825"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5655F449" w14:textId="77777777" w:rsidR="00037D5F" w:rsidRPr="00152A20" w:rsidRDefault="008E5AA1">
            <w:pPr>
              <w:widowControl w:val="0"/>
              <w:spacing w:after="0" w:line="240" w:lineRule="auto"/>
              <w:contextualSpacing w:val="0"/>
              <w:jc w:val="left"/>
              <w:rPr>
                <w:lang w:val="en-GB"/>
              </w:rPr>
            </w:pPr>
            <w:r w:rsidRPr="00152A20">
              <w:rPr>
                <w:lang w:val="en-GB"/>
              </w:rPr>
              <w:t>5</w:t>
            </w:r>
          </w:p>
        </w:tc>
        <w:tc>
          <w:tcPr>
            <w:tcW w:w="16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A898955" w14:textId="77777777" w:rsidR="00037D5F" w:rsidRPr="00152A20" w:rsidRDefault="008E5AA1">
            <w:pPr>
              <w:widowControl w:val="0"/>
              <w:spacing w:after="0" w:line="240" w:lineRule="auto"/>
              <w:contextualSpacing w:val="0"/>
              <w:jc w:val="left"/>
              <w:rPr>
                <w:lang w:val="en-GB"/>
              </w:rPr>
            </w:pPr>
            <w:r w:rsidRPr="00152A20">
              <w:rPr>
                <w:lang w:val="en-GB"/>
              </w:rPr>
              <w:t>Private HEIs</w:t>
            </w:r>
          </w:p>
          <w:p w14:paraId="49666289" w14:textId="77777777" w:rsidR="00037D5F" w:rsidRPr="00152A20" w:rsidRDefault="00037D5F">
            <w:pPr>
              <w:widowControl w:val="0"/>
              <w:spacing w:after="0" w:line="240" w:lineRule="auto"/>
              <w:contextualSpacing w:val="0"/>
              <w:jc w:val="left"/>
              <w:rPr>
                <w:lang w:val="en-GB"/>
              </w:rPr>
            </w:pPr>
          </w:p>
        </w:tc>
        <w:tc>
          <w:tcPr>
            <w:tcW w:w="57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7DF07BE" w14:textId="77777777" w:rsidR="00037D5F" w:rsidRPr="00152A20" w:rsidRDefault="008E5AA1">
            <w:pPr>
              <w:widowControl w:val="0"/>
              <w:spacing w:after="0" w:line="240" w:lineRule="auto"/>
              <w:contextualSpacing w:val="0"/>
              <w:jc w:val="left"/>
              <w:rPr>
                <w:lang w:val="en-GB"/>
              </w:rPr>
            </w:pPr>
            <w:r w:rsidRPr="00152A20">
              <w:rPr>
                <w:lang w:val="en-GB"/>
              </w:rPr>
              <w:t>Small, only fee-paying students, large part-time, very low selectivity</w:t>
            </w:r>
          </w:p>
        </w:tc>
        <w:tc>
          <w:tcPr>
            <w:tcW w:w="1470" w:type="dxa"/>
            <w:tcBorders>
              <w:top w:val="single" w:sz="8" w:space="0" w:color="999999"/>
              <w:left w:val="single" w:sz="8" w:space="0" w:color="999999"/>
              <w:bottom w:val="single" w:sz="8" w:space="0" w:color="999999"/>
              <w:right w:val="nil"/>
            </w:tcBorders>
            <w:tcMar>
              <w:top w:w="100" w:type="dxa"/>
              <w:left w:w="100" w:type="dxa"/>
              <w:bottom w:w="100" w:type="dxa"/>
              <w:right w:w="100" w:type="dxa"/>
            </w:tcMar>
          </w:tcPr>
          <w:p w14:paraId="42390C65" w14:textId="77777777" w:rsidR="00037D5F" w:rsidRPr="00152A20" w:rsidRDefault="00037D5F">
            <w:pPr>
              <w:widowControl w:val="0"/>
              <w:spacing w:after="0" w:line="240" w:lineRule="auto"/>
              <w:contextualSpacing w:val="0"/>
              <w:jc w:val="left"/>
              <w:rPr>
                <w:lang w:val="en-GB"/>
              </w:rPr>
            </w:pPr>
          </w:p>
        </w:tc>
      </w:tr>
      <w:tr w:rsidR="00037D5F" w:rsidRPr="00152A20" w14:paraId="0D34F49C" w14:textId="77777777">
        <w:tc>
          <w:tcPr>
            <w:tcW w:w="825"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29F8C67F" w14:textId="77777777" w:rsidR="00037D5F" w:rsidRPr="00152A20" w:rsidRDefault="008E5AA1">
            <w:pPr>
              <w:widowControl w:val="0"/>
              <w:spacing w:after="0" w:line="240" w:lineRule="auto"/>
              <w:ind w:left="324"/>
              <w:contextualSpacing w:val="0"/>
              <w:jc w:val="left"/>
              <w:rPr>
                <w:lang w:val="en-GB"/>
              </w:rPr>
            </w:pPr>
            <w:r w:rsidRPr="00152A20">
              <w:rPr>
                <w:i/>
                <w:lang w:val="en-GB"/>
              </w:rPr>
              <w:t>5a</w:t>
            </w:r>
          </w:p>
        </w:tc>
        <w:tc>
          <w:tcPr>
            <w:tcW w:w="16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7E3C6D6" w14:textId="2378259B" w:rsidR="00037D5F" w:rsidRPr="00152A20" w:rsidRDefault="008E5AA1">
            <w:pPr>
              <w:widowControl w:val="0"/>
              <w:spacing w:after="0" w:line="240" w:lineRule="auto"/>
              <w:ind w:left="324"/>
              <w:contextualSpacing w:val="0"/>
              <w:jc w:val="left"/>
              <w:rPr>
                <w:lang w:val="en-GB"/>
              </w:rPr>
            </w:pPr>
            <w:r w:rsidRPr="00152A20">
              <w:rPr>
                <w:i/>
                <w:lang w:val="en-GB"/>
              </w:rPr>
              <w:t>Speciali</w:t>
            </w:r>
            <w:r w:rsidR="00334B59">
              <w:rPr>
                <w:i/>
                <w:lang w:val="en-GB"/>
              </w:rPr>
              <w:t>s</w:t>
            </w:r>
            <w:r w:rsidRPr="00152A20">
              <w:rPr>
                <w:i/>
                <w:lang w:val="en-GB"/>
              </w:rPr>
              <w:t>ed</w:t>
            </w:r>
          </w:p>
        </w:tc>
        <w:tc>
          <w:tcPr>
            <w:tcW w:w="57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84FCB46" w14:textId="744E33B7" w:rsidR="00037D5F" w:rsidRPr="00152A20" w:rsidRDefault="008E5AA1">
            <w:pPr>
              <w:widowControl w:val="0"/>
              <w:spacing w:after="0" w:line="240" w:lineRule="auto"/>
              <w:ind w:left="324"/>
              <w:contextualSpacing w:val="0"/>
              <w:jc w:val="left"/>
              <w:rPr>
                <w:lang w:val="en-GB"/>
              </w:rPr>
            </w:pPr>
            <w:r w:rsidRPr="00152A20">
              <w:rPr>
                <w:i/>
                <w:lang w:val="en-GB"/>
              </w:rPr>
              <w:t>speciali</w:t>
            </w:r>
            <w:r w:rsidR="00334B59">
              <w:rPr>
                <w:i/>
                <w:lang w:val="en-GB"/>
              </w:rPr>
              <w:t>s</w:t>
            </w:r>
            <w:r w:rsidRPr="00152A20">
              <w:rPr>
                <w:i/>
                <w:lang w:val="en-GB"/>
              </w:rPr>
              <w:t xml:space="preserve">ation </w:t>
            </w:r>
            <w:r w:rsidR="00334B59">
              <w:rPr>
                <w:i/>
                <w:lang w:val="en-GB"/>
              </w:rPr>
              <w:t>i</w:t>
            </w:r>
            <w:r w:rsidRPr="00152A20">
              <w:rPr>
                <w:i/>
                <w:lang w:val="en-GB"/>
              </w:rPr>
              <w:t>n popular program</w:t>
            </w:r>
            <w:r w:rsidR="00EA6755" w:rsidRPr="00152A20">
              <w:rPr>
                <w:i/>
                <w:lang w:val="en-GB"/>
              </w:rPr>
              <w:t>me</w:t>
            </w:r>
            <w:r w:rsidRPr="00152A20">
              <w:rPr>
                <w:i/>
                <w:lang w:val="en-GB"/>
              </w:rPr>
              <w:t>s</w:t>
            </w:r>
          </w:p>
        </w:tc>
        <w:tc>
          <w:tcPr>
            <w:tcW w:w="1470" w:type="dxa"/>
            <w:tcBorders>
              <w:top w:val="single" w:sz="8" w:space="0" w:color="999999"/>
              <w:left w:val="single" w:sz="8" w:space="0" w:color="999999"/>
              <w:bottom w:val="single" w:sz="8" w:space="0" w:color="999999"/>
              <w:right w:val="nil"/>
            </w:tcBorders>
            <w:tcMar>
              <w:top w:w="100" w:type="dxa"/>
              <w:left w:w="100" w:type="dxa"/>
              <w:bottom w:w="100" w:type="dxa"/>
              <w:right w:w="100" w:type="dxa"/>
            </w:tcMar>
          </w:tcPr>
          <w:p w14:paraId="7835F380" w14:textId="77777777" w:rsidR="00037D5F" w:rsidRPr="00152A20" w:rsidRDefault="008E5AA1">
            <w:pPr>
              <w:widowControl w:val="0"/>
              <w:spacing w:after="0" w:line="240" w:lineRule="auto"/>
              <w:ind w:left="324"/>
              <w:contextualSpacing w:val="0"/>
              <w:jc w:val="left"/>
              <w:rPr>
                <w:lang w:val="en-GB"/>
              </w:rPr>
            </w:pPr>
            <w:r w:rsidRPr="00152A20">
              <w:rPr>
                <w:i/>
                <w:lang w:val="en-GB"/>
              </w:rPr>
              <w:t xml:space="preserve">1 -167 </w:t>
            </w:r>
          </w:p>
          <w:p w14:paraId="48CB62BF" w14:textId="77777777" w:rsidR="00037D5F" w:rsidRPr="00152A20" w:rsidRDefault="008E5AA1">
            <w:pPr>
              <w:widowControl w:val="0"/>
              <w:spacing w:after="0" w:line="240" w:lineRule="auto"/>
              <w:ind w:left="324"/>
              <w:contextualSpacing w:val="0"/>
              <w:jc w:val="left"/>
              <w:rPr>
                <w:lang w:val="en-GB"/>
              </w:rPr>
            </w:pPr>
            <w:r w:rsidRPr="00152A20">
              <w:rPr>
                <w:i/>
                <w:lang w:val="en-GB"/>
              </w:rPr>
              <w:t>2 - 22%</w:t>
            </w:r>
          </w:p>
          <w:p w14:paraId="3D980CEF" w14:textId="77777777" w:rsidR="00037D5F" w:rsidRPr="00152A20" w:rsidRDefault="008E5AA1">
            <w:pPr>
              <w:widowControl w:val="0"/>
              <w:spacing w:after="0" w:line="240" w:lineRule="auto"/>
              <w:ind w:left="324"/>
              <w:contextualSpacing w:val="0"/>
              <w:jc w:val="left"/>
              <w:rPr>
                <w:lang w:val="en-GB"/>
              </w:rPr>
            </w:pPr>
            <w:r w:rsidRPr="00152A20">
              <w:rPr>
                <w:i/>
                <w:lang w:val="en-GB"/>
              </w:rPr>
              <w:t>3 -  6%</w:t>
            </w:r>
          </w:p>
        </w:tc>
      </w:tr>
      <w:tr w:rsidR="00037D5F" w:rsidRPr="00152A20" w14:paraId="319664E2" w14:textId="77777777">
        <w:tc>
          <w:tcPr>
            <w:tcW w:w="825"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4398B899" w14:textId="77777777" w:rsidR="00037D5F" w:rsidRPr="00152A20" w:rsidRDefault="008E5AA1">
            <w:pPr>
              <w:widowControl w:val="0"/>
              <w:spacing w:after="0" w:line="240" w:lineRule="auto"/>
              <w:ind w:left="324"/>
              <w:contextualSpacing w:val="0"/>
              <w:jc w:val="left"/>
              <w:rPr>
                <w:lang w:val="en-GB"/>
              </w:rPr>
            </w:pPr>
            <w:r w:rsidRPr="00152A20">
              <w:rPr>
                <w:i/>
                <w:lang w:val="en-GB"/>
              </w:rPr>
              <w:t>5b</w:t>
            </w:r>
          </w:p>
        </w:tc>
        <w:tc>
          <w:tcPr>
            <w:tcW w:w="16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4EE9AB3" w14:textId="77777777" w:rsidR="00037D5F" w:rsidRPr="00152A20" w:rsidRDefault="008E5AA1">
            <w:pPr>
              <w:widowControl w:val="0"/>
              <w:spacing w:after="0" w:line="240" w:lineRule="auto"/>
              <w:ind w:left="324"/>
              <w:contextualSpacing w:val="0"/>
              <w:jc w:val="left"/>
              <w:rPr>
                <w:lang w:val="en-GB"/>
              </w:rPr>
            </w:pPr>
            <w:r w:rsidRPr="00152A20">
              <w:rPr>
                <w:i/>
                <w:lang w:val="en-GB"/>
              </w:rPr>
              <w:t>Diversified</w:t>
            </w:r>
          </w:p>
        </w:tc>
        <w:tc>
          <w:tcPr>
            <w:tcW w:w="57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0B1AC0D" w14:textId="77777777" w:rsidR="00037D5F" w:rsidRPr="00152A20" w:rsidRDefault="008E5AA1">
            <w:pPr>
              <w:widowControl w:val="0"/>
              <w:spacing w:after="0" w:line="240" w:lineRule="auto"/>
              <w:ind w:left="324"/>
              <w:contextualSpacing w:val="0"/>
              <w:jc w:val="left"/>
              <w:rPr>
                <w:lang w:val="en-GB"/>
              </w:rPr>
            </w:pPr>
            <w:r w:rsidRPr="00152A20">
              <w:rPr>
                <w:i/>
                <w:lang w:val="en-GB"/>
              </w:rPr>
              <w:t xml:space="preserve">diversified subject mix </w:t>
            </w:r>
          </w:p>
        </w:tc>
        <w:tc>
          <w:tcPr>
            <w:tcW w:w="1470" w:type="dxa"/>
            <w:tcBorders>
              <w:top w:val="single" w:sz="8" w:space="0" w:color="999999"/>
              <w:left w:val="single" w:sz="8" w:space="0" w:color="999999"/>
              <w:bottom w:val="single" w:sz="8" w:space="0" w:color="999999"/>
              <w:right w:val="nil"/>
            </w:tcBorders>
            <w:tcMar>
              <w:top w:w="100" w:type="dxa"/>
              <w:left w:w="100" w:type="dxa"/>
              <w:bottom w:w="100" w:type="dxa"/>
              <w:right w:w="100" w:type="dxa"/>
            </w:tcMar>
          </w:tcPr>
          <w:p w14:paraId="1B226590" w14:textId="77777777" w:rsidR="00037D5F" w:rsidRPr="00152A20" w:rsidRDefault="008E5AA1">
            <w:pPr>
              <w:widowControl w:val="0"/>
              <w:spacing w:after="0" w:line="240" w:lineRule="auto"/>
              <w:ind w:left="324"/>
              <w:contextualSpacing w:val="0"/>
              <w:jc w:val="left"/>
              <w:rPr>
                <w:lang w:val="en-GB"/>
              </w:rPr>
            </w:pPr>
            <w:r w:rsidRPr="00152A20">
              <w:rPr>
                <w:i/>
                <w:lang w:val="en-GB"/>
              </w:rPr>
              <w:t>1 - 95</w:t>
            </w:r>
          </w:p>
          <w:p w14:paraId="119EFBF0" w14:textId="77777777" w:rsidR="00037D5F" w:rsidRPr="00152A20" w:rsidRDefault="008E5AA1">
            <w:pPr>
              <w:widowControl w:val="0"/>
              <w:spacing w:after="0" w:line="240" w:lineRule="auto"/>
              <w:ind w:left="324"/>
              <w:contextualSpacing w:val="0"/>
              <w:jc w:val="left"/>
              <w:rPr>
                <w:lang w:val="en-GB"/>
              </w:rPr>
            </w:pPr>
            <w:r w:rsidRPr="00152A20">
              <w:rPr>
                <w:i/>
                <w:lang w:val="en-GB"/>
              </w:rPr>
              <w:t>2 - 12%</w:t>
            </w:r>
          </w:p>
          <w:p w14:paraId="1B33E9A0" w14:textId="77777777" w:rsidR="00037D5F" w:rsidRPr="00152A20" w:rsidRDefault="008E5AA1">
            <w:pPr>
              <w:widowControl w:val="0"/>
              <w:spacing w:after="0" w:line="240" w:lineRule="auto"/>
              <w:ind w:left="324"/>
              <w:contextualSpacing w:val="0"/>
              <w:jc w:val="left"/>
              <w:rPr>
                <w:lang w:val="en-GB"/>
              </w:rPr>
            </w:pPr>
            <w:r w:rsidRPr="00152A20">
              <w:rPr>
                <w:i/>
                <w:lang w:val="en-GB"/>
              </w:rPr>
              <w:t>3 - 6%</w:t>
            </w:r>
          </w:p>
        </w:tc>
      </w:tr>
      <w:tr w:rsidR="00037D5F" w:rsidRPr="00152A20" w14:paraId="5AA072D9" w14:textId="77777777">
        <w:tc>
          <w:tcPr>
            <w:tcW w:w="825"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71A9100F" w14:textId="77777777" w:rsidR="00037D5F" w:rsidRPr="00152A20" w:rsidRDefault="008E5AA1">
            <w:pPr>
              <w:widowControl w:val="0"/>
              <w:spacing w:after="0" w:line="240" w:lineRule="auto"/>
              <w:contextualSpacing w:val="0"/>
              <w:jc w:val="left"/>
              <w:rPr>
                <w:lang w:val="en-GB"/>
              </w:rPr>
            </w:pPr>
            <w:r w:rsidRPr="00152A20">
              <w:rPr>
                <w:lang w:val="en-GB"/>
              </w:rPr>
              <w:lastRenderedPageBreak/>
              <w:t>6</w:t>
            </w:r>
          </w:p>
        </w:tc>
        <w:tc>
          <w:tcPr>
            <w:tcW w:w="168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DDA071B" w14:textId="77777777" w:rsidR="00037D5F" w:rsidRPr="00152A20" w:rsidRDefault="008E5AA1">
            <w:pPr>
              <w:widowControl w:val="0"/>
              <w:spacing w:after="0" w:line="240" w:lineRule="auto"/>
              <w:contextualSpacing w:val="0"/>
              <w:jc w:val="left"/>
              <w:rPr>
                <w:lang w:val="en-GB"/>
              </w:rPr>
            </w:pPr>
            <w:r w:rsidRPr="00152A20">
              <w:rPr>
                <w:lang w:val="en-GB"/>
              </w:rPr>
              <w:t>Part-time HEIs</w:t>
            </w:r>
          </w:p>
        </w:tc>
        <w:tc>
          <w:tcPr>
            <w:tcW w:w="573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304F9A29" w14:textId="6182984A" w:rsidR="00037D5F" w:rsidRPr="00152A20" w:rsidRDefault="008E5AA1" w:rsidP="00EA6755">
            <w:pPr>
              <w:widowControl w:val="0"/>
              <w:spacing w:after="0" w:line="240" w:lineRule="auto"/>
              <w:contextualSpacing w:val="0"/>
              <w:jc w:val="left"/>
              <w:rPr>
                <w:lang w:val="en-GB"/>
              </w:rPr>
            </w:pPr>
            <w:r w:rsidRPr="00152A20">
              <w:rPr>
                <w:lang w:val="en-GB"/>
              </w:rPr>
              <w:t>Only part-time fee-paying students, very small, speciali</w:t>
            </w:r>
            <w:r w:rsidR="00EA6755" w:rsidRPr="00152A20">
              <w:rPr>
                <w:lang w:val="en-GB"/>
              </w:rPr>
              <w:t>s</w:t>
            </w:r>
            <w:r w:rsidRPr="00152A20">
              <w:rPr>
                <w:lang w:val="en-GB"/>
              </w:rPr>
              <w:t xml:space="preserve">ation </w:t>
            </w:r>
            <w:r w:rsidR="00EA6755" w:rsidRPr="00152A20">
              <w:rPr>
                <w:lang w:val="en-GB"/>
              </w:rPr>
              <w:t>i</w:t>
            </w:r>
            <w:r w:rsidRPr="00152A20">
              <w:rPr>
                <w:lang w:val="en-GB"/>
              </w:rPr>
              <w:t>n popular program</w:t>
            </w:r>
            <w:r w:rsidR="00EA6755" w:rsidRPr="00152A20">
              <w:rPr>
                <w:lang w:val="en-GB"/>
              </w:rPr>
              <w:t>me</w:t>
            </w:r>
            <w:r w:rsidRPr="00152A20">
              <w:rPr>
                <w:lang w:val="en-GB"/>
              </w:rPr>
              <w:t>s</w:t>
            </w:r>
          </w:p>
        </w:tc>
        <w:tc>
          <w:tcPr>
            <w:tcW w:w="1470" w:type="dxa"/>
            <w:tcBorders>
              <w:top w:val="single" w:sz="8" w:space="0" w:color="999999"/>
              <w:left w:val="single" w:sz="8" w:space="0" w:color="999999"/>
              <w:bottom w:val="single" w:sz="8" w:space="0" w:color="999999"/>
              <w:right w:val="nil"/>
            </w:tcBorders>
            <w:tcMar>
              <w:top w:w="100" w:type="dxa"/>
              <w:left w:w="100" w:type="dxa"/>
              <w:bottom w:w="100" w:type="dxa"/>
              <w:right w:w="100" w:type="dxa"/>
            </w:tcMar>
          </w:tcPr>
          <w:p w14:paraId="78D9DA67" w14:textId="77777777" w:rsidR="00037D5F" w:rsidRPr="00152A20" w:rsidRDefault="008E5AA1">
            <w:pPr>
              <w:widowControl w:val="0"/>
              <w:spacing w:after="0" w:line="240" w:lineRule="auto"/>
              <w:contextualSpacing w:val="0"/>
              <w:jc w:val="left"/>
              <w:rPr>
                <w:lang w:val="en-GB"/>
              </w:rPr>
            </w:pPr>
            <w:r w:rsidRPr="00152A20">
              <w:rPr>
                <w:lang w:val="en-GB"/>
              </w:rPr>
              <w:t>1 - 68</w:t>
            </w:r>
          </w:p>
          <w:p w14:paraId="589C9482" w14:textId="77777777" w:rsidR="00037D5F" w:rsidRPr="00152A20" w:rsidRDefault="008E5AA1">
            <w:pPr>
              <w:widowControl w:val="0"/>
              <w:spacing w:after="0" w:line="240" w:lineRule="auto"/>
              <w:contextualSpacing w:val="0"/>
              <w:jc w:val="left"/>
              <w:rPr>
                <w:lang w:val="en-GB"/>
              </w:rPr>
            </w:pPr>
            <w:r w:rsidRPr="00152A20">
              <w:rPr>
                <w:lang w:val="en-GB"/>
              </w:rPr>
              <w:t>2 - 9%</w:t>
            </w:r>
          </w:p>
          <w:p w14:paraId="09FA1912" w14:textId="77777777" w:rsidR="00037D5F" w:rsidRPr="00152A20" w:rsidRDefault="008E5AA1">
            <w:pPr>
              <w:widowControl w:val="0"/>
              <w:spacing w:after="0" w:line="240" w:lineRule="auto"/>
              <w:contextualSpacing w:val="0"/>
              <w:jc w:val="left"/>
              <w:rPr>
                <w:lang w:val="en-GB"/>
              </w:rPr>
            </w:pPr>
            <w:r w:rsidRPr="00152A20">
              <w:rPr>
                <w:lang w:val="en-GB"/>
              </w:rPr>
              <w:t>3 -  11%</w:t>
            </w:r>
          </w:p>
        </w:tc>
      </w:tr>
    </w:tbl>
    <w:p w14:paraId="5862C838" w14:textId="48DDC419" w:rsidR="00037D5F" w:rsidRPr="00152A20" w:rsidRDefault="008E5AA1">
      <w:pPr>
        <w:rPr>
          <w:lang w:val="en-GB"/>
        </w:rPr>
      </w:pPr>
      <w:r w:rsidRPr="00152A20">
        <w:rPr>
          <w:i/>
          <w:sz w:val="20"/>
          <w:szCs w:val="20"/>
          <w:lang w:val="en-GB"/>
        </w:rPr>
        <w:t>Source: Calculated by the authors</w:t>
      </w:r>
      <w:r w:rsidR="00334B59">
        <w:rPr>
          <w:i/>
          <w:sz w:val="20"/>
          <w:szCs w:val="20"/>
          <w:lang w:val="en-GB"/>
        </w:rPr>
        <w:t>.</w:t>
      </w:r>
    </w:p>
    <w:p w14:paraId="60A800EE" w14:textId="56DB33CE" w:rsidR="00037D5F" w:rsidRPr="00152A20" w:rsidRDefault="00776BB9">
      <w:pPr>
        <w:rPr>
          <w:lang w:val="en-GB"/>
        </w:rPr>
      </w:pPr>
      <w:r>
        <w:rPr>
          <w:lang w:val="en-GB"/>
        </w:rPr>
        <w:t>G</w:t>
      </w:r>
      <w:r w:rsidR="008E5AA1" w:rsidRPr="00152A20">
        <w:rPr>
          <w:lang w:val="en-GB"/>
        </w:rPr>
        <w:t xml:space="preserve">overnment </w:t>
      </w:r>
      <w:r w:rsidR="00EA6755" w:rsidRPr="00152A20">
        <w:rPr>
          <w:lang w:val="en-GB"/>
        </w:rPr>
        <w:t xml:space="preserve">policies </w:t>
      </w:r>
      <w:r w:rsidR="008E5AA1" w:rsidRPr="00152A20">
        <w:rPr>
          <w:lang w:val="en-GB"/>
        </w:rPr>
        <w:t xml:space="preserve">resulted in the segregation of </w:t>
      </w:r>
      <w:r w:rsidR="00EA6755" w:rsidRPr="00152A20">
        <w:rPr>
          <w:lang w:val="en-GB"/>
        </w:rPr>
        <w:t>a</w:t>
      </w:r>
      <w:r w:rsidR="008E5AA1" w:rsidRPr="00152A20">
        <w:rPr>
          <w:lang w:val="en-GB"/>
        </w:rPr>
        <w:t xml:space="preserve"> group </w:t>
      </w:r>
      <w:r w:rsidR="00EA6755" w:rsidRPr="00152A20">
        <w:rPr>
          <w:lang w:val="en-GB"/>
        </w:rPr>
        <w:t>of research-intensive universities</w:t>
      </w:r>
      <w:r w:rsidR="008E5AA1" w:rsidRPr="00152A20">
        <w:rPr>
          <w:lang w:val="en-GB"/>
        </w:rPr>
        <w:t xml:space="preserve">. </w:t>
      </w:r>
      <w:r w:rsidR="008E5AA1" w:rsidRPr="00152A20">
        <w:rPr>
          <w:i/>
          <w:lang w:val="en-GB"/>
        </w:rPr>
        <w:t xml:space="preserve">Research universities </w:t>
      </w:r>
      <w:r w:rsidR="008E5AA1" w:rsidRPr="00152A20">
        <w:rPr>
          <w:lang w:val="en-GB"/>
        </w:rPr>
        <w:t xml:space="preserve">(cluster 1) pursue high selectivity, </w:t>
      </w:r>
      <w:r w:rsidR="00EA6755" w:rsidRPr="00152A20">
        <w:rPr>
          <w:lang w:val="en-GB"/>
        </w:rPr>
        <w:t xml:space="preserve">are oriented towards the provision of </w:t>
      </w:r>
      <w:r w:rsidR="008E5AA1" w:rsidRPr="00152A20">
        <w:rPr>
          <w:lang w:val="en-GB"/>
        </w:rPr>
        <w:t>master program</w:t>
      </w:r>
      <w:r w:rsidR="00EA6755" w:rsidRPr="00152A20">
        <w:rPr>
          <w:lang w:val="en-GB"/>
        </w:rPr>
        <w:t>me</w:t>
      </w:r>
      <w:r w:rsidR="008E5AA1" w:rsidRPr="00152A20">
        <w:rPr>
          <w:lang w:val="en-GB"/>
        </w:rPr>
        <w:t xml:space="preserve">s, and </w:t>
      </w:r>
      <w:r w:rsidR="00EA6755" w:rsidRPr="00152A20">
        <w:rPr>
          <w:lang w:val="en-GB"/>
        </w:rPr>
        <w:t xml:space="preserve">cater </w:t>
      </w:r>
      <w:r w:rsidR="008E5AA1" w:rsidRPr="00152A20">
        <w:rPr>
          <w:lang w:val="en-GB"/>
        </w:rPr>
        <w:t xml:space="preserve">mostly </w:t>
      </w:r>
      <w:r w:rsidR="00EA6755" w:rsidRPr="00152A20">
        <w:rPr>
          <w:lang w:val="en-GB"/>
        </w:rPr>
        <w:t xml:space="preserve">for </w:t>
      </w:r>
      <w:r w:rsidR="008E5AA1" w:rsidRPr="00152A20">
        <w:rPr>
          <w:lang w:val="en-GB"/>
        </w:rPr>
        <w:t xml:space="preserve">full-time enrolment. Despite the long history of </w:t>
      </w:r>
      <w:r>
        <w:rPr>
          <w:lang w:val="en-GB"/>
        </w:rPr>
        <w:t>d</w:t>
      </w:r>
      <w:r w:rsidR="008E5AA1" w:rsidRPr="00152A20">
        <w:rPr>
          <w:lang w:val="en-GB"/>
        </w:rPr>
        <w:t xml:space="preserve">ivision between research </w:t>
      </w:r>
      <w:r w:rsidR="00EA6755" w:rsidRPr="00152A20">
        <w:rPr>
          <w:lang w:val="en-GB"/>
        </w:rPr>
        <w:t xml:space="preserve">institutes </w:t>
      </w:r>
      <w:r w:rsidR="008E5AA1" w:rsidRPr="00152A20">
        <w:rPr>
          <w:lang w:val="en-GB"/>
        </w:rPr>
        <w:t>and universities during Soviet times</w:t>
      </w:r>
      <w:r w:rsidR="00EA6755" w:rsidRPr="00152A20">
        <w:rPr>
          <w:lang w:val="en-GB"/>
        </w:rPr>
        <w:t>,</w:t>
      </w:r>
      <w:r w:rsidR="008E5AA1" w:rsidRPr="00152A20">
        <w:rPr>
          <w:lang w:val="en-GB"/>
        </w:rPr>
        <w:t xml:space="preserve"> the global movement to</w:t>
      </w:r>
      <w:r w:rsidR="009A7CA9">
        <w:rPr>
          <w:lang w:val="en-GB"/>
        </w:rPr>
        <w:t>ward</w:t>
      </w:r>
      <w:r w:rsidR="008E5AA1" w:rsidRPr="00152A20">
        <w:rPr>
          <w:lang w:val="en-GB"/>
        </w:rPr>
        <w:t xml:space="preserve"> world-class </w:t>
      </w:r>
      <w:r w:rsidR="00EA6755" w:rsidRPr="00152A20">
        <w:rPr>
          <w:lang w:val="en-GB"/>
        </w:rPr>
        <w:t>is reflected</w:t>
      </w:r>
      <w:r w:rsidR="008E5AA1" w:rsidRPr="00152A20">
        <w:rPr>
          <w:lang w:val="en-GB"/>
        </w:rPr>
        <w:t xml:space="preserve"> in the Russian </w:t>
      </w:r>
      <w:r w:rsidR="00EA6755" w:rsidRPr="00152A20">
        <w:rPr>
          <w:lang w:val="en-GB"/>
        </w:rPr>
        <w:t xml:space="preserve">higher education </w:t>
      </w:r>
      <w:r w:rsidR="008E5AA1" w:rsidRPr="00152A20">
        <w:rPr>
          <w:lang w:val="en-GB"/>
        </w:rPr>
        <w:t>landscape. However, very few of these universities have achieved global recognition yet.</w:t>
      </w:r>
    </w:p>
    <w:p w14:paraId="28389C94" w14:textId="48A0B6FF" w:rsidR="00037D5F" w:rsidRPr="00152A20" w:rsidRDefault="00776BB9">
      <w:pPr>
        <w:rPr>
          <w:lang w:val="en-GB"/>
        </w:rPr>
      </w:pPr>
      <w:r>
        <w:rPr>
          <w:lang w:val="en-GB"/>
        </w:rPr>
        <w:t>P</w:t>
      </w:r>
      <w:r w:rsidR="008E5AA1" w:rsidRPr="00152A20">
        <w:rPr>
          <w:lang w:val="en-GB"/>
        </w:rPr>
        <w:t xml:space="preserve">ost-Soviet expansion also </w:t>
      </w:r>
      <w:r>
        <w:rPr>
          <w:lang w:val="en-GB"/>
        </w:rPr>
        <w:t xml:space="preserve">provided an </w:t>
      </w:r>
      <w:r w:rsidR="008E5AA1" w:rsidRPr="00152A20">
        <w:rPr>
          <w:lang w:val="en-GB"/>
        </w:rPr>
        <w:t xml:space="preserve">opportunity </w:t>
      </w:r>
      <w:r>
        <w:rPr>
          <w:lang w:val="en-GB"/>
        </w:rPr>
        <w:t xml:space="preserve">for </w:t>
      </w:r>
      <w:r w:rsidR="008E5AA1" w:rsidRPr="00152A20">
        <w:rPr>
          <w:lang w:val="en-GB"/>
        </w:rPr>
        <w:t>some universities to g</w:t>
      </w:r>
      <w:r w:rsidR="00EA6755" w:rsidRPr="00152A20">
        <w:rPr>
          <w:lang w:val="en-GB"/>
        </w:rPr>
        <w:t>row into large institutions</w:t>
      </w:r>
      <w:r w:rsidR="008E5AA1" w:rsidRPr="00152A20">
        <w:rPr>
          <w:lang w:val="en-GB"/>
        </w:rPr>
        <w:t xml:space="preserve"> along</w:t>
      </w:r>
      <w:r w:rsidR="00EA6755" w:rsidRPr="00152A20">
        <w:rPr>
          <w:lang w:val="en-GB"/>
        </w:rPr>
        <w:t>side an</w:t>
      </w:r>
      <w:r w:rsidR="00BA28D2" w:rsidRPr="00152A20">
        <w:rPr>
          <w:lang w:val="en-GB"/>
        </w:rPr>
        <w:t xml:space="preserve"> </w:t>
      </w:r>
      <w:r w:rsidR="008E5AA1" w:rsidRPr="00152A20">
        <w:rPr>
          <w:lang w:val="en-GB"/>
        </w:rPr>
        <w:t>internal diversification and growth of part</w:t>
      </w:r>
      <w:r>
        <w:rPr>
          <w:lang w:val="en-GB"/>
        </w:rPr>
        <w:t>-</w:t>
      </w:r>
      <w:r w:rsidR="008E5AA1" w:rsidRPr="00152A20">
        <w:rPr>
          <w:lang w:val="en-GB"/>
        </w:rPr>
        <w:t xml:space="preserve">time enrolment. These large </w:t>
      </w:r>
      <w:r w:rsidR="008E5AA1" w:rsidRPr="00152A20">
        <w:rPr>
          <w:i/>
          <w:lang w:val="en-GB"/>
        </w:rPr>
        <w:t>regional public universities</w:t>
      </w:r>
      <w:r w:rsidR="008E5AA1" w:rsidRPr="00152A20">
        <w:rPr>
          <w:lang w:val="en-GB"/>
        </w:rPr>
        <w:t xml:space="preserve"> (cluster 2) are </w:t>
      </w:r>
      <w:r w:rsidRPr="00152A20">
        <w:rPr>
          <w:lang w:val="en-GB"/>
        </w:rPr>
        <w:t xml:space="preserve">often </w:t>
      </w:r>
      <w:r w:rsidR="008E5AA1" w:rsidRPr="00152A20">
        <w:rPr>
          <w:lang w:val="en-GB"/>
        </w:rPr>
        <w:t>situated in provincial cent</w:t>
      </w:r>
      <w:r w:rsidR="00EA6755" w:rsidRPr="00152A20">
        <w:rPr>
          <w:lang w:val="en-GB"/>
        </w:rPr>
        <w:t>r</w:t>
      </w:r>
      <w:r w:rsidR="008E5AA1" w:rsidRPr="00152A20">
        <w:rPr>
          <w:lang w:val="en-GB"/>
        </w:rPr>
        <w:t xml:space="preserve">es and </w:t>
      </w:r>
      <w:r w:rsidR="00EA6755" w:rsidRPr="00152A20">
        <w:rPr>
          <w:lang w:val="en-GB"/>
        </w:rPr>
        <w:t xml:space="preserve">are usually </w:t>
      </w:r>
      <w:r w:rsidR="008E5AA1" w:rsidRPr="00152A20">
        <w:rPr>
          <w:lang w:val="en-GB"/>
        </w:rPr>
        <w:t xml:space="preserve">significantly supported by the state. </w:t>
      </w:r>
      <w:r>
        <w:rPr>
          <w:lang w:val="en-GB"/>
        </w:rPr>
        <w:t>E</w:t>
      </w:r>
      <w:r w:rsidR="008E5AA1" w:rsidRPr="00152A20">
        <w:rPr>
          <w:lang w:val="en-GB"/>
        </w:rPr>
        <w:t>xamples of such giants can be found worldwide, but mostly in big federal countries. In Russia, th</w:t>
      </w:r>
      <w:r w:rsidR="00EA6755" w:rsidRPr="00152A20">
        <w:rPr>
          <w:lang w:val="en-GB"/>
        </w:rPr>
        <w:t>e</w:t>
      </w:r>
      <w:r w:rsidR="008E5AA1" w:rsidRPr="00152A20">
        <w:rPr>
          <w:lang w:val="en-GB"/>
        </w:rPr>
        <w:t xml:space="preserve">se </w:t>
      </w:r>
      <w:r w:rsidR="00EA6755" w:rsidRPr="00152A20">
        <w:rPr>
          <w:lang w:val="en-GB"/>
        </w:rPr>
        <w:t xml:space="preserve">HEIs </w:t>
      </w:r>
      <w:r w:rsidR="008E5AA1" w:rsidRPr="00152A20">
        <w:rPr>
          <w:lang w:val="en-GB"/>
        </w:rPr>
        <w:t>attract talented students</w:t>
      </w:r>
      <w:r w:rsidR="009A7CA9">
        <w:rPr>
          <w:lang w:val="en-GB"/>
        </w:rPr>
        <w:t xml:space="preserve"> and</w:t>
      </w:r>
      <w:r w:rsidR="008E5AA1" w:rsidRPr="00152A20">
        <w:rPr>
          <w:lang w:val="en-GB"/>
        </w:rPr>
        <w:t xml:space="preserve"> focus on </w:t>
      </w:r>
      <w:r w:rsidR="00EA6755" w:rsidRPr="00152A20">
        <w:rPr>
          <w:lang w:val="en-GB"/>
        </w:rPr>
        <w:t xml:space="preserve">their </w:t>
      </w:r>
      <w:r w:rsidR="008E5AA1" w:rsidRPr="00152A20">
        <w:rPr>
          <w:lang w:val="en-GB"/>
        </w:rPr>
        <w:t xml:space="preserve">teaching mission but still </w:t>
      </w:r>
      <w:r>
        <w:rPr>
          <w:lang w:val="en-GB"/>
        </w:rPr>
        <w:t>engage in</w:t>
      </w:r>
      <w:r w:rsidR="008E5AA1" w:rsidRPr="00152A20">
        <w:rPr>
          <w:lang w:val="en-GB"/>
        </w:rPr>
        <w:t xml:space="preserve"> some research. </w:t>
      </w:r>
    </w:p>
    <w:p w14:paraId="1EDBA5BF" w14:textId="1C23B19B" w:rsidR="00037D5F" w:rsidRPr="00152A20" w:rsidRDefault="008E5AA1">
      <w:pPr>
        <w:rPr>
          <w:lang w:val="en-GB"/>
        </w:rPr>
      </w:pPr>
      <w:r w:rsidRPr="00152A20">
        <w:rPr>
          <w:lang w:val="en-GB"/>
        </w:rPr>
        <w:t>The Soviet legacy of speciali</w:t>
      </w:r>
      <w:r w:rsidR="00776BB9">
        <w:rPr>
          <w:lang w:val="en-GB"/>
        </w:rPr>
        <w:t>s</w:t>
      </w:r>
      <w:r w:rsidRPr="00152A20">
        <w:rPr>
          <w:lang w:val="en-GB"/>
        </w:rPr>
        <w:t xml:space="preserve">ed training in particular fields remained vital for </w:t>
      </w:r>
      <w:r w:rsidR="00EA6755" w:rsidRPr="00152A20">
        <w:rPr>
          <w:lang w:val="en-GB"/>
        </w:rPr>
        <w:t>another</w:t>
      </w:r>
      <w:r w:rsidRPr="00152A20">
        <w:rPr>
          <w:lang w:val="en-GB"/>
        </w:rPr>
        <w:t xml:space="preserve"> group of institutions. The peculiarity of </w:t>
      </w:r>
      <w:r w:rsidRPr="00152A20">
        <w:rPr>
          <w:i/>
          <w:lang w:val="en-GB"/>
        </w:rPr>
        <w:t>speciali</w:t>
      </w:r>
      <w:r w:rsidR="00776BB9">
        <w:rPr>
          <w:i/>
          <w:lang w:val="en-GB"/>
        </w:rPr>
        <w:t>s</w:t>
      </w:r>
      <w:r w:rsidRPr="00152A20">
        <w:rPr>
          <w:i/>
          <w:lang w:val="en-GB"/>
        </w:rPr>
        <w:t xml:space="preserve">ed HEIs </w:t>
      </w:r>
      <w:r w:rsidRPr="00152A20">
        <w:rPr>
          <w:lang w:val="en-GB"/>
        </w:rPr>
        <w:t>(cluster 3) is their limited internal diversity, relatively small size and high selectivity. These are mostly medical institutions accompanied by Soviet-</w:t>
      </w:r>
      <w:r w:rsidR="00EA6755" w:rsidRPr="00152A20">
        <w:rPr>
          <w:lang w:val="en-GB"/>
        </w:rPr>
        <w:t>type</w:t>
      </w:r>
      <w:r w:rsidRPr="00152A20">
        <w:rPr>
          <w:lang w:val="en-GB"/>
        </w:rPr>
        <w:t xml:space="preserve"> industrial universities that managed to sustain their narrow orientation in the reconfigured economy.</w:t>
      </w:r>
    </w:p>
    <w:p w14:paraId="6B724AE7" w14:textId="5D68E554" w:rsidR="00037D5F" w:rsidRPr="00152A20" w:rsidRDefault="008E5AA1">
      <w:pPr>
        <w:rPr>
          <w:lang w:val="en-GB"/>
        </w:rPr>
      </w:pPr>
      <w:bookmarkStart w:id="16" w:name="_3j2qqm3" w:colFirst="0" w:colLast="0"/>
      <w:bookmarkEnd w:id="16"/>
      <w:r w:rsidRPr="00152A20">
        <w:rPr>
          <w:lang w:val="en-GB"/>
        </w:rPr>
        <w:t xml:space="preserve">The next groups represent the consequence of higher education expansion that can be identified in all high-participation systems worldwide as </w:t>
      </w:r>
      <w:r w:rsidR="00EA6755" w:rsidRPr="00152A20">
        <w:rPr>
          <w:lang w:val="en-GB"/>
        </w:rPr>
        <w:t>a</w:t>
      </w:r>
      <w:r w:rsidRPr="00152A20">
        <w:rPr>
          <w:lang w:val="en-GB"/>
        </w:rPr>
        <w:t xml:space="preserve"> reaction to the growth of demand. In order to achieve economic sustainability</w:t>
      </w:r>
      <w:r w:rsidR="00EA6755" w:rsidRPr="00152A20">
        <w:rPr>
          <w:lang w:val="en-GB"/>
        </w:rPr>
        <w:t>,</w:t>
      </w:r>
      <w:r w:rsidRPr="00152A20">
        <w:rPr>
          <w:lang w:val="en-GB"/>
        </w:rPr>
        <w:t xml:space="preserve"> </w:t>
      </w:r>
      <w:r w:rsidR="00EA6755" w:rsidRPr="00152A20">
        <w:rPr>
          <w:lang w:val="en-GB"/>
        </w:rPr>
        <w:t xml:space="preserve">the </w:t>
      </w:r>
      <w:r w:rsidRPr="00152A20">
        <w:rPr>
          <w:lang w:val="en-GB"/>
        </w:rPr>
        <w:t>higher education system grew</w:t>
      </w:r>
      <w:r w:rsidR="00776BB9">
        <w:rPr>
          <w:lang w:val="en-GB"/>
        </w:rPr>
        <w:t xml:space="preserve"> through</w:t>
      </w:r>
      <w:r w:rsidRPr="00152A20">
        <w:rPr>
          <w:lang w:val="en-GB"/>
        </w:rPr>
        <w:t xml:space="preserve"> internal diversification in Soviet institutions, </w:t>
      </w:r>
      <w:r w:rsidR="00776BB9">
        <w:rPr>
          <w:lang w:val="en-GB"/>
        </w:rPr>
        <w:t xml:space="preserve">as well as </w:t>
      </w:r>
      <w:r w:rsidR="00EA6755" w:rsidRPr="00152A20">
        <w:rPr>
          <w:lang w:val="en-GB"/>
        </w:rPr>
        <w:t xml:space="preserve">through the </w:t>
      </w:r>
      <w:r w:rsidRPr="00152A20">
        <w:rPr>
          <w:lang w:val="en-GB"/>
        </w:rPr>
        <w:t>emergence of new institutions,</w:t>
      </w:r>
      <w:r w:rsidR="00BA28D2" w:rsidRPr="00152A20">
        <w:rPr>
          <w:lang w:val="en-GB"/>
        </w:rPr>
        <w:t xml:space="preserve"> </w:t>
      </w:r>
      <w:r w:rsidR="00EA6755" w:rsidRPr="00152A20">
        <w:rPr>
          <w:lang w:val="en-GB"/>
        </w:rPr>
        <w:t>an increase in</w:t>
      </w:r>
      <w:r w:rsidRPr="00152A20">
        <w:rPr>
          <w:lang w:val="en-GB"/>
        </w:rPr>
        <w:t xml:space="preserve"> part-time education, and privately funded places (both in traditionally public HEIs and others). </w:t>
      </w:r>
      <w:r w:rsidRPr="00152A20">
        <w:rPr>
          <w:i/>
          <w:lang w:val="en-GB"/>
        </w:rPr>
        <w:t xml:space="preserve">The demand-absorption HEIs </w:t>
      </w:r>
      <w:r w:rsidR="00EA6755" w:rsidRPr="00152A20">
        <w:rPr>
          <w:lang w:val="en-GB"/>
        </w:rPr>
        <w:t>constitute</w:t>
      </w:r>
      <w:r w:rsidRPr="00152A20">
        <w:rPr>
          <w:lang w:val="en-GB"/>
        </w:rPr>
        <w:t xml:space="preserve"> </w:t>
      </w:r>
      <w:r w:rsidR="00EA6755" w:rsidRPr="00152A20">
        <w:rPr>
          <w:lang w:val="en-GB"/>
        </w:rPr>
        <w:t>a</w:t>
      </w:r>
      <w:r w:rsidRPr="00152A20">
        <w:rPr>
          <w:lang w:val="en-GB"/>
        </w:rPr>
        <w:t xml:space="preserve"> </w:t>
      </w:r>
      <w:r w:rsidR="00776BB9">
        <w:rPr>
          <w:lang w:val="en-GB"/>
        </w:rPr>
        <w:t xml:space="preserve">large </w:t>
      </w:r>
      <w:r w:rsidRPr="00152A20">
        <w:rPr>
          <w:lang w:val="en-GB"/>
        </w:rPr>
        <w:t xml:space="preserve">share of </w:t>
      </w:r>
      <w:r w:rsidR="00EA6755" w:rsidRPr="00152A20">
        <w:rPr>
          <w:lang w:val="en-GB"/>
        </w:rPr>
        <w:t xml:space="preserve">the </w:t>
      </w:r>
      <w:r w:rsidRPr="00152A20">
        <w:rPr>
          <w:lang w:val="en-GB"/>
        </w:rPr>
        <w:t>higher education system.</w:t>
      </w:r>
    </w:p>
    <w:p w14:paraId="1AB07ACE" w14:textId="1C32B67D" w:rsidR="00037D5F" w:rsidRPr="00152A20" w:rsidRDefault="008E5AA1">
      <w:pPr>
        <w:rPr>
          <w:lang w:val="en-GB"/>
        </w:rPr>
      </w:pPr>
      <w:r w:rsidRPr="00152A20">
        <w:rPr>
          <w:lang w:val="en-GB"/>
        </w:rPr>
        <w:t xml:space="preserve">The group of </w:t>
      </w:r>
      <w:r w:rsidRPr="00152A20">
        <w:rPr>
          <w:i/>
          <w:lang w:val="en-GB"/>
        </w:rPr>
        <w:t xml:space="preserve">mass public universities </w:t>
      </w:r>
      <w:r w:rsidRPr="00152A20">
        <w:rPr>
          <w:lang w:val="en-GB"/>
        </w:rPr>
        <w:t>(cluster 4) is close to the group of regional giants (cluster 2), but they are smaller, less selective, and more depend</w:t>
      </w:r>
      <w:r w:rsidR="00EA6755" w:rsidRPr="00152A20">
        <w:rPr>
          <w:lang w:val="en-GB"/>
        </w:rPr>
        <w:t>e</w:t>
      </w:r>
      <w:r w:rsidRPr="00152A20">
        <w:rPr>
          <w:lang w:val="en-GB"/>
        </w:rPr>
        <w:t xml:space="preserve">nt on public funding. With regard to their </w:t>
      </w:r>
      <w:r w:rsidRPr="00152A20">
        <w:rPr>
          <w:lang w:val="en-GB"/>
        </w:rPr>
        <w:lastRenderedPageBreak/>
        <w:t xml:space="preserve">funding model we can assume they represent the state’s function of providing </w:t>
      </w:r>
      <w:r w:rsidR="00EA6755" w:rsidRPr="00152A20">
        <w:rPr>
          <w:lang w:val="en-GB"/>
        </w:rPr>
        <w:t xml:space="preserve">widened access to </w:t>
      </w:r>
      <w:r w:rsidRPr="00152A20">
        <w:rPr>
          <w:lang w:val="en-GB"/>
        </w:rPr>
        <w:t xml:space="preserve">higher education. </w:t>
      </w:r>
    </w:p>
    <w:p w14:paraId="7F63E01D" w14:textId="2E39DDDE" w:rsidR="00037D5F" w:rsidRPr="00152A20" w:rsidRDefault="008E5AA1">
      <w:pPr>
        <w:rPr>
          <w:lang w:val="en-GB"/>
        </w:rPr>
      </w:pPr>
      <w:r w:rsidRPr="00152A20">
        <w:rPr>
          <w:lang w:val="en-GB"/>
        </w:rPr>
        <w:t>Three groups of privately funded institutions (clusters 5</w:t>
      </w:r>
      <w:r w:rsidR="00776BB9">
        <w:rPr>
          <w:lang w:val="en-GB"/>
        </w:rPr>
        <w:t xml:space="preserve"> and </w:t>
      </w:r>
      <w:r w:rsidRPr="00152A20">
        <w:rPr>
          <w:lang w:val="en-GB"/>
        </w:rPr>
        <w:t>6) represent different aspects of popular demand. The small</w:t>
      </w:r>
      <w:r w:rsidR="00BA28D2" w:rsidRPr="00152A20">
        <w:rPr>
          <w:lang w:val="en-GB"/>
        </w:rPr>
        <w:t xml:space="preserve"> </w:t>
      </w:r>
      <w:r w:rsidRPr="00152A20">
        <w:rPr>
          <w:lang w:val="en-GB"/>
        </w:rPr>
        <w:t>speciali</w:t>
      </w:r>
      <w:r w:rsidR="00776BB9">
        <w:rPr>
          <w:lang w:val="en-GB"/>
        </w:rPr>
        <w:t>s</w:t>
      </w:r>
      <w:r w:rsidRPr="00152A20">
        <w:rPr>
          <w:lang w:val="en-GB"/>
        </w:rPr>
        <w:t xml:space="preserve">ed HEIs (5a) provide education </w:t>
      </w:r>
      <w:r w:rsidR="00EA6755" w:rsidRPr="00152A20">
        <w:rPr>
          <w:lang w:val="en-GB"/>
        </w:rPr>
        <w:t>in</w:t>
      </w:r>
      <w:r w:rsidRPr="00152A20">
        <w:rPr>
          <w:lang w:val="en-GB"/>
        </w:rPr>
        <w:t xml:space="preserve"> particular low-cost popular fields (usually economics, management</w:t>
      </w:r>
      <w:r w:rsidR="00EA6755" w:rsidRPr="00152A20">
        <w:rPr>
          <w:lang w:val="en-GB"/>
        </w:rPr>
        <w:t xml:space="preserve"> and</w:t>
      </w:r>
      <w:r w:rsidRPr="00152A20">
        <w:rPr>
          <w:lang w:val="en-GB"/>
        </w:rPr>
        <w:t xml:space="preserve"> social sciences). The diversified HEIs (5b) a</w:t>
      </w:r>
      <w:r w:rsidR="00776BB9">
        <w:rPr>
          <w:lang w:val="en-GB"/>
        </w:rPr>
        <w:t>lso</w:t>
      </w:r>
      <w:r w:rsidRPr="00152A20">
        <w:rPr>
          <w:lang w:val="en-GB"/>
        </w:rPr>
        <w:t xml:space="preserve"> have </w:t>
      </w:r>
      <w:r w:rsidR="00EA6755" w:rsidRPr="00152A20">
        <w:rPr>
          <w:lang w:val="en-GB"/>
        </w:rPr>
        <w:t xml:space="preserve">a </w:t>
      </w:r>
      <w:r w:rsidRPr="00152A20">
        <w:rPr>
          <w:lang w:val="en-GB"/>
        </w:rPr>
        <w:t xml:space="preserve">low </w:t>
      </w:r>
      <w:r w:rsidR="00EA6755" w:rsidRPr="00152A20">
        <w:rPr>
          <w:lang w:val="en-GB"/>
        </w:rPr>
        <w:t xml:space="preserve">level of </w:t>
      </w:r>
      <w:r w:rsidRPr="00152A20">
        <w:rPr>
          <w:lang w:val="en-GB"/>
        </w:rPr>
        <w:t xml:space="preserve">selectivity and </w:t>
      </w:r>
      <w:r w:rsidR="00EA6755" w:rsidRPr="00152A20">
        <w:rPr>
          <w:lang w:val="en-GB"/>
        </w:rPr>
        <w:t xml:space="preserve">a </w:t>
      </w:r>
      <w:r w:rsidRPr="00152A20">
        <w:rPr>
          <w:lang w:val="en-GB"/>
        </w:rPr>
        <w:t xml:space="preserve">low share of full-timers, </w:t>
      </w:r>
      <w:r w:rsidR="00EA6755" w:rsidRPr="00152A20">
        <w:rPr>
          <w:lang w:val="en-GB"/>
        </w:rPr>
        <w:t xml:space="preserve">but a broader </w:t>
      </w:r>
      <w:r w:rsidRPr="00152A20">
        <w:rPr>
          <w:lang w:val="en-GB"/>
        </w:rPr>
        <w:t xml:space="preserve">range of fields. </w:t>
      </w:r>
      <w:r w:rsidR="00EA6755" w:rsidRPr="00152A20">
        <w:rPr>
          <w:lang w:val="en-GB"/>
        </w:rPr>
        <w:t>T</w:t>
      </w:r>
      <w:r w:rsidRPr="00152A20">
        <w:rPr>
          <w:lang w:val="en-GB"/>
        </w:rPr>
        <w:t>he group of ‘open’ HEIs (cluster 6) focu</w:t>
      </w:r>
      <w:r w:rsidR="00776BB9">
        <w:rPr>
          <w:lang w:val="en-GB"/>
        </w:rPr>
        <w:t>s</w:t>
      </w:r>
      <w:r w:rsidRPr="00152A20">
        <w:rPr>
          <w:lang w:val="en-GB"/>
        </w:rPr>
        <w:t xml:space="preserve">ses entirely </w:t>
      </w:r>
      <w:r w:rsidR="00EA6755" w:rsidRPr="00152A20">
        <w:rPr>
          <w:lang w:val="en-GB"/>
        </w:rPr>
        <w:t xml:space="preserve">on </w:t>
      </w:r>
      <w:r w:rsidRPr="00152A20">
        <w:rPr>
          <w:lang w:val="en-GB"/>
        </w:rPr>
        <w:t>part-time dist</w:t>
      </w:r>
      <w:r w:rsidR="000A64A0">
        <w:rPr>
          <w:lang w:val="en-GB"/>
        </w:rPr>
        <w:t>ance</w:t>
      </w:r>
      <w:r w:rsidRPr="00152A20">
        <w:rPr>
          <w:lang w:val="en-GB"/>
        </w:rPr>
        <w:t xml:space="preserve"> education</w:t>
      </w:r>
      <w:r w:rsidR="00EA6755" w:rsidRPr="00152A20">
        <w:rPr>
          <w:lang w:val="en-GB"/>
        </w:rPr>
        <w:t xml:space="preserve"> and</w:t>
      </w:r>
      <w:r w:rsidRPr="00152A20">
        <w:rPr>
          <w:lang w:val="en-GB"/>
        </w:rPr>
        <w:t xml:space="preserve"> provid</w:t>
      </w:r>
      <w:r w:rsidR="00EA6755" w:rsidRPr="00152A20">
        <w:rPr>
          <w:lang w:val="en-GB"/>
        </w:rPr>
        <w:t>e</w:t>
      </w:r>
      <w:r w:rsidR="00776BB9">
        <w:rPr>
          <w:lang w:val="en-GB"/>
        </w:rPr>
        <w:t>s</w:t>
      </w:r>
      <w:r w:rsidRPr="00152A20">
        <w:rPr>
          <w:lang w:val="en-GB"/>
        </w:rPr>
        <w:t xml:space="preserve"> credentials in popular fields.  </w:t>
      </w:r>
    </w:p>
    <w:p w14:paraId="3599A9FA" w14:textId="77777777" w:rsidR="00037D5F" w:rsidRPr="00152A20" w:rsidRDefault="008E5AA1">
      <w:pPr>
        <w:pStyle w:val="Heading1"/>
        <w:spacing w:before="100" w:after="240" w:line="276" w:lineRule="auto"/>
        <w:ind w:left="720" w:hanging="360"/>
        <w:rPr>
          <w:lang w:val="en-GB"/>
        </w:rPr>
      </w:pPr>
      <w:bookmarkStart w:id="17" w:name="_1y810tw" w:colFirst="0" w:colLast="0"/>
      <w:bookmarkEnd w:id="17"/>
      <w:r w:rsidRPr="00152A20">
        <w:rPr>
          <w:lang w:val="en-GB"/>
        </w:rPr>
        <w:t>Conclusion</w:t>
      </w:r>
    </w:p>
    <w:p w14:paraId="631AB5F5" w14:textId="201D753E" w:rsidR="00037D5F" w:rsidRPr="00152A20" w:rsidRDefault="00EA6755">
      <w:pPr>
        <w:rPr>
          <w:lang w:val="en-GB"/>
        </w:rPr>
      </w:pPr>
      <w:r w:rsidRPr="00152A20">
        <w:rPr>
          <w:lang w:val="en-GB"/>
        </w:rPr>
        <w:t>The p</w:t>
      </w:r>
      <w:r w:rsidR="008E5AA1" w:rsidRPr="00152A20">
        <w:rPr>
          <w:lang w:val="en-GB"/>
        </w:rPr>
        <w:t xml:space="preserve">ost-Soviet social and economic </w:t>
      </w:r>
      <w:r w:rsidR="00A37A89" w:rsidRPr="00152A20">
        <w:rPr>
          <w:lang w:val="en-GB"/>
        </w:rPr>
        <w:t xml:space="preserve">higher education </w:t>
      </w:r>
      <w:r w:rsidR="008E5AA1" w:rsidRPr="00152A20">
        <w:rPr>
          <w:lang w:val="en-GB"/>
        </w:rPr>
        <w:t>environment</w:t>
      </w:r>
      <w:r w:rsidR="00A37A89">
        <w:rPr>
          <w:lang w:val="en-GB"/>
        </w:rPr>
        <w:t xml:space="preserve"> along with </w:t>
      </w:r>
      <w:proofErr w:type="spellStart"/>
      <w:r w:rsidR="008E5AA1" w:rsidRPr="00152A20">
        <w:rPr>
          <w:lang w:val="en-GB"/>
        </w:rPr>
        <w:t>massification</w:t>
      </w:r>
      <w:proofErr w:type="spellEnd"/>
      <w:r w:rsidR="008E5AA1" w:rsidRPr="00152A20">
        <w:rPr>
          <w:lang w:val="en-GB"/>
        </w:rPr>
        <w:t xml:space="preserve">, new regulations and targeted government activities </w:t>
      </w:r>
      <w:r w:rsidR="00A37A89">
        <w:rPr>
          <w:lang w:val="en-GB"/>
        </w:rPr>
        <w:t xml:space="preserve">have </w:t>
      </w:r>
      <w:r w:rsidR="008E5AA1" w:rsidRPr="00152A20">
        <w:rPr>
          <w:lang w:val="en-GB"/>
        </w:rPr>
        <w:t xml:space="preserve">shaped </w:t>
      </w:r>
      <w:r w:rsidRPr="00152A20">
        <w:rPr>
          <w:lang w:val="en-GB"/>
        </w:rPr>
        <w:t xml:space="preserve">the </w:t>
      </w:r>
      <w:r w:rsidR="008E5AA1" w:rsidRPr="00152A20">
        <w:rPr>
          <w:lang w:val="en-GB"/>
        </w:rPr>
        <w:t>institutional landscape in Russia</w:t>
      </w:r>
      <w:r w:rsidRPr="00152A20">
        <w:rPr>
          <w:lang w:val="en-GB"/>
        </w:rPr>
        <w:t xml:space="preserve"> in the past decades</w:t>
      </w:r>
      <w:r w:rsidR="008E5AA1" w:rsidRPr="00152A20">
        <w:rPr>
          <w:lang w:val="en-GB"/>
        </w:rPr>
        <w:t xml:space="preserve">. </w:t>
      </w:r>
      <w:r w:rsidR="00A37A89">
        <w:rPr>
          <w:lang w:val="en-GB"/>
        </w:rPr>
        <w:t>D</w:t>
      </w:r>
      <w:r w:rsidR="008E5AA1" w:rsidRPr="00152A20">
        <w:rPr>
          <w:lang w:val="en-GB"/>
        </w:rPr>
        <w:t>ecrease</w:t>
      </w:r>
      <w:r w:rsidR="00A37A89">
        <w:rPr>
          <w:lang w:val="en-GB"/>
        </w:rPr>
        <w:t>d</w:t>
      </w:r>
      <w:r w:rsidR="008E5AA1" w:rsidRPr="00152A20">
        <w:rPr>
          <w:lang w:val="en-GB"/>
        </w:rPr>
        <w:t xml:space="preserve"> funding pushed </w:t>
      </w:r>
      <w:r w:rsidRPr="00152A20">
        <w:rPr>
          <w:lang w:val="en-GB"/>
        </w:rPr>
        <w:t>existing</w:t>
      </w:r>
      <w:r w:rsidR="008E5AA1" w:rsidRPr="00152A20">
        <w:rPr>
          <w:lang w:val="en-GB"/>
        </w:rPr>
        <w:t xml:space="preserve"> HEIs to seek new sources in order to su</w:t>
      </w:r>
      <w:r w:rsidRPr="00152A20">
        <w:rPr>
          <w:lang w:val="en-GB"/>
        </w:rPr>
        <w:t>rvive</w:t>
      </w:r>
      <w:r w:rsidR="008E5AA1" w:rsidRPr="00152A20">
        <w:rPr>
          <w:lang w:val="en-GB"/>
        </w:rPr>
        <w:t xml:space="preserve">. </w:t>
      </w:r>
      <w:r w:rsidR="00A37A89">
        <w:rPr>
          <w:lang w:val="en-GB"/>
        </w:rPr>
        <w:t>O</w:t>
      </w:r>
      <w:r w:rsidR="008E5AA1" w:rsidRPr="00152A20">
        <w:rPr>
          <w:lang w:val="en-GB"/>
        </w:rPr>
        <w:t>ld and new</w:t>
      </w:r>
      <w:r w:rsidR="00A6462F" w:rsidRPr="00152A20">
        <w:rPr>
          <w:lang w:val="en-GB"/>
        </w:rPr>
        <w:t>ly</w:t>
      </w:r>
      <w:r w:rsidR="008E5AA1" w:rsidRPr="00152A20">
        <w:rPr>
          <w:lang w:val="en-GB"/>
        </w:rPr>
        <w:t xml:space="preserve"> established institutions, </w:t>
      </w:r>
      <w:r w:rsidR="00A37A89">
        <w:rPr>
          <w:lang w:val="en-GB"/>
        </w:rPr>
        <w:t xml:space="preserve">both </w:t>
      </w:r>
      <w:r w:rsidR="008E5AA1" w:rsidRPr="00152A20">
        <w:rPr>
          <w:lang w:val="en-GB"/>
        </w:rPr>
        <w:t xml:space="preserve">public and private, </w:t>
      </w:r>
      <w:r w:rsidR="00A6462F" w:rsidRPr="00152A20">
        <w:rPr>
          <w:lang w:val="en-GB"/>
        </w:rPr>
        <w:t xml:space="preserve">entered </w:t>
      </w:r>
      <w:r w:rsidR="008E5AA1" w:rsidRPr="00152A20">
        <w:rPr>
          <w:lang w:val="en-GB"/>
        </w:rPr>
        <w:t xml:space="preserve">a new competition that </w:t>
      </w:r>
      <w:r w:rsidR="00A6462F" w:rsidRPr="00152A20">
        <w:rPr>
          <w:lang w:val="en-GB"/>
        </w:rPr>
        <w:t xml:space="preserve">went along with </w:t>
      </w:r>
      <w:r w:rsidR="008E5AA1" w:rsidRPr="00152A20">
        <w:rPr>
          <w:lang w:val="en-GB"/>
        </w:rPr>
        <w:t>regulatory liberali</w:t>
      </w:r>
      <w:r w:rsidR="00A6462F" w:rsidRPr="00152A20">
        <w:rPr>
          <w:lang w:val="en-GB"/>
        </w:rPr>
        <w:t>s</w:t>
      </w:r>
      <w:r w:rsidR="008E5AA1" w:rsidRPr="00152A20">
        <w:rPr>
          <w:lang w:val="en-GB"/>
        </w:rPr>
        <w:t>ation. The expansion was moreover fed by popula</w:t>
      </w:r>
      <w:r w:rsidR="00A37A89">
        <w:rPr>
          <w:lang w:val="en-GB"/>
        </w:rPr>
        <w:t>r</w:t>
      </w:r>
      <w:r w:rsidR="008E5AA1" w:rsidRPr="00152A20">
        <w:rPr>
          <w:lang w:val="en-GB"/>
        </w:rPr>
        <w:t xml:space="preserve"> demand </w:t>
      </w:r>
      <w:r w:rsidR="00A6462F" w:rsidRPr="00152A20">
        <w:rPr>
          <w:lang w:val="en-GB"/>
        </w:rPr>
        <w:t xml:space="preserve">in </w:t>
      </w:r>
      <w:r w:rsidR="008E5AA1" w:rsidRPr="00152A20">
        <w:rPr>
          <w:lang w:val="en-GB"/>
        </w:rPr>
        <w:t xml:space="preserve">reaction to the new social and economic conditions. Yet, </w:t>
      </w:r>
      <w:r w:rsidR="00A37A89">
        <w:rPr>
          <w:lang w:val="en-GB"/>
        </w:rPr>
        <w:t xml:space="preserve">many </w:t>
      </w:r>
      <w:r w:rsidR="008E5AA1" w:rsidRPr="00152A20">
        <w:rPr>
          <w:lang w:val="en-GB"/>
        </w:rPr>
        <w:t xml:space="preserve">HEIs continued playing the “higher learning tradition” </w:t>
      </w:r>
      <w:r w:rsidR="00BF2D98">
        <w:rPr>
          <w:lang w:val="en-GB"/>
        </w:rPr>
        <w:t>card by</w:t>
      </w:r>
      <w:r w:rsidR="00E11D20" w:rsidRPr="00152A20">
        <w:rPr>
          <w:lang w:val="en-GB"/>
        </w:rPr>
        <w:t xml:space="preserve"> address</w:t>
      </w:r>
      <w:r w:rsidR="00A37A89">
        <w:rPr>
          <w:lang w:val="en-GB"/>
        </w:rPr>
        <w:t>ing</w:t>
      </w:r>
      <w:r w:rsidR="00E11D20" w:rsidRPr="00152A20">
        <w:rPr>
          <w:lang w:val="en-GB"/>
        </w:rPr>
        <w:t xml:space="preserve"> their </w:t>
      </w:r>
      <w:r w:rsidR="00E9153B" w:rsidRPr="00152A20">
        <w:rPr>
          <w:lang w:val="en-GB"/>
        </w:rPr>
        <w:t>legac</w:t>
      </w:r>
      <w:r w:rsidR="00E11D20" w:rsidRPr="00152A20">
        <w:rPr>
          <w:lang w:val="en-GB"/>
        </w:rPr>
        <w:t xml:space="preserve">y, mostly Soviet, in order to legitimate their existence </w:t>
      </w:r>
      <w:r w:rsidR="00A37A89">
        <w:rPr>
          <w:lang w:val="en-GB"/>
        </w:rPr>
        <w:t xml:space="preserve">in current </w:t>
      </w:r>
      <w:r w:rsidR="00E11D20" w:rsidRPr="00152A20">
        <w:rPr>
          <w:lang w:val="en-GB"/>
        </w:rPr>
        <w:t xml:space="preserve">times. </w:t>
      </w:r>
      <w:r w:rsidR="00A37A89">
        <w:rPr>
          <w:lang w:val="en-GB"/>
        </w:rPr>
        <w:t xml:space="preserve">Many </w:t>
      </w:r>
      <w:r w:rsidR="00E11D20" w:rsidRPr="00152A20">
        <w:rPr>
          <w:lang w:val="en-GB"/>
        </w:rPr>
        <w:t xml:space="preserve">internally diversified HEIs even kept </w:t>
      </w:r>
      <w:r w:rsidR="00E9153B" w:rsidRPr="00152A20">
        <w:rPr>
          <w:lang w:val="en-GB"/>
        </w:rPr>
        <w:t xml:space="preserve">their </w:t>
      </w:r>
      <w:r w:rsidR="00E11D20" w:rsidRPr="00152A20">
        <w:rPr>
          <w:lang w:val="en-GB"/>
        </w:rPr>
        <w:t>old names in order to demonstrate the</w:t>
      </w:r>
      <w:r w:rsidR="00A37A89">
        <w:rPr>
          <w:lang w:val="en-GB"/>
        </w:rPr>
        <w:t xml:space="preserve">ir </w:t>
      </w:r>
      <w:r w:rsidR="00E11D20" w:rsidRPr="00152A20">
        <w:rPr>
          <w:lang w:val="en-GB"/>
        </w:rPr>
        <w:t>commitment to parent industries. This conservatism combined with general organi</w:t>
      </w:r>
      <w:r w:rsidR="00A37A89">
        <w:rPr>
          <w:lang w:val="en-GB"/>
        </w:rPr>
        <w:t>s</w:t>
      </w:r>
      <w:r w:rsidR="00E11D20" w:rsidRPr="00152A20">
        <w:rPr>
          <w:lang w:val="en-GB"/>
        </w:rPr>
        <w:t>ational adaptability</w:t>
      </w:r>
      <w:r w:rsidR="008E5AA1" w:rsidRPr="00152A20">
        <w:rPr>
          <w:lang w:val="en-GB"/>
        </w:rPr>
        <w:t xml:space="preserve"> </w:t>
      </w:r>
      <w:r w:rsidR="00BF2D98">
        <w:rPr>
          <w:lang w:val="en-GB"/>
        </w:rPr>
        <w:t xml:space="preserve">has </w:t>
      </w:r>
      <w:r w:rsidR="008E5AA1" w:rsidRPr="00152A20">
        <w:rPr>
          <w:lang w:val="en-GB"/>
        </w:rPr>
        <w:t xml:space="preserve">sustained path dependency. </w:t>
      </w:r>
    </w:p>
    <w:p w14:paraId="12C3658D" w14:textId="755AF267" w:rsidR="00037D5F" w:rsidRPr="00152A20" w:rsidRDefault="008E5AA1">
      <w:pPr>
        <w:rPr>
          <w:lang w:val="en-GB"/>
        </w:rPr>
      </w:pPr>
      <w:r w:rsidRPr="00152A20">
        <w:rPr>
          <w:lang w:val="en-GB"/>
        </w:rPr>
        <w:t>From the 2000s</w:t>
      </w:r>
      <w:r w:rsidR="00A6462F" w:rsidRPr="00152A20">
        <w:rPr>
          <w:lang w:val="en-GB"/>
        </w:rPr>
        <w:t>,</w:t>
      </w:r>
      <w:r w:rsidRPr="00152A20">
        <w:rPr>
          <w:lang w:val="en-GB"/>
        </w:rPr>
        <w:t xml:space="preserve"> the comeback of the state</w:t>
      </w:r>
      <w:r w:rsidR="00A37A89">
        <w:rPr>
          <w:lang w:val="en-GB"/>
        </w:rPr>
        <w:t xml:space="preserve"> as</w:t>
      </w:r>
      <w:r w:rsidRPr="00152A20">
        <w:rPr>
          <w:lang w:val="en-GB"/>
        </w:rPr>
        <w:t xml:space="preserve"> financially stronger and more</w:t>
      </w:r>
      <w:r w:rsidR="00B42F8F" w:rsidRPr="00152A20">
        <w:rPr>
          <w:lang w:val="en-GB"/>
        </w:rPr>
        <w:t xml:space="preserve"> managerial</w:t>
      </w:r>
      <w:r w:rsidRPr="00152A20">
        <w:rPr>
          <w:lang w:val="en-GB"/>
        </w:rPr>
        <w:t xml:space="preserve"> brought several policies that introduced new rules of the game: </w:t>
      </w:r>
      <w:r w:rsidR="00A6462F" w:rsidRPr="00152A20">
        <w:rPr>
          <w:lang w:val="en-GB"/>
        </w:rPr>
        <w:t xml:space="preserve">the </w:t>
      </w:r>
      <w:r w:rsidRPr="00152A20">
        <w:rPr>
          <w:lang w:val="en-GB"/>
        </w:rPr>
        <w:t xml:space="preserve">Unified National Examination, </w:t>
      </w:r>
      <w:r w:rsidR="00A37A89">
        <w:rPr>
          <w:lang w:val="en-GB"/>
        </w:rPr>
        <w:t xml:space="preserve">and </w:t>
      </w:r>
      <w:r w:rsidRPr="00152A20">
        <w:rPr>
          <w:lang w:val="en-GB"/>
        </w:rPr>
        <w:t xml:space="preserve">two-level (later three-level) degrees. </w:t>
      </w:r>
    </w:p>
    <w:p w14:paraId="6D1B9B20" w14:textId="2872E317" w:rsidR="00037D5F" w:rsidRPr="00152A20" w:rsidRDefault="008E5AA1">
      <w:pPr>
        <w:rPr>
          <w:lang w:val="en-GB"/>
        </w:rPr>
      </w:pPr>
      <w:r w:rsidRPr="00152A20">
        <w:rPr>
          <w:lang w:val="en-GB"/>
        </w:rPr>
        <w:t xml:space="preserve">The initiatives that aimed </w:t>
      </w:r>
      <w:r w:rsidR="00A6462F" w:rsidRPr="00152A20">
        <w:rPr>
          <w:lang w:val="en-GB"/>
        </w:rPr>
        <w:t>at</w:t>
      </w:r>
      <w:r w:rsidRPr="00152A20">
        <w:rPr>
          <w:lang w:val="en-GB"/>
        </w:rPr>
        <w:t xml:space="preserve"> system segmentation (from 2006</w:t>
      </w:r>
      <w:r w:rsidR="00A6462F" w:rsidRPr="00152A20">
        <w:rPr>
          <w:lang w:val="en-GB"/>
        </w:rPr>
        <w:t xml:space="preserve"> on</w:t>
      </w:r>
      <w:r w:rsidRPr="00152A20">
        <w:rPr>
          <w:lang w:val="en-GB"/>
        </w:rPr>
        <w:t xml:space="preserve">) shaped the Russian institutional landscape even more, in </w:t>
      </w:r>
      <w:r w:rsidR="00A37A89" w:rsidRPr="00152A20">
        <w:rPr>
          <w:lang w:val="en-GB"/>
        </w:rPr>
        <w:t xml:space="preserve">both </w:t>
      </w:r>
      <w:r w:rsidR="00A6462F" w:rsidRPr="00152A20">
        <w:rPr>
          <w:lang w:val="en-GB"/>
        </w:rPr>
        <w:t xml:space="preserve">the </w:t>
      </w:r>
      <w:r w:rsidRPr="00152A20">
        <w:rPr>
          <w:lang w:val="en-GB"/>
        </w:rPr>
        <w:t xml:space="preserve">vertical and horizontal dimension. </w:t>
      </w:r>
      <w:r w:rsidR="00A6462F" w:rsidRPr="00152A20">
        <w:rPr>
          <w:lang w:val="en-GB"/>
        </w:rPr>
        <w:t>The c</w:t>
      </w:r>
      <w:r w:rsidRPr="00152A20">
        <w:rPr>
          <w:lang w:val="en-GB"/>
        </w:rPr>
        <w:t xml:space="preserve">reation of federal universities and assignment of national research universities resulted in </w:t>
      </w:r>
      <w:r w:rsidR="00A37A89">
        <w:rPr>
          <w:lang w:val="en-GB"/>
        </w:rPr>
        <w:t xml:space="preserve">the </w:t>
      </w:r>
      <w:r w:rsidRPr="00152A20">
        <w:rPr>
          <w:lang w:val="en-GB"/>
        </w:rPr>
        <w:t>coercive adoption of new functions: regional labo</w:t>
      </w:r>
      <w:r w:rsidR="00A37A89">
        <w:rPr>
          <w:lang w:val="en-GB"/>
        </w:rPr>
        <w:t>u</w:t>
      </w:r>
      <w:r w:rsidRPr="00152A20">
        <w:rPr>
          <w:lang w:val="en-GB"/>
        </w:rPr>
        <w:t xml:space="preserve">r market supply, research efficiency, </w:t>
      </w:r>
      <w:r w:rsidR="00A37A89">
        <w:rPr>
          <w:lang w:val="en-GB"/>
        </w:rPr>
        <w:t xml:space="preserve">and </w:t>
      </w:r>
      <w:r w:rsidRPr="00152A20">
        <w:rPr>
          <w:lang w:val="en-GB"/>
        </w:rPr>
        <w:t xml:space="preserve">international recognition. </w:t>
      </w:r>
    </w:p>
    <w:p w14:paraId="571B10B6" w14:textId="682912BF" w:rsidR="00037D5F" w:rsidRPr="00152A20" w:rsidRDefault="008E5AA1">
      <w:pPr>
        <w:rPr>
          <w:lang w:val="en-GB"/>
        </w:rPr>
      </w:pPr>
      <w:r w:rsidRPr="00152A20">
        <w:rPr>
          <w:lang w:val="en-GB"/>
        </w:rPr>
        <w:t xml:space="preserve">Public claims </w:t>
      </w:r>
      <w:r w:rsidR="00A6462F" w:rsidRPr="00152A20">
        <w:rPr>
          <w:lang w:val="en-GB"/>
        </w:rPr>
        <w:t xml:space="preserve">for </w:t>
      </w:r>
      <w:r w:rsidR="00A37A89" w:rsidRPr="00152A20">
        <w:rPr>
          <w:lang w:val="en-GB"/>
        </w:rPr>
        <w:t xml:space="preserve">education </w:t>
      </w:r>
      <w:r w:rsidRPr="00152A20">
        <w:rPr>
          <w:lang w:val="en-GB"/>
        </w:rPr>
        <w:t>quality</w:t>
      </w:r>
      <w:r w:rsidR="00A37A89">
        <w:rPr>
          <w:lang w:val="en-GB"/>
        </w:rPr>
        <w:t xml:space="preserve"> </w:t>
      </w:r>
      <w:r w:rsidRPr="00152A20">
        <w:rPr>
          <w:lang w:val="en-GB"/>
        </w:rPr>
        <w:t xml:space="preserve">and the governmental intention to </w:t>
      </w:r>
      <w:r w:rsidR="00A6462F" w:rsidRPr="00152A20">
        <w:rPr>
          <w:lang w:val="en-GB"/>
        </w:rPr>
        <w:t xml:space="preserve">spend resources </w:t>
      </w:r>
      <w:r w:rsidRPr="00152A20">
        <w:rPr>
          <w:lang w:val="en-GB"/>
        </w:rPr>
        <w:t>efficient</w:t>
      </w:r>
      <w:r w:rsidR="00A6462F" w:rsidRPr="00152A20">
        <w:rPr>
          <w:lang w:val="en-GB"/>
        </w:rPr>
        <w:t>ly</w:t>
      </w:r>
      <w:r w:rsidRPr="00152A20">
        <w:rPr>
          <w:lang w:val="en-GB"/>
        </w:rPr>
        <w:t xml:space="preserve"> drove the system to the </w:t>
      </w:r>
      <w:r w:rsidR="00A6462F" w:rsidRPr="00152A20">
        <w:rPr>
          <w:lang w:val="en-GB"/>
        </w:rPr>
        <w:t>“</w:t>
      </w:r>
      <w:r w:rsidRPr="00152A20">
        <w:rPr>
          <w:lang w:val="en-GB"/>
        </w:rPr>
        <w:t>optimi</w:t>
      </w:r>
      <w:r w:rsidR="00A6462F" w:rsidRPr="00152A20">
        <w:rPr>
          <w:lang w:val="en-GB"/>
        </w:rPr>
        <w:t>s</w:t>
      </w:r>
      <w:r w:rsidRPr="00152A20">
        <w:rPr>
          <w:lang w:val="en-GB"/>
        </w:rPr>
        <w:t>ation</w:t>
      </w:r>
      <w:r w:rsidR="00A6462F" w:rsidRPr="00152A20">
        <w:rPr>
          <w:lang w:val="en-GB"/>
        </w:rPr>
        <w:t>”</w:t>
      </w:r>
      <w:r w:rsidRPr="00152A20">
        <w:rPr>
          <w:lang w:val="en-GB"/>
        </w:rPr>
        <w:t xml:space="preserve"> period (from 2012</w:t>
      </w:r>
      <w:r w:rsidR="00A6462F" w:rsidRPr="00152A20">
        <w:rPr>
          <w:lang w:val="en-GB"/>
        </w:rPr>
        <w:t xml:space="preserve"> on</w:t>
      </w:r>
      <w:r w:rsidRPr="00152A20">
        <w:rPr>
          <w:lang w:val="en-GB"/>
        </w:rPr>
        <w:t xml:space="preserve">). Along with </w:t>
      </w:r>
      <w:r w:rsidR="00A37A89">
        <w:rPr>
          <w:lang w:val="en-GB"/>
        </w:rPr>
        <w:t xml:space="preserve">licence </w:t>
      </w:r>
      <w:r w:rsidRPr="00152A20">
        <w:rPr>
          <w:lang w:val="en-GB"/>
        </w:rPr>
        <w:t>withdrawals</w:t>
      </w:r>
      <w:r w:rsidR="00A6462F" w:rsidRPr="00152A20">
        <w:rPr>
          <w:lang w:val="en-GB"/>
        </w:rPr>
        <w:t>,</w:t>
      </w:r>
      <w:r w:rsidRPr="00152A20">
        <w:rPr>
          <w:lang w:val="en-GB"/>
        </w:rPr>
        <w:t xml:space="preserve"> the </w:t>
      </w:r>
      <w:r w:rsidRPr="00152A20">
        <w:rPr>
          <w:lang w:val="en-GB"/>
        </w:rPr>
        <w:lastRenderedPageBreak/>
        <w:t xml:space="preserve">state widely used mergers to correct the system to </w:t>
      </w:r>
      <w:r w:rsidR="00A6462F" w:rsidRPr="00152A20">
        <w:rPr>
          <w:lang w:val="en-GB"/>
        </w:rPr>
        <w:t>a</w:t>
      </w:r>
      <w:r w:rsidRPr="00152A20">
        <w:rPr>
          <w:lang w:val="en-GB"/>
        </w:rPr>
        <w:t xml:space="preserve"> manageable size</w:t>
      </w:r>
      <w:r w:rsidR="00A6462F" w:rsidRPr="00152A20">
        <w:rPr>
          <w:lang w:val="en-GB"/>
        </w:rPr>
        <w:t xml:space="preserve"> and assumed higher levels of efficiency</w:t>
      </w:r>
      <w:r w:rsidRPr="00152A20">
        <w:rPr>
          <w:lang w:val="en-GB"/>
        </w:rPr>
        <w:t xml:space="preserve">. </w:t>
      </w:r>
      <w:r w:rsidR="00A6462F" w:rsidRPr="00152A20">
        <w:rPr>
          <w:lang w:val="en-GB"/>
        </w:rPr>
        <w:t>The g</w:t>
      </w:r>
      <w:r w:rsidRPr="00152A20">
        <w:rPr>
          <w:lang w:val="en-GB"/>
        </w:rPr>
        <w:t xml:space="preserve">overnment </w:t>
      </w:r>
      <w:r w:rsidR="00A37A89">
        <w:rPr>
          <w:lang w:val="en-GB"/>
        </w:rPr>
        <w:t xml:space="preserve">is </w:t>
      </w:r>
      <w:r w:rsidRPr="00152A20">
        <w:rPr>
          <w:lang w:val="en-GB"/>
        </w:rPr>
        <w:t>contin</w:t>
      </w:r>
      <w:r w:rsidR="00A37A89">
        <w:rPr>
          <w:lang w:val="en-GB"/>
        </w:rPr>
        <w:t xml:space="preserve">uing with system </w:t>
      </w:r>
      <w:r w:rsidRPr="00152A20">
        <w:rPr>
          <w:lang w:val="en-GB"/>
        </w:rPr>
        <w:t xml:space="preserve">segmentation to build </w:t>
      </w:r>
      <w:r w:rsidR="00A6462F" w:rsidRPr="00152A20">
        <w:rPr>
          <w:lang w:val="en-GB"/>
        </w:rPr>
        <w:t>a</w:t>
      </w:r>
      <w:r w:rsidR="00A37A89">
        <w:rPr>
          <w:lang w:val="en-GB"/>
        </w:rPr>
        <w:t>n institutional</w:t>
      </w:r>
      <w:r w:rsidR="00A6462F" w:rsidRPr="00152A20">
        <w:rPr>
          <w:lang w:val="en-GB"/>
        </w:rPr>
        <w:t xml:space="preserve"> </w:t>
      </w:r>
      <w:r w:rsidRPr="00152A20">
        <w:rPr>
          <w:lang w:val="en-GB"/>
        </w:rPr>
        <w:t>hierarch</w:t>
      </w:r>
      <w:r w:rsidR="00A6462F" w:rsidRPr="00152A20">
        <w:rPr>
          <w:lang w:val="en-GB"/>
        </w:rPr>
        <w:t xml:space="preserve">y. </w:t>
      </w:r>
    </w:p>
    <w:p w14:paraId="445CFA26" w14:textId="14F753BA" w:rsidR="00037D5F" w:rsidRPr="00152A20" w:rsidRDefault="008E5AA1">
      <w:pPr>
        <w:rPr>
          <w:lang w:val="en-GB"/>
        </w:rPr>
      </w:pPr>
      <w:r w:rsidRPr="00152A20">
        <w:rPr>
          <w:lang w:val="en-GB"/>
        </w:rPr>
        <w:t xml:space="preserve">The aspiration </w:t>
      </w:r>
      <w:r w:rsidR="00A37A89">
        <w:rPr>
          <w:lang w:val="en-GB"/>
        </w:rPr>
        <w:t xml:space="preserve">of </w:t>
      </w:r>
      <w:r w:rsidR="00A6462F" w:rsidRPr="00152A20">
        <w:rPr>
          <w:lang w:val="en-GB"/>
        </w:rPr>
        <w:t xml:space="preserve">a </w:t>
      </w:r>
      <w:r w:rsidRPr="00152A20">
        <w:rPr>
          <w:lang w:val="en-GB"/>
        </w:rPr>
        <w:t xml:space="preserve">clearly arranged structure </w:t>
      </w:r>
      <w:r w:rsidR="00A37A89">
        <w:rPr>
          <w:lang w:val="en-GB"/>
        </w:rPr>
        <w:t>for</w:t>
      </w:r>
      <w:r w:rsidRPr="00152A20">
        <w:rPr>
          <w:lang w:val="en-GB"/>
        </w:rPr>
        <w:t xml:space="preserve"> </w:t>
      </w:r>
      <w:r w:rsidR="00A6462F" w:rsidRPr="00152A20">
        <w:rPr>
          <w:lang w:val="en-GB"/>
        </w:rPr>
        <w:t xml:space="preserve">the </w:t>
      </w:r>
      <w:r w:rsidRPr="00152A20">
        <w:rPr>
          <w:lang w:val="en-GB"/>
        </w:rPr>
        <w:t>higher education system is not new. The Soviet design</w:t>
      </w:r>
      <w:r w:rsidR="00A37A89">
        <w:rPr>
          <w:lang w:val="en-GB"/>
        </w:rPr>
        <w:t xml:space="preserve"> also outlined </w:t>
      </w:r>
      <w:r w:rsidRPr="00152A20">
        <w:rPr>
          <w:lang w:val="en-GB"/>
        </w:rPr>
        <w:t xml:space="preserve">clearly defined functions. However, the size of the system and </w:t>
      </w:r>
      <w:r w:rsidR="00A6462F" w:rsidRPr="00152A20">
        <w:rPr>
          <w:lang w:val="en-GB"/>
        </w:rPr>
        <w:t xml:space="preserve">the </w:t>
      </w:r>
      <w:r w:rsidRPr="00152A20">
        <w:rPr>
          <w:lang w:val="en-GB"/>
        </w:rPr>
        <w:t>emergence of popul</w:t>
      </w:r>
      <w:r w:rsidR="00A37A89">
        <w:rPr>
          <w:lang w:val="en-GB"/>
        </w:rPr>
        <w:t>ar</w:t>
      </w:r>
      <w:r w:rsidRPr="00152A20">
        <w:rPr>
          <w:lang w:val="en-GB"/>
        </w:rPr>
        <w:t xml:space="preserve"> demand as defining factors close</w:t>
      </w:r>
      <w:r w:rsidR="00A37A89">
        <w:rPr>
          <w:lang w:val="en-GB"/>
        </w:rPr>
        <w:t>d</w:t>
      </w:r>
      <w:r w:rsidRPr="00152A20">
        <w:rPr>
          <w:lang w:val="en-GB"/>
        </w:rPr>
        <w:t xml:space="preserve"> the door </w:t>
      </w:r>
      <w:r w:rsidR="00A37A89">
        <w:rPr>
          <w:lang w:val="en-GB"/>
        </w:rPr>
        <w:t>on</w:t>
      </w:r>
      <w:r w:rsidRPr="00152A20">
        <w:rPr>
          <w:lang w:val="en-GB"/>
        </w:rPr>
        <w:t xml:space="preserve"> </w:t>
      </w:r>
      <w:r w:rsidR="00A6462F" w:rsidRPr="00152A20">
        <w:rPr>
          <w:lang w:val="en-GB"/>
        </w:rPr>
        <w:t xml:space="preserve">a </w:t>
      </w:r>
      <w:r w:rsidRPr="00152A20">
        <w:rPr>
          <w:lang w:val="en-GB"/>
        </w:rPr>
        <w:t>re</w:t>
      </w:r>
      <w:r w:rsidR="00A6462F" w:rsidRPr="00152A20">
        <w:rPr>
          <w:lang w:val="en-GB"/>
        </w:rPr>
        <w:t xml:space="preserve">naissance </w:t>
      </w:r>
      <w:r w:rsidRPr="00152A20">
        <w:rPr>
          <w:lang w:val="en-GB"/>
        </w:rPr>
        <w:t xml:space="preserve">of the Soviet </w:t>
      </w:r>
      <w:proofErr w:type="spellStart"/>
      <w:r w:rsidRPr="00152A20">
        <w:rPr>
          <w:lang w:val="en-GB"/>
        </w:rPr>
        <w:t>masterplan</w:t>
      </w:r>
      <w:proofErr w:type="spellEnd"/>
      <w:r w:rsidR="00A6462F" w:rsidRPr="00152A20">
        <w:rPr>
          <w:lang w:val="en-GB"/>
        </w:rPr>
        <w:t xml:space="preserve">, but also </w:t>
      </w:r>
      <w:r w:rsidR="00A37A89">
        <w:rPr>
          <w:lang w:val="en-GB"/>
        </w:rPr>
        <w:t xml:space="preserve">on </w:t>
      </w:r>
      <w:r w:rsidR="00A6462F" w:rsidRPr="00152A20">
        <w:rPr>
          <w:lang w:val="en-GB"/>
        </w:rPr>
        <w:t xml:space="preserve">a wholesale introduction of </w:t>
      </w:r>
      <w:r w:rsidR="00A37A89">
        <w:rPr>
          <w:lang w:val="en-GB"/>
        </w:rPr>
        <w:t xml:space="preserve">Western </w:t>
      </w:r>
      <w:r w:rsidRPr="00152A20">
        <w:rPr>
          <w:lang w:val="en-GB"/>
        </w:rPr>
        <w:t>concepts and structures. For the state and society</w:t>
      </w:r>
      <w:r w:rsidR="00A37A89">
        <w:rPr>
          <w:lang w:val="en-GB"/>
        </w:rPr>
        <w:t>,</w:t>
      </w:r>
      <w:r w:rsidRPr="00152A20">
        <w:rPr>
          <w:lang w:val="en-GB"/>
        </w:rPr>
        <w:t xml:space="preserve"> </w:t>
      </w:r>
      <w:r w:rsidR="00A37A89">
        <w:rPr>
          <w:lang w:val="en-GB"/>
        </w:rPr>
        <w:t xml:space="preserve">it </w:t>
      </w:r>
      <w:r w:rsidRPr="00152A20">
        <w:rPr>
          <w:lang w:val="en-GB"/>
        </w:rPr>
        <w:t xml:space="preserve">is still </w:t>
      </w:r>
      <w:r w:rsidR="00A37A89">
        <w:rPr>
          <w:lang w:val="en-GB"/>
        </w:rPr>
        <w:t xml:space="preserve">a </w:t>
      </w:r>
      <w:r w:rsidRPr="00152A20">
        <w:rPr>
          <w:lang w:val="en-GB"/>
        </w:rPr>
        <w:t xml:space="preserve">work-in-progress to find balance </w:t>
      </w:r>
      <w:r w:rsidR="00A6462F" w:rsidRPr="00152A20">
        <w:rPr>
          <w:lang w:val="en-GB"/>
        </w:rPr>
        <w:t>in</w:t>
      </w:r>
      <w:r w:rsidRPr="00152A20">
        <w:rPr>
          <w:lang w:val="en-GB"/>
        </w:rPr>
        <w:t xml:space="preserve"> the institutional landscape with regard to regional differentiation, </w:t>
      </w:r>
      <w:r w:rsidR="00A6462F" w:rsidRPr="00152A20">
        <w:rPr>
          <w:lang w:val="en-GB"/>
        </w:rPr>
        <w:t xml:space="preserve">the </w:t>
      </w:r>
      <w:r w:rsidRPr="00152A20">
        <w:rPr>
          <w:lang w:val="en-GB"/>
        </w:rPr>
        <w:t xml:space="preserve">country’s global ambitions, </w:t>
      </w:r>
      <w:r w:rsidR="00A6462F" w:rsidRPr="00152A20">
        <w:rPr>
          <w:lang w:val="en-GB"/>
        </w:rPr>
        <w:t xml:space="preserve">its </w:t>
      </w:r>
      <w:r w:rsidRPr="00152A20">
        <w:rPr>
          <w:lang w:val="en-GB"/>
        </w:rPr>
        <w:t>path</w:t>
      </w:r>
      <w:r w:rsidR="00A6462F" w:rsidRPr="00152A20">
        <w:rPr>
          <w:lang w:val="en-GB"/>
        </w:rPr>
        <w:t xml:space="preserve"> </w:t>
      </w:r>
      <w:r w:rsidRPr="00152A20">
        <w:rPr>
          <w:lang w:val="en-GB"/>
        </w:rPr>
        <w:t>dependency</w:t>
      </w:r>
      <w:r w:rsidR="00A6462F" w:rsidRPr="00152A20">
        <w:rPr>
          <w:lang w:val="en-GB"/>
        </w:rPr>
        <w:t xml:space="preserve"> from historical developments</w:t>
      </w:r>
      <w:r w:rsidRPr="00152A20">
        <w:rPr>
          <w:lang w:val="en-GB"/>
        </w:rPr>
        <w:t xml:space="preserve">, and </w:t>
      </w:r>
      <w:r w:rsidR="00A6462F" w:rsidRPr="00152A20">
        <w:rPr>
          <w:lang w:val="en-GB"/>
        </w:rPr>
        <w:t xml:space="preserve">the </w:t>
      </w:r>
      <w:r w:rsidRPr="00152A20">
        <w:rPr>
          <w:lang w:val="en-GB"/>
        </w:rPr>
        <w:t>relevance of higher learning</w:t>
      </w:r>
      <w:r w:rsidR="00A6462F" w:rsidRPr="00152A20">
        <w:rPr>
          <w:lang w:val="en-GB"/>
        </w:rPr>
        <w:t xml:space="preserve"> in the contemporary and</w:t>
      </w:r>
      <w:r w:rsidR="00E11D20" w:rsidRPr="00152A20">
        <w:rPr>
          <w:lang w:val="en-GB"/>
        </w:rPr>
        <w:t xml:space="preserve"> </w:t>
      </w:r>
      <w:r w:rsidR="00A6462F" w:rsidRPr="00152A20">
        <w:rPr>
          <w:lang w:val="en-GB"/>
        </w:rPr>
        <w:t>future</w:t>
      </w:r>
      <w:r w:rsidRPr="00152A20">
        <w:rPr>
          <w:lang w:val="en-GB"/>
        </w:rPr>
        <w:t xml:space="preserve"> socio-economic environment.  </w:t>
      </w:r>
    </w:p>
    <w:p w14:paraId="3DF54A16" w14:textId="77777777" w:rsidR="00037D5F" w:rsidRPr="00152A20" w:rsidRDefault="008E5AA1">
      <w:pPr>
        <w:pStyle w:val="Heading1"/>
        <w:widowControl w:val="0"/>
        <w:spacing w:line="480" w:lineRule="auto"/>
        <w:jc w:val="left"/>
        <w:rPr>
          <w:lang w:val="en-GB"/>
        </w:rPr>
      </w:pPr>
      <w:bookmarkStart w:id="18" w:name="_4i7ojhp" w:colFirst="0" w:colLast="0"/>
      <w:bookmarkEnd w:id="18"/>
      <w:r w:rsidRPr="00152A20">
        <w:rPr>
          <w:lang w:val="en-GB"/>
        </w:rPr>
        <w:t>References</w:t>
      </w:r>
    </w:p>
    <w:p w14:paraId="0628165F" w14:textId="77777777" w:rsidR="00037D5F" w:rsidRPr="00152A20" w:rsidRDefault="008E5AA1">
      <w:pPr>
        <w:spacing w:line="324" w:lineRule="auto"/>
        <w:ind w:left="429" w:hanging="869"/>
        <w:rPr>
          <w:lang w:val="en-GB"/>
        </w:rPr>
      </w:pPr>
      <w:r w:rsidRPr="00152A20">
        <w:rPr>
          <w:lang w:val="en-GB"/>
        </w:rPr>
        <w:t xml:space="preserve">Bain, Olga B. 2003. </w:t>
      </w:r>
      <w:r w:rsidRPr="00152A20">
        <w:rPr>
          <w:i/>
          <w:lang w:val="en-GB"/>
        </w:rPr>
        <w:t>University Autonomy in the Russian Federation since Perestroika</w:t>
      </w:r>
      <w:r w:rsidRPr="00152A20">
        <w:rPr>
          <w:lang w:val="en-GB"/>
        </w:rPr>
        <w:t xml:space="preserve">. Studies in Higher Education, Dissertation Series. New York: </w:t>
      </w:r>
      <w:proofErr w:type="spellStart"/>
      <w:r w:rsidRPr="00152A20">
        <w:rPr>
          <w:lang w:val="en-GB"/>
        </w:rPr>
        <w:t>RoutledgeFalmer</w:t>
      </w:r>
      <w:proofErr w:type="spellEnd"/>
      <w:r w:rsidRPr="00152A20">
        <w:rPr>
          <w:lang w:val="en-GB"/>
        </w:rPr>
        <w:t>.</w:t>
      </w:r>
    </w:p>
    <w:p w14:paraId="4AEEEEF6" w14:textId="77777777" w:rsidR="00037D5F" w:rsidRPr="00152A20" w:rsidRDefault="008E5AA1">
      <w:pPr>
        <w:spacing w:line="324" w:lineRule="auto"/>
        <w:ind w:left="429" w:hanging="869"/>
        <w:rPr>
          <w:lang w:val="en-GB"/>
        </w:rPr>
      </w:pPr>
      <w:proofErr w:type="spellStart"/>
      <w:r w:rsidRPr="00152A20">
        <w:rPr>
          <w:lang w:val="en-GB"/>
        </w:rPr>
        <w:t>Balzer</w:t>
      </w:r>
      <w:proofErr w:type="spellEnd"/>
      <w:r w:rsidRPr="00152A20">
        <w:rPr>
          <w:lang w:val="en-GB"/>
        </w:rPr>
        <w:t xml:space="preserve">, Harley D. 1994. “Plans to Reform Russian Higher Education.” </w:t>
      </w:r>
      <w:r w:rsidRPr="00152A20">
        <w:rPr>
          <w:i/>
          <w:lang w:val="en-GB"/>
        </w:rPr>
        <w:t>Education and Society in the New Russia</w:t>
      </w:r>
      <w:r w:rsidRPr="00152A20">
        <w:rPr>
          <w:lang w:val="en-GB"/>
        </w:rPr>
        <w:t>, 27–46.</w:t>
      </w:r>
    </w:p>
    <w:p w14:paraId="4B5232E7" w14:textId="77777777" w:rsidR="00037D5F" w:rsidRPr="00152A20" w:rsidRDefault="008E5AA1">
      <w:pPr>
        <w:spacing w:line="324" w:lineRule="auto"/>
        <w:ind w:left="429" w:hanging="869"/>
        <w:rPr>
          <w:lang w:val="en-GB"/>
        </w:rPr>
      </w:pPr>
      <w:proofErr w:type="spellStart"/>
      <w:r w:rsidRPr="00152A20">
        <w:rPr>
          <w:lang w:val="en-GB"/>
        </w:rPr>
        <w:t>Dezhina</w:t>
      </w:r>
      <w:proofErr w:type="spellEnd"/>
      <w:r w:rsidRPr="00152A20">
        <w:rPr>
          <w:lang w:val="en-GB"/>
        </w:rPr>
        <w:t xml:space="preserve">, Irina, and Loren Graham. 1999. “Science and Higher Education in Russia.” </w:t>
      </w:r>
      <w:r w:rsidRPr="00152A20">
        <w:rPr>
          <w:i/>
          <w:lang w:val="en-GB"/>
        </w:rPr>
        <w:t>Science</w:t>
      </w:r>
      <w:r w:rsidRPr="00152A20">
        <w:rPr>
          <w:lang w:val="en-GB"/>
        </w:rPr>
        <w:t xml:space="preserve"> 286 (5443): 1303–4.</w:t>
      </w:r>
    </w:p>
    <w:p w14:paraId="2B779219" w14:textId="77777777" w:rsidR="00037D5F" w:rsidRPr="00152A20" w:rsidRDefault="008E5AA1">
      <w:pPr>
        <w:spacing w:line="324" w:lineRule="auto"/>
        <w:ind w:left="429" w:hanging="869"/>
        <w:rPr>
          <w:lang w:val="en-GB"/>
        </w:rPr>
      </w:pPr>
      <w:proofErr w:type="spellStart"/>
      <w:r w:rsidRPr="00152A20">
        <w:rPr>
          <w:lang w:val="en-GB"/>
        </w:rPr>
        <w:t>Froumin</w:t>
      </w:r>
      <w:proofErr w:type="spellEnd"/>
      <w:r w:rsidRPr="00152A20">
        <w:rPr>
          <w:lang w:val="en-GB"/>
        </w:rPr>
        <w:t xml:space="preserve">, </w:t>
      </w:r>
      <w:proofErr w:type="spellStart"/>
      <w:r w:rsidRPr="00152A20">
        <w:rPr>
          <w:lang w:val="en-GB"/>
        </w:rPr>
        <w:t>Isak</w:t>
      </w:r>
      <w:proofErr w:type="spellEnd"/>
      <w:r w:rsidRPr="00152A20">
        <w:rPr>
          <w:lang w:val="en-GB"/>
        </w:rPr>
        <w:t xml:space="preserve">, </w:t>
      </w:r>
      <w:proofErr w:type="spellStart"/>
      <w:r w:rsidRPr="00152A20">
        <w:rPr>
          <w:lang w:val="en-GB"/>
        </w:rPr>
        <w:t>Yaroslav</w:t>
      </w:r>
      <w:proofErr w:type="spellEnd"/>
      <w:r w:rsidRPr="00152A20">
        <w:rPr>
          <w:lang w:val="en-GB"/>
        </w:rPr>
        <w:t xml:space="preserve"> </w:t>
      </w:r>
      <w:proofErr w:type="spellStart"/>
      <w:r w:rsidRPr="00152A20">
        <w:rPr>
          <w:lang w:val="en-GB"/>
        </w:rPr>
        <w:t>Kouzminov</w:t>
      </w:r>
      <w:proofErr w:type="spellEnd"/>
      <w:r w:rsidRPr="00152A20">
        <w:rPr>
          <w:lang w:val="en-GB"/>
        </w:rPr>
        <w:t xml:space="preserve">, and Dmitry </w:t>
      </w:r>
      <w:proofErr w:type="spellStart"/>
      <w:r w:rsidRPr="00152A20">
        <w:rPr>
          <w:lang w:val="en-GB"/>
        </w:rPr>
        <w:t>Semyonov</w:t>
      </w:r>
      <w:proofErr w:type="spellEnd"/>
      <w:r w:rsidRPr="00152A20">
        <w:rPr>
          <w:lang w:val="en-GB"/>
        </w:rPr>
        <w:t xml:space="preserve">. 2014. “Institutional Diversity in Russian Higher Education: Revolutions and Evolution.” </w:t>
      </w:r>
      <w:r w:rsidRPr="00152A20">
        <w:rPr>
          <w:i/>
          <w:lang w:val="en-GB"/>
        </w:rPr>
        <w:t>European Journal of Higher Education</w:t>
      </w:r>
      <w:r w:rsidRPr="00152A20">
        <w:rPr>
          <w:lang w:val="en-GB"/>
        </w:rPr>
        <w:t xml:space="preserve"> 4 (3): 209–34.</w:t>
      </w:r>
    </w:p>
    <w:p w14:paraId="252C9C2E" w14:textId="77777777" w:rsidR="00037D5F" w:rsidRPr="00152A20" w:rsidRDefault="008E5AA1">
      <w:pPr>
        <w:spacing w:line="324" w:lineRule="auto"/>
        <w:ind w:left="429" w:hanging="869"/>
        <w:rPr>
          <w:lang w:val="en-GB"/>
        </w:rPr>
      </w:pPr>
      <w:r w:rsidRPr="00152A20">
        <w:rPr>
          <w:lang w:val="en-GB"/>
        </w:rPr>
        <w:t xml:space="preserve">Johnson, Mark S. 2008. “Historical Legacies of Soviet Higher Education and the Transformation of Higher Education Systems in Post-Soviet Russia and Eurasia.” In </w:t>
      </w:r>
      <w:r w:rsidRPr="00152A20">
        <w:rPr>
          <w:i/>
          <w:lang w:val="en-GB"/>
        </w:rPr>
        <w:t>International Perspectives on Education and Society</w:t>
      </w:r>
      <w:r w:rsidRPr="00152A20">
        <w:rPr>
          <w:lang w:val="en-GB"/>
        </w:rPr>
        <w:t xml:space="preserve">, 9: 159–76. </w:t>
      </w:r>
    </w:p>
    <w:p w14:paraId="3B70550C" w14:textId="77777777" w:rsidR="00037D5F" w:rsidRPr="00152A20" w:rsidRDefault="008E5AA1">
      <w:pPr>
        <w:spacing w:line="324" w:lineRule="auto"/>
        <w:ind w:left="429" w:hanging="869"/>
        <w:rPr>
          <w:lang w:val="en-GB"/>
        </w:rPr>
      </w:pPr>
      <w:proofErr w:type="spellStart"/>
      <w:r w:rsidRPr="00152A20">
        <w:rPr>
          <w:lang w:val="en-GB"/>
        </w:rPr>
        <w:t>Kuraev</w:t>
      </w:r>
      <w:proofErr w:type="spellEnd"/>
      <w:r w:rsidRPr="00152A20">
        <w:rPr>
          <w:lang w:val="en-GB"/>
        </w:rPr>
        <w:t xml:space="preserve">, Alex. 2016. “Soviet Higher Education: An Alternative Construct to the Western University Paradigm.” </w:t>
      </w:r>
      <w:r w:rsidRPr="00152A20">
        <w:rPr>
          <w:i/>
          <w:lang w:val="en-GB"/>
        </w:rPr>
        <w:t>Higher Education</w:t>
      </w:r>
      <w:r w:rsidRPr="00152A20">
        <w:rPr>
          <w:lang w:val="en-GB"/>
        </w:rPr>
        <w:t xml:space="preserve"> 71 (2): 181–93. doi:10.1007/s10734-015-9895-5.</w:t>
      </w:r>
    </w:p>
    <w:p w14:paraId="5F7B7A02" w14:textId="77777777" w:rsidR="00037D5F" w:rsidRPr="00152A20" w:rsidRDefault="008E5AA1">
      <w:pPr>
        <w:spacing w:line="324" w:lineRule="auto"/>
        <w:ind w:left="429" w:hanging="869"/>
        <w:rPr>
          <w:lang w:val="en-GB"/>
        </w:rPr>
      </w:pPr>
      <w:proofErr w:type="spellStart"/>
      <w:r w:rsidRPr="00152A20">
        <w:rPr>
          <w:lang w:val="en-GB"/>
        </w:rPr>
        <w:lastRenderedPageBreak/>
        <w:t>Luchinskaya</w:t>
      </w:r>
      <w:proofErr w:type="spellEnd"/>
      <w:r w:rsidRPr="00152A20">
        <w:rPr>
          <w:lang w:val="en-GB"/>
        </w:rPr>
        <w:t xml:space="preserve">, </w:t>
      </w:r>
      <w:proofErr w:type="spellStart"/>
      <w:r w:rsidRPr="00152A20">
        <w:rPr>
          <w:lang w:val="en-GB"/>
        </w:rPr>
        <w:t>Daria</w:t>
      </w:r>
      <w:proofErr w:type="spellEnd"/>
      <w:r w:rsidRPr="00152A20">
        <w:rPr>
          <w:lang w:val="en-GB"/>
        </w:rPr>
        <w:t xml:space="preserve">, and </w:t>
      </w:r>
      <w:proofErr w:type="spellStart"/>
      <w:r w:rsidRPr="00152A20">
        <w:rPr>
          <w:lang w:val="en-GB"/>
        </w:rPr>
        <w:t>Olena</w:t>
      </w:r>
      <w:proofErr w:type="spellEnd"/>
      <w:r w:rsidRPr="00152A20">
        <w:rPr>
          <w:lang w:val="en-GB"/>
        </w:rPr>
        <w:t xml:space="preserve"> </w:t>
      </w:r>
      <w:proofErr w:type="spellStart"/>
      <w:r w:rsidRPr="00152A20">
        <w:rPr>
          <w:lang w:val="en-GB"/>
        </w:rPr>
        <w:t>Ovchynnikova</w:t>
      </w:r>
      <w:proofErr w:type="spellEnd"/>
      <w:r w:rsidRPr="00152A20">
        <w:rPr>
          <w:lang w:val="en-GB"/>
        </w:rPr>
        <w:t xml:space="preserve">. 2011. “The Bologna Process Policy Implementation in Russia and Ukraine: Similarities and Differences.” </w:t>
      </w:r>
      <w:r w:rsidRPr="00152A20">
        <w:rPr>
          <w:i/>
          <w:lang w:val="en-GB"/>
        </w:rPr>
        <w:t>European Educational Research Journal</w:t>
      </w:r>
      <w:r w:rsidRPr="00152A20">
        <w:rPr>
          <w:lang w:val="en-GB"/>
        </w:rPr>
        <w:t xml:space="preserve"> 10 (1): 21–33.</w:t>
      </w:r>
    </w:p>
    <w:p w14:paraId="1F0497F6" w14:textId="77777777" w:rsidR="00037D5F" w:rsidRPr="00152A20" w:rsidRDefault="008E5AA1">
      <w:pPr>
        <w:spacing w:line="324" w:lineRule="auto"/>
        <w:ind w:left="429" w:hanging="869"/>
        <w:rPr>
          <w:lang w:val="en-GB"/>
        </w:rPr>
      </w:pPr>
      <w:r w:rsidRPr="00152A20">
        <w:rPr>
          <w:lang w:val="en-GB"/>
        </w:rPr>
        <w:t xml:space="preserve">Rossi, Federica. 2009. “Increased Competition and Diversity in Higher Education: An Empirical Analysis of the Italian University System.” </w:t>
      </w:r>
      <w:r w:rsidRPr="00152A20">
        <w:rPr>
          <w:i/>
          <w:lang w:val="en-GB"/>
        </w:rPr>
        <w:t>Higher Education Policy</w:t>
      </w:r>
      <w:r w:rsidRPr="00152A20">
        <w:rPr>
          <w:lang w:val="en-GB"/>
        </w:rPr>
        <w:t xml:space="preserve"> 22 (4): 389–413.</w:t>
      </w:r>
    </w:p>
    <w:p w14:paraId="0E468E2A" w14:textId="77777777" w:rsidR="00037D5F" w:rsidRPr="00152A20" w:rsidRDefault="008E5AA1">
      <w:pPr>
        <w:spacing w:line="324" w:lineRule="auto"/>
        <w:ind w:left="429" w:hanging="869"/>
        <w:rPr>
          <w:lang w:val="en-GB"/>
        </w:rPr>
      </w:pPr>
      <w:proofErr w:type="spellStart"/>
      <w:r w:rsidRPr="00152A20">
        <w:rPr>
          <w:lang w:val="en-GB"/>
        </w:rPr>
        <w:t>Telegina</w:t>
      </w:r>
      <w:proofErr w:type="spellEnd"/>
      <w:r w:rsidRPr="00152A20">
        <w:rPr>
          <w:lang w:val="en-GB"/>
        </w:rPr>
        <w:t xml:space="preserve">, Galina, and Hermann </w:t>
      </w:r>
      <w:proofErr w:type="spellStart"/>
      <w:r w:rsidRPr="00152A20">
        <w:rPr>
          <w:lang w:val="en-GB"/>
        </w:rPr>
        <w:t>Schwengel</w:t>
      </w:r>
      <w:proofErr w:type="spellEnd"/>
      <w:r w:rsidRPr="00152A20">
        <w:rPr>
          <w:lang w:val="en-GB"/>
        </w:rPr>
        <w:t xml:space="preserve">. 2012. “The Bologna Process: Perspectives and Implications for the Russian University.” </w:t>
      </w:r>
      <w:r w:rsidRPr="00152A20">
        <w:rPr>
          <w:i/>
          <w:lang w:val="en-GB"/>
        </w:rPr>
        <w:t>European Journal of Education</w:t>
      </w:r>
      <w:r w:rsidRPr="00152A20">
        <w:rPr>
          <w:lang w:val="en-GB"/>
        </w:rPr>
        <w:t xml:space="preserve"> 47 (1): 37–49.</w:t>
      </w:r>
    </w:p>
    <w:p w14:paraId="43C893E9" w14:textId="77777777" w:rsidR="00037D5F" w:rsidRPr="00152A20" w:rsidRDefault="008E5AA1">
      <w:pPr>
        <w:spacing w:line="324" w:lineRule="auto"/>
        <w:ind w:left="429" w:hanging="869"/>
        <w:rPr>
          <w:lang w:val="en-GB"/>
        </w:rPr>
      </w:pPr>
      <w:proofErr w:type="spellStart"/>
      <w:r w:rsidRPr="00152A20">
        <w:rPr>
          <w:lang w:val="en-GB"/>
        </w:rPr>
        <w:t>Abankina</w:t>
      </w:r>
      <w:proofErr w:type="spellEnd"/>
      <w:r w:rsidRPr="00152A20">
        <w:rPr>
          <w:lang w:val="en-GB"/>
        </w:rPr>
        <w:t xml:space="preserve">, Irina, Tatyana </w:t>
      </w:r>
      <w:proofErr w:type="spellStart"/>
      <w:r w:rsidRPr="00152A20">
        <w:rPr>
          <w:lang w:val="en-GB"/>
        </w:rPr>
        <w:t>Abankina</w:t>
      </w:r>
      <w:proofErr w:type="spellEnd"/>
      <w:r w:rsidRPr="00152A20">
        <w:rPr>
          <w:lang w:val="en-GB"/>
        </w:rPr>
        <w:t xml:space="preserve">, Lyudmila </w:t>
      </w:r>
      <w:proofErr w:type="spellStart"/>
      <w:r w:rsidRPr="00152A20">
        <w:rPr>
          <w:lang w:val="en-GB"/>
        </w:rPr>
        <w:t>Filatova</w:t>
      </w:r>
      <w:proofErr w:type="spellEnd"/>
      <w:r w:rsidRPr="00152A20">
        <w:rPr>
          <w:lang w:val="en-GB"/>
        </w:rPr>
        <w:t xml:space="preserve">, and Elena </w:t>
      </w:r>
      <w:proofErr w:type="spellStart"/>
      <w:r w:rsidRPr="00152A20">
        <w:rPr>
          <w:lang w:val="en-GB"/>
        </w:rPr>
        <w:t>Nikolaenko</w:t>
      </w:r>
      <w:proofErr w:type="spellEnd"/>
      <w:r w:rsidRPr="00152A20">
        <w:rPr>
          <w:lang w:val="en-GB"/>
        </w:rPr>
        <w:t>,. 2009. “</w:t>
      </w:r>
      <w:proofErr w:type="spellStart"/>
      <w:r w:rsidRPr="00152A20">
        <w:rPr>
          <w:lang w:val="en-GB"/>
        </w:rPr>
        <w:t>Disbalans</w:t>
      </w:r>
      <w:proofErr w:type="spellEnd"/>
      <w:r w:rsidRPr="00152A20">
        <w:rPr>
          <w:lang w:val="en-GB"/>
        </w:rPr>
        <w:t xml:space="preserve"> </w:t>
      </w:r>
      <w:proofErr w:type="spellStart"/>
      <w:r w:rsidRPr="00152A20">
        <w:rPr>
          <w:lang w:val="en-GB"/>
        </w:rPr>
        <w:t>sprosa</w:t>
      </w:r>
      <w:proofErr w:type="spellEnd"/>
      <w:r w:rsidRPr="00152A20">
        <w:rPr>
          <w:lang w:val="en-GB"/>
        </w:rPr>
        <w:t xml:space="preserve"> </w:t>
      </w:r>
      <w:proofErr w:type="spellStart"/>
      <w:r w:rsidRPr="00152A20">
        <w:rPr>
          <w:lang w:val="en-GB"/>
        </w:rPr>
        <w:t>i</w:t>
      </w:r>
      <w:proofErr w:type="spellEnd"/>
      <w:r w:rsidRPr="00152A20">
        <w:rPr>
          <w:lang w:val="en-GB"/>
        </w:rPr>
        <w:t xml:space="preserve"> </w:t>
      </w:r>
      <w:proofErr w:type="spellStart"/>
      <w:r w:rsidRPr="00152A20">
        <w:rPr>
          <w:lang w:val="en-GB"/>
        </w:rPr>
        <w:t>predlozhenija</w:t>
      </w:r>
      <w:proofErr w:type="spellEnd"/>
      <w:r w:rsidRPr="00152A20">
        <w:rPr>
          <w:lang w:val="en-GB"/>
        </w:rPr>
        <w:t xml:space="preserve"> </w:t>
      </w:r>
      <w:proofErr w:type="spellStart"/>
      <w:r w:rsidRPr="00152A20">
        <w:rPr>
          <w:lang w:val="en-GB"/>
        </w:rPr>
        <w:t>na</w:t>
      </w:r>
      <w:proofErr w:type="spellEnd"/>
      <w:r w:rsidRPr="00152A20">
        <w:rPr>
          <w:lang w:val="en-GB"/>
        </w:rPr>
        <w:t xml:space="preserve"> </w:t>
      </w:r>
      <w:proofErr w:type="spellStart"/>
      <w:r w:rsidRPr="00152A20">
        <w:rPr>
          <w:lang w:val="en-GB"/>
        </w:rPr>
        <w:t>rynke</w:t>
      </w:r>
      <w:proofErr w:type="spellEnd"/>
      <w:r w:rsidRPr="00152A20">
        <w:rPr>
          <w:lang w:val="en-GB"/>
        </w:rPr>
        <w:t xml:space="preserve"> </w:t>
      </w:r>
      <w:proofErr w:type="spellStart"/>
      <w:r w:rsidRPr="00152A20">
        <w:rPr>
          <w:lang w:val="en-GB"/>
        </w:rPr>
        <w:t>professional'nogo</w:t>
      </w:r>
      <w:proofErr w:type="spellEnd"/>
      <w:r w:rsidRPr="00152A20">
        <w:rPr>
          <w:lang w:val="en-GB"/>
        </w:rPr>
        <w:t xml:space="preserve"> </w:t>
      </w:r>
      <w:proofErr w:type="spellStart"/>
      <w:r w:rsidRPr="00152A20">
        <w:rPr>
          <w:lang w:val="en-GB"/>
        </w:rPr>
        <w:t>obrazovanija</w:t>
      </w:r>
      <w:proofErr w:type="spellEnd"/>
      <w:r w:rsidRPr="00152A20">
        <w:rPr>
          <w:lang w:val="en-GB"/>
        </w:rPr>
        <w:t xml:space="preserve"> v </w:t>
      </w:r>
      <w:proofErr w:type="spellStart"/>
      <w:r w:rsidRPr="00152A20">
        <w:rPr>
          <w:lang w:val="en-GB"/>
        </w:rPr>
        <w:t>sovremennoj</w:t>
      </w:r>
      <w:proofErr w:type="spellEnd"/>
      <w:r w:rsidRPr="00152A20">
        <w:rPr>
          <w:lang w:val="en-GB"/>
        </w:rPr>
        <w:t xml:space="preserve"> </w:t>
      </w:r>
      <w:proofErr w:type="spellStart"/>
      <w:r w:rsidRPr="00152A20">
        <w:rPr>
          <w:lang w:val="en-GB"/>
        </w:rPr>
        <w:t>Rossii</w:t>
      </w:r>
      <w:proofErr w:type="spellEnd"/>
      <w:r w:rsidRPr="00152A20">
        <w:rPr>
          <w:lang w:val="en-GB"/>
        </w:rPr>
        <w:t>” [</w:t>
      </w:r>
      <w:proofErr w:type="spellStart"/>
      <w:r w:rsidRPr="00152A20">
        <w:rPr>
          <w:lang w:val="en-GB"/>
        </w:rPr>
        <w:t>Disbalance</w:t>
      </w:r>
      <w:proofErr w:type="spellEnd"/>
      <w:r w:rsidRPr="00152A20">
        <w:rPr>
          <w:lang w:val="en-GB"/>
        </w:rPr>
        <w:t xml:space="preserve"> between demand and supply at professional education market in modern Russia] XIII </w:t>
      </w:r>
      <w:proofErr w:type="spellStart"/>
      <w:r w:rsidRPr="00152A20">
        <w:rPr>
          <w:lang w:val="en-GB"/>
        </w:rPr>
        <w:t>Mezhdunarodnaja</w:t>
      </w:r>
      <w:proofErr w:type="spellEnd"/>
      <w:r w:rsidRPr="00152A20">
        <w:rPr>
          <w:lang w:val="en-GB"/>
        </w:rPr>
        <w:t xml:space="preserve"> </w:t>
      </w:r>
      <w:proofErr w:type="spellStart"/>
      <w:r w:rsidRPr="00152A20">
        <w:rPr>
          <w:lang w:val="en-GB"/>
        </w:rPr>
        <w:t>nauchnaja</w:t>
      </w:r>
      <w:proofErr w:type="spellEnd"/>
      <w:r w:rsidRPr="00152A20">
        <w:rPr>
          <w:lang w:val="en-GB"/>
        </w:rPr>
        <w:t xml:space="preserve"> </w:t>
      </w:r>
      <w:proofErr w:type="spellStart"/>
      <w:r w:rsidRPr="00152A20">
        <w:rPr>
          <w:lang w:val="en-GB"/>
        </w:rPr>
        <w:t>konferencija</w:t>
      </w:r>
      <w:proofErr w:type="spellEnd"/>
      <w:r w:rsidRPr="00152A20">
        <w:rPr>
          <w:lang w:val="en-GB"/>
        </w:rPr>
        <w:t xml:space="preserve"> </w:t>
      </w:r>
      <w:proofErr w:type="spellStart"/>
      <w:r w:rsidRPr="00152A20">
        <w:rPr>
          <w:lang w:val="en-GB"/>
        </w:rPr>
        <w:t>po</w:t>
      </w:r>
      <w:proofErr w:type="spellEnd"/>
      <w:r w:rsidRPr="00152A20">
        <w:rPr>
          <w:lang w:val="en-GB"/>
        </w:rPr>
        <w:t xml:space="preserve"> </w:t>
      </w:r>
      <w:proofErr w:type="spellStart"/>
      <w:r w:rsidRPr="00152A20">
        <w:rPr>
          <w:lang w:val="en-GB"/>
        </w:rPr>
        <w:t>problemam</w:t>
      </w:r>
      <w:proofErr w:type="spellEnd"/>
      <w:r w:rsidRPr="00152A20">
        <w:rPr>
          <w:lang w:val="en-GB"/>
        </w:rPr>
        <w:t xml:space="preserve"> </w:t>
      </w:r>
      <w:proofErr w:type="spellStart"/>
      <w:r w:rsidRPr="00152A20">
        <w:rPr>
          <w:lang w:val="en-GB"/>
        </w:rPr>
        <w:t>razvitija</w:t>
      </w:r>
      <w:proofErr w:type="spellEnd"/>
      <w:r w:rsidRPr="00152A20">
        <w:rPr>
          <w:lang w:val="en-GB"/>
        </w:rPr>
        <w:t xml:space="preserve"> </w:t>
      </w:r>
      <w:proofErr w:type="spellStart"/>
      <w:r w:rsidRPr="00152A20">
        <w:rPr>
          <w:lang w:val="en-GB"/>
        </w:rPr>
        <w:t>jekonomiki</w:t>
      </w:r>
      <w:proofErr w:type="spellEnd"/>
      <w:r w:rsidRPr="00152A20">
        <w:rPr>
          <w:lang w:val="en-GB"/>
        </w:rPr>
        <w:t xml:space="preserve"> </w:t>
      </w:r>
      <w:proofErr w:type="spellStart"/>
      <w:r w:rsidRPr="00152A20">
        <w:rPr>
          <w:lang w:val="en-GB"/>
        </w:rPr>
        <w:t>i</w:t>
      </w:r>
      <w:proofErr w:type="spellEnd"/>
      <w:r w:rsidRPr="00152A20">
        <w:rPr>
          <w:lang w:val="en-GB"/>
        </w:rPr>
        <w:t xml:space="preserve"> </w:t>
      </w:r>
      <w:proofErr w:type="spellStart"/>
      <w:r w:rsidRPr="00152A20">
        <w:rPr>
          <w:lang w:val="en-GB"/>
        </w:rPr>
        <w:t>obshhestva</w:t>
      </w:r>
      <w:proofErr w:type="spellEnd"/>
      <w:r w:rsidRPr="00152A20">
        <w:rPr>
          <w:lang w:val="en-GB"/>
        </w:rPr>
        <w:t xml:space="preserve">. 4(1) edited by </w:t>
      </w:r>
      <w:proofErr w:type="spellStart"/>
      <w:r w:rsidRPr="00152A20">
        <w:rPr>
          <w:lang w:val="en-GB"/>
        </w:rPr>
        <w:t>Evgenii</w:t>
      </w:r>
      <w:proofErr w:type="spellEnd"/>
      <w:r w:rsidRPr="00152A20">
        <w:rPr>
          <w:lang w:val="en-GB"/>
        </w:rPr>
        <w:t xml:space="preserve"> </w:t>
      </w:r>
      <w:proofErr w:type="spellStart"/>
      <w:r w:rsidRPr="00152A20">
        <w:rPr>
          <w:lang w:val="en-GB"/>
        </w:rPr>
        <w:t>Jasin</w:t>
      </w:r>
      <w:proofErr w:type="spellEnd"/>
      <w:r w:rsidRPr="00152A20">
        <w:rPr>
          <w:lang w:val="en-GB"/>
        </w:rPr>
        <w:t xml:space="preserve">. Kn. Moscow: </w:t>
      </w:r>
      <w:proofErr w:type="spellStart"/>
      <w:r w:rsidRPr="00152A20">
        <w:rPr>
          <w:lang w:val="en-GB"/>
        </w:rPr>
        <w:t>Izdatel'skij</w:t>
      </w:r>
      <w:proofErr w:type="spellEnd"/>
      <w:r w:rsidRPr="00152A20">
        <w:rPr>
          <w:lang w:val="en-GB"/>
        </w:rPr>
        <w:t xml:space="preserve"> </w:t>
      </w:r>
      <w:proofErr w:type="spellStart"/>
      <w:r w:rsidRPr="00152A20">
        <w:rPr>
          <w:lang w:val="en-GB"/>
        </w:rPr>
        <w:t>dom</w:t>
      </w:r>
      <w:proofErr w:type="spellEnd"/>
      <w:r w:rsidRPr="00152A20">
        <w:rPr>
          <w:lang w:val="en-GB"/>
        </w:rPr>
        <w:t xml:space="preserve"> NRU HSE:  277-287</w:t>
      </w:r>
    </w:p>
    <w:p w14:paraId="00DF2365" w14:textId="77777777" w:rsidR="00037D5F" w:rsidRPr="00152A20" w:rsidRDefault="008E5AA1">
      <w:pPr>
        <w:spacing w:line="324" w:lineRule="auto"/>
        <w:ind w:left="429" w:hanging="869"/>
        <w:rPr>
          <w:lang w:val="en-GB"/>
        </w:rPr>
      </w:pPr>
      <w:proofErr w:type="spellStart"/>
      <w:r w:rsidRPr="00152A20">
        <w:rPr>
          <w:lang w:val="en-GB"/>
        </w:rPr>
        <w:t>Abankina</w:t>
      </w:r>
      <w:proofErr w:type="spellEnd"/>
      <w:r w:rsidRPr="00152A20">
        <w:rPr>
          <w:lang w:val="en-GB"/>
        </w:rPr>
        <w:t xml:space="preserve">, Irina, and Tatyana </w:t>
      </w:r>
      <w:proofErr w:type="spellStart"/>
      <w:r w:rsidRPr="00152A20">
        <w:rPr>
          <w:lang w:val="en-GB"/>
        </w:rPr>
        <w:t>Abankina</w:t>
      </w:r>
      <w:proofErr w:type="spellEnd"/>
      <w:r w:rsidRPr="00152A20">
        <w:rPr>
          <w:lang w:val="en-GB"/>
        </w:rPr>
        <w:t>. 2013. “</w:t>
      </w:r>
      <w:proofErr w:type="spellStart"/>
      <w:r w:rsidRPr="00152A20">
        <w:rPr>
          <w:lang w:val="en-GB"/>
        </w:rPr>
        <w:t>Mesto</w:t>
      </w:r>
      <w:proofErr w:type="spellEnd"/>
      <w:r w:rsidRPr="00152A20">
        <w:rPr>
          <w:lang w:val="en-GB"/>
        </w:rPr>
        <w:t xml:space="preserve"> </w:t>
      </w:r>
      <w:proofErr w:type="spellStart"/>
      <w:r w:rsidRPr="00152A20">
        <w:rPr>
          <w:lang w:val="en-GB"/>
        </w:rPr>
        <w:t>vuzov</w:t>
      </w:r>
      <w:proofErr w:type="spellEnd"/>
      <w:r w:rsidRPr="00152A20">
        <w:rPr>
          <w:lang w:val="en-GB"/>
        </w:rPr>
        <w:t xml:space="preserve"> v </w:t>
      </w:r>
      <w:proofErr w:type="spellStart"/>
      <w:r w:rsidRPr="00152A20">
        <w:rPr>
          <w:lang w:val="en-GB"/>
        </w:rPr>
        <w:t>novoy</w:t>
      </w:r>
      <w:proofErr w:type="spellEnd"/>
      <w:r w:rsidRPr="00152A20">
        <w:rPr>
          <w:lang w:val="en-GB"/>
        </w:rPr>
        <w:t xml:space="preserve"> </w:t>
      </w:r>
      <w:proofErr w:type="spellStart"/>
      <w:r w:rsidRPr="00152A20">
        <w:rPr>
          <w:lang w:val="en-GB"/>
        </w:rPr>
        <w:t>ekonomike</w:t>
      </w:r>
      <w:proofErr w:type="spellEnd"/>
      <w:r w:rsidRPr="00152A20">
        <w:rPr>
          <w:lang w:val="en-GB"/>
        </w:rPr>
        <w:t xml:space="preserve"> : </w:t>
      </w:r>
      <w:proofErr w:type="spellStart"/>
      <w:r w:rsidRPr="00152A20">
        <w:rPr>
          <w:lang w:val="en-GB"/>
        </w:rPr>
        <w:t>strategii</w:t>
      </w:r>
      <w:proofErr w:type="spellEnd"/>
      <w:r w:rsidRPr="00152A20">
        <w:rPr>
          <w:lang w:val="en-GB"/>
        </w:rPr>
        <w:t xml:space="preserve"> </w:t>
      </w:r>
      <w:proofErr w:type="spellStart"/>
      <w:r w:rsidRPr="00152A20">
        <w:rPr>
          <w:lang w:val="en-GB"/>
        </w:rPr>
        <w:t>i</w:t>
      </w:r>
      <w:proofErr w:type="spellEnd"/>
      <w:r w:rsidRPr="00152A20">
        <w:rPr>
          <w:lang w:val="en-GB"/>
        </w:rPr>
        <w:t xml:space="preserve"> </w:t>
      </w:r>
      <w:proofErr w:type="spellStart"/>
      <w:r w:rsidRPr="00152A20">
        <w:rPr>
          <w:lang w:val="en-GB"/>
        </w:rPr>
        <w:t>ugrozy</w:t>
      </w:r>
      <w:proofErr w:type="spellEnd"/>
      <w:r w:rsidRPr="00152A20">
        <w:rPr>
          <w:lang w:val="en-GB"/>
        </w:rPr>
        <w:t xml:space="preserve">” [Place of universities in the new economy: strategies and threats], </w:t>
      </w:r>
      <w:proofErr w:type="spellStart"/>
      <w:r w:rsidRPr="00152A20">
        <w:rPr>
          <w:i/>
          <w:lang w:val="en-GB"/>
        </w:rPr>
        <w:t>Otechestvennyye</w:t>
      </w:r>
      <w:proofErr w:type="spellEnd"/>
      <w:r w:rsidRPr="00152A20">
        <w:rPr>
          <w:i/>
          <w:lang w:val="en-GB"/>
        </w:rPr>
        <w:t xml:space="preserve"> </w:t>
      </w:r>
      <w:proofErr w:type="spellStart"/>
      <w:r w:rsidRPr="00152A20">
        <w:rPr>
          <w:i/>
          <w:lang w:val="en-GB"/>
        </w:rPr>
        <w:t>zapiski</w:t>
      </w:r>
      <w:proofErr w:type="spellEnd"/>
      <w:r w:rsidRPr="00152A20">
        <w:rPr>
          <w:lang w:val="en-GB"/>
        </w:rPr>
        <w:t xml:space="preserve"> 4(55): 171-181</w:t>
      </w:r>
    </w:p>
    <w:p w14:paraId="0B5D93B0" w14:textId="77777777" w:rsidR="00037D5F" w:rsidRPr="00152A20" w:rsidRDefault="008E5AA1">
      <w:pPr>
        <w:spacing w:line="324" w:lineRule="auto"/>
        <w:ind w:left="429" w:hanging="869"/>
        <w:rPr>
          <w:lang w:val="en-GB"/>
        </w:rPr>
      </w:pPr>
      <w:proofErr w:type="spellStart"/>
      <w:r w:rsidRPr="00152A20">
        <w:rPr>
          <w:lang w:val="en-GB"/>
        </w:rPr>
        <w:t>Gimpelson</w:t>
      </w:r>
      <w:proofErr w:type="spellEnd"/>
      <w:r w:rsidRPr="00152A20">
        <w:rPr>
          <w:lang w:val="en-GB"/>
        </w:rPr>
        <w:t xml:space="preserve">, Vladimir, </w:t>
      </w:r>
      <w:proofErr w:type="spellStart"/>
      <w:r w:rsidRPr="00152A20">
        <w:rPr>
          <w:lang w:val="en-GB"/>
        </w:rPr>
        <w:t>Rostislav</w:t>
      </w:r>
      <w:proofErr w:type="spellEnd"/>
      <w:r w:rsidRPr="00152A20">
        <w:rPr>
          <w:lang w:val="en-GB"/>
        </w:rPr>
        <w:t xml:space="preserve"> </w:t>
      </w:r>
      <w:proofErr w:type="spellStart"/>
      <w:r w:rsidRPr="00152A20">
        <w:rPr>
          <w:lang w:val="en-GB"/>
        </w:rPr>
        <w:t>Kapelyushnikov</w:t>
      </w:r>
      <w:proofErr w:type="spellEnd"/>
      <w:r w:rsidRPr="00152A20">
        <w:rPr>
          <w:lang w:val="en-GB"/>
        </w:rPr>
        <w:t xml:space="preserve">, and Anna </w:t>
      </w:r>
      <w:proofErr w:type="spellStart"/>
      <w:r w:rsidRPr="00152A20">
        <w:rPr>
          <w:lang w:val="en-GB"/>
        </w:rPr>
        <w:t>Luk’yanova</w:t>
      </w:r>
      <w:proofErr w:type="spellEnd"/>
      <w:r w:rsidRPr="00152A20">
        <w:rPr>
          <w:lang w:val="en-GB"/>
        </w:rPr>
        <w:t>. 2010. “</w:t>
      </w:r>
      <w:proofErr w:type="spellStart"/>
      <w:r w:rsidRPr="00152A20">
        <w:rPr>
          <w:lang w:val="en-GB"/>
        </w:rPr>
        <w:t>Uroven</w:t>
      </w:r>
      <w:proofErr w:type="spellEnd"/>
      <w:r w:rsidRPr="00152A20">
        <w:rPr>
          <w:lang w:val="en-GB"/>
        </w:rPr>
        <w:t xml:space="preserve">' </w:t>
      </w:r>
      <w:proofErr w:type="spellStart"/>
      <w:r w:rsidRPr="00152A20">
        <w:rPr>
          <w:lang w:val="en-GB"/>
        </w:rPr>
        <w:t>obrazovanija</w:t>
      </w:r>
      <w:proofErr w:type="spellEnd"/>
      <w:r w:rsidRPr="00152A20">
        <w:rPr>
          <w:lang w:val="en-GB"/>
        </w:rPr>
        <w:t xml:space="preserve"> </w:t>
      </w:r>
      <w:proofErr w:type="spellStart"/>
      <w:r w:rsidRPr="00152A20">
        <w:rPr>
          <w:lang w:val="en-GB"/>
        </w:rPr>
        <w:t>rossijskih</w:t>
      </w:r>
      <w:proofErr w:type="spellEnd"/>
      <w:r w:rsidRPr="00152A20">
        <w:rPr>
          <w:lang w:val="en-GB"/>
        </w:rPr>
        <w:t xml:space="preserve"> </w:t>
      </w:r>
      <w:proofErr w:type="spellStart"/>
      <w:r w:rsidRPr="00152A20">
        <w:rPr>
          <w:lang w:val="en-GB"/>
        </w:rPr>
        <w:t>rabotnikov</w:t>
      </w:r>
      <w:proofErr w:type="spellEnd"/>
      <w:r w:rsidRPr="00152A20">
        <w:rPr>
          <w:lang w:val="en-GB"/>
        </w:rPr>
        <w:t xml:space="preserve">: </w:t>
      </w:r>
      <w:proofErr w:type="spellStart"/>
      <w:r w:rsidRPr="00152A20">
        <w:rPr>
          <w:lang w:val="en-GB"/>
        </w:rPr>
        <w:t>optimal'nyj</w:t>
      </w:r>
      <w:proofErr w:type="spellEnd"/>
      <w:r w:rsidRPr="00152A20">
        <w:rPr>
          <w:lang w:val="en-GB"/>
        </w:rPr>
        <w:t xml:space="preserve">, </w:t>
      </w:r>
      <w:proofErr w:type="spellStart"/>
      <w:r w:rsidRPr="00152A20">
        <w:rPr>
          <w:lang w:val="en-GB"/>
        </w:rPr>
        <w:t>izbytochnyj</w:t>
      </w:r>
      <w:proofErr w:type="spellEnd"/>
      <w:r w:rsidRPr="00152A20">
        <w:rPr>
          <w:lang w:val="en-GB"/>
        </w:rPr>
        <w:t xml:space="preserve">, </w:t>
      </w:r>
      <w:proofErr w:type="spellStart"/>
      <w:r w:rsidRPr="00152A20">
        <w:rPr>
          <w:lang w:val="en-GB"/>
        </w:rPr>
        <w:t>nedostatochnyj</w:t>
      </w:r>
      <w:proofErr w:type="spellEnd"/>
      <w:r w:rsidRPr="00152A20">
        <w:rPr>
          <w:lang w:val="en-GB"/>
        </w:rPr>
        <w:t xml:space="preserve">?” [The level of education of Russian workers: optimal, excessive, inadequate?] </w:t>
      </w:r>
      <w:r w:rsidRPr="00152A20">
        <w:rPr>
          <w:i/>
          <w:lang w:val="en-GB"/>
        </w:rPr>
        <w:t>Working paper WP3/2010/09</w:t>
      </w:r>
      <w:r w:rsidRPr="00152A20">
        <w:rPr>
          <w:lang w:val="en-GB"/>
        </w:rPr>
        <w:t xml:space="preserve"> – Moscow: Publishing House of the Higher School of Economics: 64</w:t>
      </w:r>
      <w:hyperlink r:id="rId19">
        <w:r w:rsidRPr="00152A20">
          <w:rPr>
            <w:color w:val="1155CC"/>
            <w:u w:val="single"/>
            <w:lang w:val="en-GB"/>
          </w:rPr>
          <w:t xml:space="preserve"> </w:t>
        </w:r>
      </w:hyperlink>
    </w:p>
    <w:p w14:paraId="1FF7910C" w14:textId="77777777" w:rsidR="00037D5F" w:rsidRPr="00152A20" w:rsidRDefault="008E5AA1">
      <w:pPr>
        <w:spacing w:line="324" w:lineRule="auto"/>
        <w:ind w:left="429" w:hanging="869"/>
        <w:rPr>
          <w:lang w:val="en-GB"/>
        </w:rPr>
      </w:pPr>
      <w:proofErr w:type="spellStart"/>
      <w:r w:rsidRPr="00152A20">
        <w:rPr>
          <w:lang w:val="en-GB"/>
        </w:rPr>
        <w:t>Gimpelson</w:t>
      </w:r>
      <w:proofErr w:type="spellEnd"/>
      <w:r w:rsidRPr="00152A20">
        <w:rPr>
          <w:lang w:val="en-GB"/>
        </w:rPr>
        <w:t xml:space="preserve">, Vladimir, </w:t>
      </w:r>
      <w:proofErr w:type="spellStart"/>
      <w:r w:rsidRPr="00152A20">
        <w:rPr>
          <w:lang w:val="en-GB"/>
        </w:rPr>
        <w:t>Rostislav</w:t>
      </w:r>
      <w:proofErr w:type="spellEnd"/>
      <w:r w:rsidRPr="00152A20">
        <w:rPr>
          <w:lang w:val="en-GB"/>
        </w:rPr>
        <w:t xml:space="preserve"> </w:t>
      </w:r>
      <w:proofErr w:type="spellStart"/>
      <w:r w:rsidRPr="00152A20">
        <w:rPr>
          <w:lang w:val="en-GB"/>
        </w:rPr>
        <w:t>Kapelyushnikov</w:t>
      </w:r>
      <w:proofErr w:type="spellEnd"/>
      <w:r w:rsidRPr="00152A20">
        <w:rPr>
          <w:lang w:val="en-GB"/>
        </w:rPr>
        <w:t xml:space="preserve">, and Anna </w:t>
      </w:r>
      <w:proofErr w:type="spellStart"/>
      <w:r w:rsidRPr="00152A20">
        <w:rPr>
          <w:lang w:val="en-GB"/>
        </w:rPr>
        <w:t>Luk’yanova</w:t>
      </w:r>
      <w:proofErr w:type="spellEnd"/>
      <w:r w:rsidRPr="00152A20">
        <w:rPr>
          <w:lang w:val="en-GB"/>
        </w:rPr>
        <w:t>. 2007. “</w:t>
      </w:r>
      <w:proofErr w:type="spellStart"/>
      <w:r w:rsidRPr="00152A20">
        <w:rPr>
          <w:lang w:val="en-GB"/>
        </w:rPr>
        <w:t>Spros</w:t>
      </w:r>
      <w:proofErr w:type="spellEnd"/>
      <w:r w:rsidRPr="00152A20">
        <w:rPr>
          <w:lang w:val="en-GB"/>
        </w:rPr>
        <w:t xml:space="preserve"> </w:t>
      </w:r>
      <w:proofErr w:type="spellStart"/>
      <w:r w:rsidRPr="00152A20">
        <w:rPr>
          <w:lang w:val="en-GB"/>
        </w:rPr>
        <w:t>na</w:t>
      </w:r>
      <w:proofErr w:type="spellEnd"/>
      <w:r w:rsidRPr="00152A20">
        <w:rPr>
          <w:lang w:val="en-GB"/>
        </w:rPr>
        <w:t xml:space="preserve"> </w:t>
      </w:r>
      <w:proofErr w:type="spellStart"/>
      <w:r w:rsidRPr="00152A20">
        <w:rPr>
          <w:lang w:val="en-GB"/>
        </w:rPr>
        <w:t>trud</w:t>
      </w:r>
      <w:proofErr w:type="spellEnd"/>
      <w:r w:rsidRPr="00152A20">
        <w:rPr>
          <w:lang w:val="en-GB"/>
        </w:rPr>
        <w:t xml:space="preserve"> I </w:t>
      </w:r>
      <w:proofErr w:type="spellStart"/>
      <w:r w:rsidRPr="00152A20">
        <w:rPr>
          <w:lang w:val="en-GB"/>
        </w:rPr>
        <w:t>kvalifikatsiyu</w:t>
      </w:r>
      <w:proofErr w:type="spellEnd"/>
      <w:r w:rsidRPr="00152A20">
        <w:rPr>
          <w:lang w:val="en-GB"/>
        </w:rPr>
        <w:t xml:space="preserve"> v </w:t>
      </w:r>
      <w:proofErr w:type="spellStart"/>
      <w:r w:rsidRPr="00152A20">
        <w:rPr>
          <w:lang w:val="en-GB"/>
        </w:rPr>
        <w:t>promyshlennosti</w:t>
      </w:r>
      <w:proofErr w:type="spellEnd"/>
      <w:r w:rsidRPr="00152A20">
        <w:rPr>
          <w:lang w:val="en-GB"/>
        </w:rPr>
        <w:t xml:space="preserve">: </w:t>
      </w:r>
      <w:proofErr w:type="spellStart"/>
      <w:r w:rsidRPr="00152A20">
        <w:rPr>
          <w:lang w:val="en-GB"/>
        </w:rPr>
        <w:t>mejdu</w:t>
      </w:r>
      <w:proofErr w:type="spellEnd"/>
      <w:r w:rsidRPr="00152A20">
        <w:rPr>
          <w:lang w:val="en-GB"/>
        </w:rPr>
        <w:t xml:space="preserve"> </w:t>
      </w:r>
      <w:proofErr w:type="spellStart"/>
      <w:r w:rsidRPr="00152A20">
        <w:rPr>
          <w:lang w:val="en-GB"/>
        </w:rPr>
        <w:t>defitsitom</w:t>
      </w:r>
      <w:proofErr w:type="spellEnd"/>
      <w:r w:rsidRPr="00152A20">
        <w:rPr>
          <w:lang w:val="en-GB"/>
        </w:rPr>
        <w:t xml:space="preserve"> </w:t>
      </w:r>
      <w:proofErr w:type="spellStart"/>
      <w:r w:rsidRPr="00152A20">
        <w:rPr>
          <w:lang w:val="en-GB"/>
        </w:rPr>
        <w:t>i</w:t>
      </w:r>
      <w:proofErr w:type="spellEnd"/>
      <w:r w:rsidRPr="00152A20">
        <w:rPr>
          <w:lang w:val="en-GB"/>
        </w:rPr>
        <w:t xml:space="preserve"> </w:t>
      </w:r>
      <w:proofErr w:type="spellStart"/>
      <w:r w:rsidRPr="00152A20">
        <w:rPr>
          <w:lang w:val="en-GB"/>
        </w:rPr>
        <w:t>izbytkom</w:t>
      </w:r>
      <w:proofErr w:type="spellEnd"/>
      <w:r w:rsidRPr="00152A20">
        <w:rPr>
          <w:lang w:val="en-GB"/>
        </w:rPr>
        <w:t xml:space="preserve">” [Demand for </w:t>
      </w:r>
      <w:proofErr w:type="spellStart"/>
      <w:r w:rsidRPr="00152A20">
        <w:rPr>
          <w:lang w:val="en-GB"/>
        </w:rPr>
        <w:t>labor</w:t>
      </w:r>
      <w:proofErr w:type="spellEnd"/>
      <w:r w:rsidRPr="00152A20">
        <w:rPr>
          <w:lang w:val="en-GB"/>
        </w:rPr>
        <w:t xml:space="preserve"> and skills in the industry: between deficit and surplus] </w:t>
      </w:r>
      <w:proofErr w:type="spellStart"/>
      <w:r w:rsidRPr="00152A20">
        <w:rPr>
          <w:i/>
          <w:lang w:val="en-GB"/>
        </w:rPr>
        <w:t>Ekonomicheskii</w:t>
      </w:r>
      <w:proofErr w:type="spellEnd"/>
      <w:r w:rsidRPr="00152A20">
        <w:rPr>
          <w:i/>
          <w:lang w:val="en-GB"/>
        </w:rPr>
        <w:t xml:space="preserve"> </w:t>
      </w:r>
      <w:proofErr w:type="spellStart"/>
      <w:r w:rsidRPr="00152A20">
        <w:rPr>
          <w:i/>
          <w:lang w:val="en-GB"/>
        </w:rPr>
        <w:t>jurnal</w:t>
      </w:r>
      <w:proofErr w:type="spellEnd"/>
      <w:r w:rsidRPr="00152A20">
        <w:rPr>
          <w:i/>
          <w:lang w:val="en-GB"/>
        </w:rPr>
        <w:t xml:space="preserve"> </w:t>
      </w:r>
      <w:proofErr w:type="spellStart"/>
      <w:r w:rsidRPr="00152A20">
        <w:rPr>
          <w:i/>
          <w:lang w:val="en-GB"/>
        </w:rPr>
        <w:t>Vysshei</w:t>
      </w:r>
      <w:proofErr w:type="spellEnd"/>
      <w:r w:rsidRPr="00152A20">
        <w:rPr>
          <w:i/>
          <w:lang w:val="en-GB"/>
        </w:rPr>
        <w:t xml:space="preserve"> </w:t>
      </w:r>
      <w:proofErr w:type="spellStart"/>
      <w:r w:rsidRPr="00152A20">
        <w:rPr>
          <w:i/>
          <w:lang w:val="en-GB"/>
        </w:rPr>
        <w:t>Shkoly</w:t>
      </w:r>
      <w:proofErr w:type="spellEnd"/>
      <w:r w:rsidRPr="00152A20">
        <w:rPr>
          <w:i/>
          <w:lang w:val="en-GB"/>
        </w:rPr>
        <w:t xml:space="preserve"> </w:t>
      </w:r>
      <w:proofErr w:type="spellStart"/>
      <w:r w:rsidRPr="00152A20">
        <w:rPr>
          <w:i/>
          <w:lang w:val="en-GB"/>
        </w:rPr>
        <w:t>Economiki</w:t>
      </w:r>
      <w:proofErr w:type="spellEnd"/>
      <w:r w:rsidRPr="00152A20">
        <w:rPr>
          <w:lang w:val="en-GB"/>
        </w:rPr>
        <w:t xml:space="preserve"> 11(2): 163-199</w:t>
      </w:r>
    </w:p>
    <w:p w14:paraId="77842A9F" w14:textId="77777777" w:rsidR="00037D5F" w:rsidRPr="00152A20" w:rsidRDefault="008E5AA1">
      <w:pPr>
        <w:spacing w:line="324" w:lineRule="auto"/>
        <w:ind w:left="429" w:hanging="869"/>
        <w:rPr>
          <w:lang w:val="en-GB"/>
        </w:rPr>
      </w:pPr>
      <w:proofErr w:type="spellStart"/>
      <w:r w:rsidRPr="00152A20">
        <w:rPr>
          <w:lang w:val="en-GB"/>
        </w:rPr>
        <w:t>Magun</w:t>
      </w:r>
      <w:proofErr w:type="spellEnd"/>
      <w:r w:rsidRPr="00152A20">
        <w:rPr>
          <w:lang w:val="en-GB"/>
        </w:rPr>
        <w:t xml:space="preserve">, Vladimir, and </w:t>
      </w:r>
      <w:proofErr w:type="spellStart"/>
      <w:r w:rsidRPr="00152A20">
        <w:rPr>
          <w:lang w:val="en-GB"/>
        </w:rPr>
        <w:t>Mihail</w:t>
      </w:r>
      <w:proofErr w:type="spellEnd"/>
      <w:r w:rsidRPr="00152A20">
        <w:rPr>
          <w:lang w:val="en-GB"/>
        </w:rPr>
        <w:t xml:space="preserve"> </w:t>
      </w:r>
      <w:proofErr w:type="spellStart"/>
      <w:r w:rsidRPr="00152A20">
        <w:rPr>
          <w:lang w:val="en-GB"/>
        </w:rPr>
        <w:t>Engovatov</w:t>
      </w:r>
      <w:proofErr w:type="spellEnd"/>
      <w:r w:rsidRPr="00152A20">
        <w:rPr>
          <w:lang w:val="en-GB"/>
        </w:rPr>
        <w:t>. 2004. “</w:t>
      </w:r>
      <w:proofErr w:type="spellStart"/>
      <w:r w:rsidRPr="00152A20">
        <w:rPr>
          <w:lang w:val="en-GB"/>
        </w:rPr>
        <w:t>Mezhpokolennaia</w:t>
      </w:r>
      <w:proofErr w:type="spellEnd"/>
      <w:r w:rsidRPr="00152A20">
        <w:rPr>
          <w:lang w:val="en-GB"/>
        </w:rPr>
        <w:t xml:space="preserve"> </w:t>
      </w:r>
      <w:proofErr w:type="spellStart"/>
      <w:r w:rsidRPr="00152A20">
        <w:rPr>
          <w:lang w:val="en-GB"/>
        </w:rPr>
        <w:t>dinamika</w:t>
      </w:r>
      <w:proofErr w:type="spellEnd"/>
      <w:r w:rsidRPr="00152A20">
        <w:rPr>
          <w:lang w:val="en-GB"/>
        </w:rPr>
        <w:t xml:space="preserve"> </w:t>
      </w:r>
      <w:proofErr w:type="spellStart"/>
      <w:r w:rsidRPr="00152A20">
        <w:rPr>
          <w:lang w:val="en-GB"/>
        </w:rPr>
        <w:t>zhiznennykh</w:t>
      </w:r>
      <w:proofErr w:type="spellEnd"/>
      <w:r w:rsidRPr="00152A20">
        <w:rPr>
          <w:lang w:val="en-GB"/>
        </w:rPr>
        <w:t xml:space="preserve"> </w:t>
      </w:r>
      <w:proofErr w:type="spellStart"/>
      <w:r w:rsidRPr="00152A20">
        <w:rPr>
          <w:lang w:val="en-GB"/>
        </w:rPr>
        <w:t>pritiazanii</w:t>
      </w:r>
      <w:proofErr w:type="spellEnd"/>
      <w:r w:rsidRPr="00152A20">
        <w:rPr>
          <w:lang w:val="en-GB"/>
        </w:rPr>
        <w:t xml:space="preserve"> </w:t>
      </w:r>
      <w:proofErr w:type="spellStart"/>
      <w:r w:rsidRPr="00152A20">
        <w:rPr>
          <w:lang w:val="en-GB"/>
        </w:rPr>
        <w:t>molodezhi</w:t>
      </w:r>
      <w:proofErr w:type="spellEnd"/>
      <w:r w:rsidRPr="00152A20">
        <w:rPr>
          <w:lang w:val="en-GB"/>
        </w:rPr>
        <w:t xml:space="preserve"> </w:t>
      </w:r>
      <w:proofErr w:type="spellStart"/>
      <w:r w:rsidRPr="00152A20">
        <w:rPr>
          <w:lang w:val="en-GB"/>
        </w:rPr>
        <w:t>i</w:t>
      </w:r>
      <w:proofErr w:type="spellEnd"/>
      <w:r w:rsidRPr="00152A20">
        <w:rPr>
          <w:lang w:val="en-GB"/>
        </w:rPr>
        <w:t xml:space="preserve"> </w:t>
      </w:r>
      <w:proofErr w:type="spellStart"/>
      <w:r w:rsidRPr="00152A20">
        <w:rPr>
          <w:lang w:val="en-GB"/>
        </w:rPr>
        <w:t>strategii</w:t>
      </w:r>
      <w:proofErr w:type="spellEnd"/>
      <w:r w:rsidRPr="00152A20">
        <w:rPr>
          <w:lang w:val="en-GB"/>
        </w:rPr>
        <w:t xml:space="preserve"> </w:t>
      </w:r>
      <w:proofErr w:type="spellStart"/>
      <w:r w:rsidRPr="00152A20">
        <w:rPr>
          <w:lang w:val="en-GB"/>
        </w:rPr>
        <w:t>ikh</w:t>
      </w:r>
      <w:proofErr w:type="spellEnd"/>
      <w:r w:rsidRPr="00152A20">
        <w:rPr>
          <w:lang w:val="en-GB"/>
        </w:rPr>
        <w:t xml:space="preserve"> </w:t>
      </w:r>
      <w:proofErr w:type="spellStart"/>
      <w:r w:rsidRPr="00152A20">
        <w:rPr>
          <w:lang w:val="en-GB"/>
        </w:rPr>
        <w:t>resursnogo</w:t>
      </w:r>
      <w:proofErr w:type="spellEnd"/>
      <w:r w:rsidRPr="00152A20">
        <w:rPr>
          <w:lang w:val="en-GB"/>
        </w:rPr>
        <w:t xml:space="preserve"> </w:t>
      </w:r>
      <w:proofErr w:type="spellStart"/>
      <w:r w:rsidRPr="00152A20">
        <w:rPr>
          <w:lang w:val="en-GB"/>
        </w:rPr>
        <w:t>obespecheniia</w:t>
      </w:r>
      <w:proofErr w:type="spellEnd"/>
      <w:r w:rsidRPr="00152A20">
        <w:rPr>
          <w:lang w:val="en-GB"/>
        </w:rPr>
        <w:t>: 1985–2001” [Intergenerational Change in Life Aspirations and in Strategies of Their Realization in the Young]. In</w:t>
      </w:r>
      <w:r w:rsidRPr="00152A20">
        <w:rPr>
          <w:i/>
          <w:lang w:val="en-GB"/>
        </w:rPr>
        <w:t xml:space="preserve"> </w:t>
      </w:r>
      <w:proofErr w:type="spellStart"/>
      <w:r w:rsidRPr="00152A20">
        <w:rPr>
          <w:i/>
          <w:lang w:val="en-GB"/>
        </w:rPr>
        <w:t>Otsy</w:t>
      </w:r>
      <w:proofErr w:type="spellEnd"/>
      <w:r w:rsidRPr="00152A20">
        <w:rPr>
          <w:i/>
          <w:lang w:val="en-GB"/>
        </w:rPr>
        <w:t xml:space="preserve"> </w:t>
      </w:r>
      <w:proofErr w:type="spellStart"/>
      <w:r w:rsidRPr="00152A20">
        <w:rPr>
          <w:i/>
          <w:lang w:val="en-GB"/>
        </w:rPr>
        <w:t>i</w:t>
      </w:r>
      <w:proofErr w:type="spellEnd"/>
      <w:r w:rsidRPr="00152A20">
        <w:rPr>
          <w:i/>
          <w:lang w:val="en-GB"/>
        </w:rPr>
        <w:t xml:space="preserve"> </w:t>
      </w:r>
      <w:proofErr w:type="spellStart"/>
      <w:r w:rsidRPr="00152A20">
        <w:rPr>
          <w:i/>
          <w:lang w:val="en-GB"/>
        </w:rPr>
        <w:t>deti</w:t>
      </w:r>
      <w:proofErr w:type="spellEnd"/>
      <w:r w:rsidRPr="00152A20">
        <w:rPr>
          <w:i/>
          <w:lang w:val="en-GB"/>
        </w:rPr>
        <w:t xml:space="preserve">. </w:t>
      </w:r>
      <w:proofErr w:type="spellStart"/>
      <w:r w:rsidRPr="00152A20">
        <w:rPr>
          <w:i/>
          <w:lang w:val="en-GB"/>
        </w:rPr>
        <w:t>Pokolencheskii</w:t>
      </w:r>
      <w:proofErr w:type="spellEnd"/>
      <w:r w:rsidRPr="00152A20">
        <w:rPr>
          <w:i/>
          <w:lang w:val="en-GB"/>
        </w:rPr>
        <w:t xml:space="preserve"> </w:t>
      </w:r>
      <w:proofErr w:type="spellStart"/>
      <w:r w:rsidRPr="00152A20">
        <w:rPr>
          <w:i/>
          <w:lang w:val="en-GB"/>
        </w:rPr>
        <w:t>analiz</w:t>
      </w:r>
      <w:proofErr w:type="spellEnd"/>
      <w:r w:rsidRPr="00152A20">
        <w:rPr>
          <w:i/>
          <w:lang w:val="en-GB"/>
        </w:rPr>
        <w:t xml:space="preserve"> </w:t>
      </w:r>
      <w:proofErr w:type="spellStart"/>
      <w:r w:rsidRPr="00152A20">
        <w:rPr>
          <w:i/>
          <w:lang w:val="en-GB"/>
        </w:rPr>
        <w:t>sovremennoi</w:t>
      </w:r>
      <w:proofErr w:type="spellEnd"/>
      <w:r w:rsidRPr="00152A20">
        <w:rPr>
          <w:i/>
          <w:lang w:val="en-GB"/>
        </w:rPr>
        <w:t xml:space="preserve"> </w:t>
      </w:r>
      <w:proofErr w:type="spellStart"/>
      <w:r w:rsidRPr="00152A20">
        <w:rPr>
          <w:i/>
          <w:lang w:val="en-GB"/>
        </w:rPr>
        <w:t>Rossii</w:t>
      </w:r>
      <w:proofErr w:type="spellEnd"/>
      <w:r w:rsidRPr="00152A20">
        <w:rPr>
          <w:lang w:val="en-GB"/>
        </w:rPr>
        <w:t xml:space="preserve"> [Fathers and Children: Cross-Generational Analysis of Contemporary Russia], edited by Theodor </w:t>
      </w:r>
      <w:proofErr w:type="spellStart"/>
      <w:r w:rsidRPr="00152A20">
        <w:rPr>
          <w:lang w:val="en-GB"/>
        </w:rPr>
        <w:t>Shanin</w:t>
      </w:r>
      <w:proofErr w:type="spellEnd"/>
      <w:r w:rsidRPr="00152A20">
        <w:rPr>
          <w:lang w:val="en-GB"/>
        </w:rPr>
        <w:t xml:space="preserve"> and </w:t>
      </w:r>
      <w:proofErr w:type="spellStart"/>
      <w:r w:rsidRPr="00152A20">
        <w:rPr>
          <w:lang w:val="en-GB"/>
        </w:rPr>
        <w:t>Iuriy</w:t>
      </w:r>
      <w:proofErr w:type="spellEnd"/>
      <w:r w:rsidRPr="00152A20">
        <w:rPr>
          <w:lang w:val="en-GB"/>
        </w:rPr>
        <w:t xml:space="preserve"> </w:t>
      </w:r>
      <w:proofErr w:type="spellStart"/>
      <w:r w:rsidRPr="00152A20">
        <w:rPr>
          <w:lang w:val="en-GB"/>
        </w:rPr>
        <w:t>Levada</w:t>
      </w:r>
      <w:proofErr w:type="spellEnd"/>
      <w:r w:rsidRPr="00152A20">
        <w:rPr>
          <w:lang w:val="en-GB"/>
        </w:rPr>
        <w:t>, 180–234. Moscow: NLO.</w:t>
      </w:r>
    </w:p>
    <w:p w14:paraId="2464133B" w14:textId="77777777" w:rsidR="00037D5F" w:rsidRPr="00152A20" w:rsidRDefault="008E5AA1">
      <w:pPr>
        <w:spacing w:line="324" w:lineRule="auto"/>
        <w:ind w:left="429" w:hanging="869"/>
        <w:rPr>
          <w:lang w:val="en-GB"/>
        </w:rPr>
      </w:pPr>
      <w:proofErr w:type="spellStart"/>
      <w:r w:rsidRPr="00152A20">
        <w:rPr>
          <w:lang w:val="en-GB"/>
        </w:rPr>
        <w:t>Bolotov</w:t>
      </w:r>
      <w:proofErr w:type="spellEnd"/>
      <w:r w:rsidRPr="00152A20">
        <w:rPr>
          <w:lang w:val="en-GB"/>
        </w:rPr>
        <w:t xml:space="preserve">, Victor. 2004. “EGE: </w:t>
      </w:r>
      <w:proofErr w:type="spellStart"/>
      <w:r w:rsidRPr="00152A20">
        <w:rPr>
          <w:lang w:val="en-GB"/>
        </w:rPr>
        <w:t>promejutochnye</w:t>
      </w:r>
      <w:proofErr w:type="spellEnd"/>
      <w:r w:rsidRPr="00152A20">
        <w:rPr>
          <w:lang w:val="en-GB"/>
        </w:rPr>
        <w:t xml:space="preserve"> </w:t>
      </w:r>
      <w:proofErr w:type="spellStart"/>
      <w:r w:rsidRPr="00152A20">
        <w:rPr>
          <w:lang w:val="en-GB"/>
        </w:rPr>
        <w:t>itogi</w:t>
      </w:r>
      <w:proofErr w:type="spellEnd"/>
      <w:r w:rsidRPr="00152A20">
        <w:rPr>
          <w:lang w:val="en-GB"/>
        </w:rPr>
        <w:t xml:space="preserve">” [The USE: interim results] </w:t>
      </w:r>
      <w:proofErr w:type="spellStart"/>
      <w:r w:rsidRPr="00152A20">
        <w:rPr>
          <w:i/>
          <w:lang w:val="en-GB"/>
        </w:rPr>
        <w:t>Voprosy</w:t>
      </w:r>
      <w:proofErr w:type="spellEnd"/>
      <w:r w:rsidRPr="00152A20">
        <w:rPr>
          <w:i/>
          <w:lang w:val="en-GB"/>
        </w:rPr>
        <w:t xml:space="preserve"> </w:t>
      </w:r>
      <w:proofErr w:type="spellStart"/>
      <w:r w:rsidRPr="00152A20">
        <w:rPr>
          <w:i/>
          <w:lang w:val="en-GB"/>
        </w:rPr>
        <w:t>obrazovaniya</w:t>
      </w:r>
      <w:proofErr w:type="spellEnd"/>
      <w:r w:rsidRPr="00152A20">
        <w:rPr>
          <w:lang w:val="en-GB"/>
        </w:rPr>
        <w:t xml:space="preserve"> 2: 155-167</w:t>
      </w:r>
    </w:p>
    <w:p w14:paraId="2E428B3D" w14:textId="77777777" w:rsidR="00037D5F" w:rsidRPr="00152A20" w:rsidRDefault="008E5AA1">
      <w:pPr>
        <w:pStyle w:val="Heading1"/>
        <w:keepNext w:val="0"/>
        <w:keepLines w:val="0"/>
        <w:spacing w:before="200" w:after="120" w:line="324" w:lineRule="auto"/>
        <w:ind w:left="429" w:hanging="869"/>
        <w:rPr>
          <w:lang w:val="en-GB"/>
        </w:rPr>
      </w:pPr>
      <w:bookmarkStart w:id="19" w:name="_v2diy84hw5wa" w:colFirst="0" w:colLast="0"/>
      <w:bookmarkEnd w:id="19"/>
      <w:proofErr w:type="spellStart"/>
      <w:r w:rsidRPr="00152A20">
        <w:rPr>
          <w:smallCaps w:val="0"/>
          <w:sz w:val="24"/>
          <w:szCs w:val="24"/>
          <w:lang w:val="en-GB"/>
        </w:rPr>
        <w:lastRenderedPageBreak/>
        <w:t>Froumin</w:t>
      </w:r>
      <w:proofErr w:type="spellEnd"/>
      <w:r w:rsidRPr="00152A20">
        <w:rPr>
          <w:smallCaps w:val="0"/>
          <w:sz w:val="24"/>
          <w:szCs w:val="24"/>
          <w:lang w:val="en-GB"/>
        </w:rPr>
        <w:t xml:space="preserve">, </w:t>
      </w:r>
      <w:proofErr w:type="spellStart"/>
      <w:r w:rsidRPr="00152A20">
        <w:rPr>
          <w:smallCaps w:val="0"/>
          <w:sz w:val="24"/>
          <w:szCs w:val="24"/>
          <w:lang w:val="en-GB"/>
        </w:rPr>
        <w:t>Isak</w:t>
      </w:r>
      <w:proofErr w:type="spellEnd"/>
      <w:r w:rsidRPr="00152A20">
        <w:rPr>
          <w:smallCaps w:val="0"/>
          <w:sz w:val="24"/>
          <w:szCs w:val="24"/>
          <w:lang w:val="en-GB"/>
        </w:rPr>
        <w:t xml:space="preserve">, and Oleg </w:t>
      </w:r>
      <w:proofErr w:type="spellStart"/>
      <w:r w:rsidRPr="00152A20">
        <w:rPr>
          <w:smallCaps w:val="0"/>
          <w:sz w:val="24"/>
          <w:szCs w:val="24"/>
          <w:lang w:val="en-GB"/>
        </w:rPr>
        <w:t>Leshukov</w:t>
      </w:r>
      <w:proofErr w:type="spellEnd"/>
      <w:r w:rsidRPr="00152A20">
        <w:rPr>
          <w:smallCaps w:val="0"/>
          <w:sz w:val="24"/>
          <w:szCs w:val="24"/>
          <w:lang w:val="en-GB"/>
        </w:rPr>
        <w:t xml:space="preserve">. Forthcoming. Federal - regional relationships in higher education in the Russian Federation. In </w:t>
      </w:r>
      <w:r w:rsidRPr="00152A20">
        <w:rPr>
          <w:i/>
          <w:smallCaps w:val="0"/>
          <w:sz w:val="24"/>
          <w:szCs w:val="24"/>
          <w:lang w:val="en-GB"/>
        </w:rPr>
        <w:t>Federalism and Higher Education: A Comparative Study</w:t>
      </w:r>
      <w:r w:rsidRPr="00152A20">
        <w:rPr>
          <w:smallCaps w:val="0"/>
          <w:sz w:val="24"/>
          <w:szCs w:val="24"/>
          <w:lang w:val="en-GB"/>
        </w:rPr>
        <w:t xml:space="preserve">, edited by Martin </w:t>
      </w:r>
      <w:proofErr w:type="spellStart"/>
      <w:r w:rsidRPr="00152A20">
        <w:rPr>
          <w:smallCaps w:val="0"/>
          <w:sz w:val="24"/>
          <w:szCs w:val="24"/>
          <w:lang w:val="en-GB"/>
        </w:rPr>
        <w:t>Carnoy</w:t>
      </w:r>
      <w:proofErr w:type="spellEnd"/>
      <w:r w:rsidRPr="00152A20">
        <w:rPr>
          <w:smallCaps w:val="0"/>
          <w:sz w:val="24"/>
          <w:szCs w:val="24"/>
          <w:lang w:val="en-GB"/>
        </w:rPr>
        <w:t xml:space="preserve">, </w:t>
      </w:r>
      <w:proofErr w:type="spellStart"/>
      <w:r w:rsidRPr="00152A20">
        <w:rPr>
          <w:smallCaps w:val="0"/>
          <w:sz w:val="24"/>
          <w:szCs w:val="24"/>
          <w:lang w:val="en-GB"/>
        </w:rPr>
        <w:t>Isak</w:t>
      </w:r>
      <w:proofErr w:type="spellEnd"/>
      <w:r w:rsidRPr="00152A20">
        <w:rPr>
          <w:smallCaps w:val="0"/>
          <w:sz w:val="24"/>
          <w:szCs w:val="24"/>
          <w:lang w:val="en-GB"/>
        </w:rPr>
        <w:t xml:space="preserve"> </w:t>
      </w:r>
      <w:proofErr w:type="spellStart"/>
      <w:r w:rsidRPr="00152A20">
        <w:rPr>
          <w:smallCaps w:val="0"/>
          <w:sz w:val="24"/>
          <w:szCs w:val="24"/>
          <w:lang w:val="en-GB"/>
        </w:rPr>
        <w:t>Froumin</w:t>
      </w:r>
      <w:proofErr w:type="spellEnd"/>
      <w:r w:rsidRPr="00152A20">
        <w:rPr>
          <w:smallCaps w:val="0"/>
          <w:sz w:val="24"/>
          <w:szCs w:val="24"/>
          <w:lang w:val="en-GB"/>
        </w:rPr>
        <w:t xml:space="preserve">, Simon Marginson and Oleg </w:t>
      </w:r>
      <w:proofErr w:type="spellStart"/>
      <w:r w:rsidRPr="00152A20">
        <w:rPr>
          <w:smallCaps w:val="0"/>
          <w:sz w:val="24"/>
          <w:szCs w:val="24"/>
          <w:lang w:val="en-GB"/>
        </w:rPr>
        <w:t>Leshukov</w:t>
      </w:r>
      <w:proofErr w:type="spellEnd"/>
      <w:r w:rsidRPr="00152A20">
        <w:rPr>
          <w:smallCaps w:val="0"/>
          <w:sz w:val="24"/>
          <w:szCs w:val="24"/>
          <w:lang w:val="en-GB"/>
        </w:rPr>
        <w:t>. Stanford University Press.</w:t>
      </w:r>
    </w:p>
    <w:p w14:paraId="49E45D9B" w14:textId="77777777" w:rsidR="00037D5F" w:rsidRPr="00152A20" w:rsidRDefault="008E5AA1">
      <w:pPr>
        <w:spacing w:before="200" w:after="120" w:line="324" w:lineRule="auto"/>
        <w:ind w:left="429" w:hanging="869"/>
        <w:rPr>
          <w:lang w:val="en-GB"/>
        </w:rPr>
      </w:pPr>
      <w:proofErr w:type="spellStart"/>
      <w:r w:rsidRPr="00152A20">
        <w:rPr>
          <w:lang w:val="en-GB"/>
        </w:rPr>
        <w:t>Klyachko</w:t>
      </w:r>
      <w:proofErr w:type="spellEnd"/>
      <w:r w:rsidRPr="00152A20">
        <w:rPr>
          <w:lang w:val="en-GB"/>
        </w:rPr>
        <w:t xml:space="preserve">, Tatyana, and Irina </w:t>
      </w:r>
      <w:proofErr w:type="spellStart"/>
      <w:r w:rsidRPr="00152A20">
        <w:rPr>
          <w:lang w:val="en-GB"/>
        </w:rPr>
        <w:t>Rojdestvenskaya</w:t>
      </w:r>
      <w:proofErr w:type="spellEnd"/>
      <w:r w:rsidRPr="00152A20">
        <w:rPr>
          <w:lang w:val="en-GB"/>
        </w:rPr>
        <w:t xml:space="preserve">. 1999. </w:t>
      </w:r>
      <w:proofErr w:type="spellStart"/>
      <w:r w:rsidRPr="00152A20">
        <w:rPr>
          <w:i/>
          <w:lang w:val="en-GB"/>
        </w:rPr>
        <w:t>Obrazovanie</w:t>
      </w:r>
      <w:proofErr w:type="spellEnd"/>
      <w:r w:rsidRPr="00152A20">
        <w:rPr>
          <w:i/>
          <w:lang w:val="en-GB"/>
        </w:rPr>
        <w:t xml:space="preserve"> </w:t>
      </w:r>
      <w:r w:rsidRPr="00152A20">
        <w:rPr>
          <w:lang w:val="en-GB"/>
        </w:rPr>
        <w:t xml:space="preserve">[Education]. Moscow: </w:t>
      </w:r>
      <w:proofErr w:type="spellStart"/>
      <w:r w:rsidRPr="00152A20">
        <w:rPr>
          <w:lang w:val="en-GB"/>
        </w:rPr>
        <w:t>Institut</w:t>
      </w:r>
      <w:proofErr w:type="spellEnd"/>
      <w:r w:rsidRPr="00152A20">
        <w:rPr>
          <w:lang w:val="en-GB"/>
        </w:rPr>
        <w:t xml:space="preserve"> </w:t>
      </w:r>
      <w:proofErr w:type="spellStart"/>
      <w:r w:rsidRPr="00152A20">
        <w:rPr>
          <w:lang w:val="en-GB"/>
        </w:rPr>
        <w:t>ekonomiki</w:t>
      </w:r>
      <w:proofErr w:type="spellEnd"/>
      <w:r w:rsidRPr="00152A20">
        <w:rPr>
          <w:lang w:val="en-GB"/>
        </w:rPr>
        <w:t xml:space="preserve"> </w:t>
      </w:r>
      <w:proofErr w:type="spellStart"/>
      <w:r w:rsidRPr="00152A20">
        <w:rPr>
          <w:lang w:val="en-GB"/>
        </w:rPr>
        <w:t>perehodnogo</w:t>
      </w:r>
      <w:proofErr w:type="spellEnd"/>
      <w:r w:rsidRPr="00152A20">
        <w:rPr>
          <w:lang w:val="en-GB"/>
        </w:rPr>
        <w:t xml:space="preserve"> </w:t>
      </w:r>
      <w:proofErr w:type="spellStart"/>
      <w:r w:rsidRPr="00152A20">
        <w:rPr>
          <w:lang w:val="en-GB"/>
        </w:rPr>
        <w:t>perioda</w:t>
      </w:r>
      <w:proofErr w:type="spellEnd"/>
    </w:p>
    <w:p w14:paraId="58E7D0DC" w14:textId="77777777" w:rsidR="00037D5F" w:rsidRPr="00152A20" w:rsidRDefault="008E5AA1">
      <w:pPr>
        <w:spacing w:before="200" w:after="120" w:line="324" w:lineRule="auto"/>
        <w:ind w:left="429" w:hanging="869"/>
        <w:rPr>
          <w:lang w:val="en-GB"/>
        </w:rPr>
      </w:pPr>
      <w:proofErr w:type="spellStart"/>
      <w:r w:rsidRPr="00152A20">
        <w:rPr>
          <w:lang w:val="en-GB"/>
        </w:rPr>
        <w:t>Klyachko</w:t>
      </w:r>
      <w:proofErr w:type="spellEnd"/>
      <w:r w:rsidRPr="00152A20">
        <w:rPr>
          <w:lang w:val="en-GB"/>
        </w:rPr>
        <w:t xml:space="preserve">, Tatiana, </w:t>
      </w:r>
      <w:proofErr w:type="spellStart"/>
      <w:r w:rsidRPr="00152A20">
        <w:rPr>
          <w:lang w:val="en-GB"/>
        </w:rPr>
        <w:t>Nadezda</w:t>
      </w:r>
      <w:proofErr w:type="spellEnd"/>
      <w:r w:rsidRPr="00152A20">
        <w:rPr>
          <w:lang w:val="en-GB"/>
        </w:rPr>
        <w:t xml:space="preserve"> </w:t>
      </w:r>
      <w:proofErr w:type="spellStart"/>
      <w:r w:rsidRPr="00152A20">
        <w:rPr>
          <w:lang w:val="en-GB"/>
        </w:rPr>
        <w:t>Titova</w:t>
      </w:r>
      <w:proofErr w:type="spellEnd"/>
      <w:r w:rsidRPr="00152A20">
        <w:rPr>
          <w:lang w:val="en-GB"/>
        </w:rPr>
        <w:t xml:space="preserve">, Alexander </w:t>
      </w:r>
      <w:proofErr w:type="spellStart"/>
      <w:r w:rsidRPr="00152A20">
        <w:rPr>
          <w:lang w:val="en-GB"/>
        </w:rPr>
        <w:t>Kryshtanovsky</w:t>
      </w:r>
      <w:proofErr w:type="spellEnd"/>
      <w:r w:rsidRPr="00152A20">
        <w:rPr>
          <w:lang w:val="en-GB"/>
        </w:rPr>
        <w:t xml:space="preserve">, </w:t>
      </w:r>
      <w:proofErr w:type="spellStart"/>
      <w:r w:rsidRPr="00152A20">
        <w:rPr>
          <w:lang w:val="en-GB"/>
        </w:rPr>
        <w:t>Mihail</w:t>
      </w:r>
      <w:proofErr w:type="spellEnd"/>
      <w:r w:rsidRPr="00152A20">
        <w:rPr>
          <w:lang w:val="en-GB"/>
        </w:rPr>
        <w:t xml:space="preserve"> </w:t>
      </w:r>
      <w:proofErr w:type="spellStart"/>
      <w:r w:rsidRPr="00152A20">
        <w:rPr>
          <w:lang w:val="en-GB"/>
        </w:rPr>
        <w:t>Mikhailyuk</w:t>
      </w:r>
      <w:proofErr w:type="spellEnd"/>
      <w:r w:rsidRPr="00152A20">
        <w:rPr>
          <w:lang w:val="en-GB"/>
        </w:rPr>
        <w:t xml:space="preserve">, </w:t>
      </w:r>
      <w:proofErr w:type="spellStart"/>
      <w:r w:rsidRPr="00152A20">
        <w:rPr>
          <w:lang w:val="en-GB"/>
        </w:rPr>
        <w:t>Mihail</w:t>
      </w:r>
      <w:proofErr w:type="spellEnd"/>
      <w:r w:rsidRPr="00152A20">
        <w:rPr>
          <w:lang w:val="en-GB"/>
        </w:rPr>
        <w:t xml:space="preserve"> </w:t>
      </w:r>
      <w:proofErr w:type="spellStart"/>
      <w:r w:rsidRPr="00152A20">
        <w:rPr>
          <w:lang w:val="en-GB"/>
        </w:rPr>
        <w:t>Drugov</w:t>
      </w:r>
      <w:proofErr w:type="spellEnd"/>
      <w:r w:rsidRPr="00152A20">
        <w:rPr>
          <w:lang w:val="en-GB"/>
        </w:rPr>
        <w:t xml:space="preserve">, Denis </w:t>
      </w:r>
      <w:proofErr w:type="spellStart"/>
      <w:r w:rsidRPr="00152A20">
        <w:rPr>
          <w:lang w:val="en-GB"/>
        </w:rPr>
        <w:t>Vasiliev</w:t>
      </w:r>
      <w:proofErr w:type="spellEnd"/>
      <w:r w:rsidRPr="00152A20">
        <w:rPr>
          <w:lang w:val="en-GB"/>
        </w:rPr>
        <w:t xml:space="preserve">, Lyudmila </w:t>
      </w:r>
      <w:proofErr w:type="spellStart"/>
      <w:r w:rsidRPr="00152A20">
        <w:rPr>
          <w:lang w:val="en-GB"/>
        </w:rPr>
        <w:t>Kapranova</w:t>
      </w:r>
      <w:proofErr w:type="spellEnd"/>
      <w:r w:rsidRPr="00152A20">
        <w:rPr>
          <w:lang w:val="en-GB"/>
        </w:rPr>
        <w:t xml:space="preserve">, Alina </w:t>
      </w:r>
      <w:proofErr w:type="spellStart"/>
      <w:r w:rsidRPr="00152A20">
        <w:rPr>
          <w:lang w:val="en-GB"/>
        </w:rPr>
        <w:t>Zaborovskaya</w:t>
      </w:r>
      <w:proofErr w:type="spellEnd"/>
      <w:r w:rsidRPr="00152A20">
        <w:rPr>
          <w:lang w:val="en-GB"/>
        </w:rPr>
        <w:t xml:space="preserve">, and Svetlana </w:t>
      </w:r>
      <w:proofErr w:type="spellStart"/>
      <w:r w:rsidRPr="00152A20">
        <w:rPr>
          <w:lang w:val="en-GB"/>
        </w:rPr>
        <w:t>Zaretskaya</w:t>
      </w:r>
      <w:proofErr w:type="spellEnd"/>
      <w:r w:rsidRPr="00152A20">
        <w:rPr>
          <w:lang w:val="en-GB"/>
        </w:rPr>
        <w:t xml:space="preserve">. 2002. </w:t>
      </w:r>
      <w:proofErr w:type="spellStart"/>
      <w:r w:rsidRPr="00152A20">
        <w:rPr>
          <w:i/>
          <w:lang w:val="en-GB"/>
        </w:rPr>
        <w:t>Strategii</w:t>
      </w:r>
      <w:proofErr w:type="spellEnd"/>
      <w:r w:rsidRPr="00152A20">
        <w:rPr>
          <w:i/>
          <w:lang w:val="en-GB"/>
        </w:rPr>
        <w:t xml:space="preserve"> </w:t>
      </w:r>
      <w:proofErr w:type="spellStart"/>
      <w:r w:rsidRPr="00152A20">
        <w:rPr>
          <w:i/>
          <w:lang w:val="en-GB"/>
        </w:rPr>
        <w:t>adaptatsii</w:t>
      </w:r>
      <w:proofErr w:type="spellEnd"/>
      <w:r w:rsidRPr="00152A20">
        <w:rPr>
          <w:i/>
          <w:lang w:val="en-GB"/>
        </w:rPr>
        <w:t xml:space="preserve"> </w:t>
      </w:r>
      <w:proofErr w:type="spellStart"/>
      <w:r w:rsidRPr="00152A20">
        <w:rPr>
          <w:i/>
          <w:lang w:val="en-GB"/>
        </w:rPr>
        <w:t>vysshikh</w:t>
      </w:r>
      <w:proofErr w:type="spellEnd"/>
      <w:r w:rsidRPr="00152A20">
        <w:rPr>
          <w:i/>
          <w:lang w:val="en-GB"/>
        </w:rPr>
        <w:t xml:space="preserve"> </w:t>
      </w:r>
      <w:proofErr w:type="spellStart"/>
      <w:r w:rsidRPr="00152A20">
        <w:rPr>
          <w:i/>
          <w:lang w:val="en-GB"/>
        </w:rPr>
        <w:t>uchebnykh</w:t>
      </w:r>
      <w:proofErr w:type="spellEnd"/>
      <w:r w:rsidRPr="00152A20">
        <w:rPr>
          <w:i/>
          <w:lang w:val="en-GB"/>
        </w:rPr>
        <w:t xml:space="preserve"> </w:t>
      </w:r>
      <w:proofErr w:type="spellStart"/>
      <w:r w:rsidRPr="00152A20">
        <w:rPr>
          <w:i/>
          <w:lang w:val="en-GB"/>
        </w:rPr>
        <w:t>zavedeniy</w:t>
      </w:r>
      <w:proofErr w:type="spellEnd"/>
      <w:r w:rsidRPr="00152A20">
        <w:rPr>
          <w:i/>
          <w:lang w:val="en-GB"/>
        </w:rPr>
        <w:t xml:space="preserve">: </w:t>
      </w:r>
      <w:proofErr w:type="spellStart"/>
      <w:r w:rsidRPr="00152A20">
        <w:rPr>
          <w:i/>
          <w:lang w:val="en-GB"/>
        </w:rPr>
        <w:t>ekonomicheskiy</w:t>
      </w:r>
      <w:proofErr w:type="spellEnd"/>
      <w:r w:rsidRPr="00152A20">
        <w:rPr>
          <w:i/>
          <w:lang w:val="en-GB"/>
        </w:rPr>
        <w:t xml:space="preserve"> </w:t>
      </w:r>
      <w:proofErr w:type="spellStart"/>
      <w:r w:rsidRPr="00152A20">
        <w:rPr>
          <w:i/>
          <w:lang w:val="en-GB"/>
        </w:rPr>
        <w:t>i</w:t>
      </w:r>
      <w:proofErr w:type="spellEnd"/>
      <w:r w:rsidRPr="00152A20">
        <w:rPr>
          <w:i/>
          <w:lang w:val="en-GB"/>
        </w:rPr>
        <w:t xml:space="preserve"> </w:t>
      </w:r>
      <w:proofErr w:type="spellStart"/>
      <w:r w:rsidRPr="00152A20">
        <w:rPr>
          <w:i/>
          <w:lang w:val="en-GB"/>
        </w:rPr>
        <w:t>sotsiologicheskiy</w:t>
      </w:r>
      <w:proofErr w:type="spellEnd"/>
      <w:r w:rsidRPr="00152A20">
        <w:rPr>
          <w:i/>
          <w:lang w:val="en-GB"/>
        </w:rPr>
        <w:t xml:space="preserve"> </w:t>
      </w:r>
      <w:proofErr w:type="spellStart"/>
      <w:r w:rsidRPr="00152A20">
        <w:rPr>
          <w:i/>
          <w:lang w:val="en-GB"/>
        </w:rPr>
        <w:t>aspekty</w:t>
      </w:r>
      <w:proofErr w:type="spellEnd"/>
      <w:r w:rsidRPr="00152A20">
        <w:rPr>
          <w:lang w:val="en-GB"/>
        </w:rPr>
        <w:t xml:space="preserve"> [Adaptation Strategies of The Higher Education Institutions: An Economic and A Sociological Aspects]. Moscow: HSE.</w:t>
      </w:r>
    </w:p>
    <w:p w14:paraId="504461AF" w14:textId="77777777" w:rsidR="00037D5F" w:rsidRPr="00152A20" w:rsidRDefault="008E5AA1">
      <w:pPr>
        <w:spacing w:before="200" w:after="120" w:line="324" w:lineRule="auto"/>
        <w:ind w:left="429" w:hanging="869"/>
        <w:rPr>
          <w:lang w:val="en-GB"/>
        </w:rPr>
      </w:pPr>
      <w:proofErr w:type="spellStart"/>
      <w:r w:rsidRPr="00152A20">
        <w:rPr>
          <w:lang w:val="en-GB"/>
        </w:rPr>
        <w:t>Zaretskaya</w:t>
      </w:r>
      <w:proofErr w:type="spellEnd"/>
      <w:r w:rsidRPr="00152A20">
        <w:rPr>
          <w:lang w:val="en-GB"/>
        </w:rPr>
        <w:t xml:space="preserve">, Svetlana and Lyudmila </w:t>
      </w:r>
      <w:proofErr w:type="spellStart"/>
      <w:r w:rsidRPr="00152A20">
        <w:rPr>
          <w:lang w:val="en-GB"/>
        </w:rPr>
        <w:t>Kapranova</w:t>
      </w:r>
      <w:proofErr w:type="spellEnd"/>
      <w:r w:rsidRPr="00152A20">
        <w:rPr>
          <w:lang w:val="en-GB"/>
        </w:rPr>
        <w:t>. 2003. “</w:t>
      </w:r>
      <w:proofErr w:type="spellStart"/>
      <w:r w:rsidRPr="00152A20">
        <w:rPr>
          <w:lang w:val="en-GB"/>
        </w:rPr>
        <w:t>Vysshaya</w:t>
      </w:r>
      <w:proofErr w:type="spellEnd"/>
      <w:r w:rsidRPr="00152A20">
        <w:rPr>
          <w:lang w:val="en-GB"/>
        </w:rPr>
        <w:t xml:space="preserve"> </w:t>
      </w:r>
      <w:proofErr w:type="spellStart"/>
      <w:r w:rsidRPr="00152A20">
        <w:rPr>
          <w:lang w:val="en-GB"/>
        </w:rPr>
        <w:t>Shkola</w:t>
      </w:r>
      <w:proofErr w:type="spellEnd"/>
      <w:r w:rsidRPr="00152A20">
        <w:rPr>
          <w:lang w:val="en-GB"/>
        </w:rPr>
        <w:t xml:space="preserve"> </w:t>
      </w:r>
      <w:proofErr w:type="spellStart"/>
      <w:r w:rsidRPr="00152A20">
        <w:rPr>
          <w:lang w:val="en-GB"/>
        </w:rPr>
        <w:t>i</w:t>
      </w:r>
      <w:proofErr w:type="spellEnd"/>
      <w:r w:rsidRPr="00152A20">
        <w:rPr>
          <w:lang w:val="en-GB"/>
        </w:rPr>
        <w:t xml:space="preserve"> </w:t>
      </w:r>
      <w:proofErr w:type="spellStart"/>
      <w:r w:rsidRPr="00152A20">
        <w:rPr>
          <w:lang w:val="en-GB"/>
        </w:rPr>
        <w:t>Reforma</w:t>
      </w:r>
      <w:proofErr w:type="spellEnd"/>
      <w:r w:rsidRPr="00152A20">
        <w:rPr>
          <w:lang w:val="en-GB"/>
        </w:rPr>
        <w:t xml:space="preserve"> </w:t>
      </w:r>
      <w:proofErr w:type="spellStart"/>
      <w:r w:rsidRPr="00152A20">
        <w:rPr>
          <w:lang w:val="en-GB"/>
        </w:rPr>
        <w:t>Obrazovaniya</w:t>
      </w:r>
      <w:proofErr w:type="spellEnd"/>
      <w:r w:rsidRPr="00152A20">
        <w:rPr>
          <w:lang w:val="en-GB"/>
        </w:rPr>
        <w:t xml:space="preserve">: </w:t>
      </w:r>
      <w:proofErr w:type="spellStart"/>
      <w:r w:rsidRPr="00152A20">
        <w:rPr>
          <w:lang w:val="en-GB"/>
        </w:rPr>
        <w:t>Vzglyady</w:t>
      </w:r>
      <w:proofErr w:type="spellEnd"/>
      <w:r w:rsidRPr="00152A20">
        <w:rPr>
          <w:lang w:val="en-GB"/>
        </w:rPr>
        <w:t xml:space="preserve"> </w:t>
      </w:r>
      <w:proofErr w:type="spellStart"/>
      <w:r w:rsidRPr="00152A20">
        <w:rPr>
          <w:lang w:val="en-GB"/>
        </w:rPr>
        <w:t>Rukovoditelei</w:t>
      </w:r>
      <w:proofErr w:type="spellEnd"/>
      <w:r w:rsidRPr="00152A20">
        <w:rPr>
          <w:lang w:val="en-GB"/>
        </w:rPr>
        <w:t xml:space="preserve"> </w:t>
      </w:r>
      <w:proofErr w:type="spellStart"/>
      <w:r w:rsidRPr="00152A20">
        <w:rPr>
          <w:lang w:val="en-GB"/>
        </w:rPr>
        <w:t>Vuzov</w:t>
      </w:r>
      <w:proofErr w:type="spellEnd"/>
      <w:r w:rsidRPr="00152A20">
        <w:rPr>
          <w:lang w:val="en-GB"/>
        </w:rPr>
        <w:t xml:space="preserve"> </w:t>
      </w:r>
      <w:proofErr w:type="spellStart"/>
      <w:r w:rsidRPr="00152A20">
        <w:rPr>
          <w:lang w:val="en-GB"/>
        </w:rPr>
        <w:t>Rossii</w:t>
      </w:r>
      <w:proofErr w:type="spellEnd"/>
      <w:r w:rsidRPr="00152A20">
        <w:rPr>
          <w:lang w:val="en-GB"/>
        </w:rPr>
        <w:t>” [Higher School and Education Reform: HEIs’ Management View] Retrieved (</w:t>
      </w:r>
      <w:hyperlink r:id="rId20">
        <w:r w:rsidRPr="00152A20">
          <w:rPr>
            <w:color w:val="1155CC"/>
            <w:u w:val="single"/>
            <w:lang w:val="en-GB"/>
          </w:rPr>
          <w:t>http://ecsocman.hse.ru/text/18240963/</w:t>
        </w:r>
      </w:hyperlink>
      <w:r w:rsidRPr="00152A20">
        <w:rPr>
          <w:lang w:val="en-GB"/>
        </w:rPr>
        <w:t>).</w:t>
      </w:r>
    </w:p>
    <w:p w14:paraId="6A6467A4" w14:textId="77777777" w:rsidR="00037D5F" w:rsidRPr="00152A20" w:rsidRDefault="008E5AA1">
      <w:pPr>
        <w:spacing w:before="200" w:after="120" w:line="324" w:lineRule="auto"/>
        <w:ind w:left="429" w:hanging="869"/>
        <w:rPr>
          <w:lang w:val="en-GB"/>
        </w:rPr>
      </w:pPr>
      <w:proofErr w:type="spellStart"/>
      <w:r w:rsidRPr="00152A20">
        <w:rPr>
          <w:lang w:val="en-GB"/>
        </w:rPr>
        <w:t>Trow</w:t>
      </w:r>
      <w:proofErr w:type="spellEnd"/>
      <w:r w:rsidRPr="00152A20">
        <w:rPr>
          <w:lang w:val="en-GB"/>
        </w:rPr>
        <w:t xml:space="preserve">, Martin A. 1973. </w:t>
      </w:r>
      <w:r w:rsidRPr="00152A20">
        <w:rPr>
          <w:i/>
          <w:lang w:val="en-GB"/>
        </w:rPr>
        <w:t>Problems in the Transition from Elite to Mass Higher Education</w:t>
      </w:r>
      <w:r w:rsidRPr="00152A20">
        <w:rPr>
          <w:lang w:val="en-GB"/>
        </w:rPr>
        <w:t>. University of California, Institute of International Studies.</w:t>
      </w:r>
    </w:p>
    <w:p w14:paraId="28E8DC17" w14:textId="77777777" w:rsidR="00037D5F" w:rsidRPr="00152A20" w:rsidRDefault="008E5AA1">
      <w:pPr>
        <w:spacing w:before="200" w:after="120" w:line="324" w:lineRule="auto"/>
        <w:ind w:left="429" w:hanging="869"/>
        <w:rPr>
          <w:lang w:val="en-GB"/>
        </w:rPr>
      </w:pPr>
      <w:r w:rsidRPr="00152A20">
        <w:rPr>
          <w:lang w:val="en-GB"/>
        </w:rPr>
        <w:t>__________</w:t>
      </w:r>
    </w:p>
    <w:p w14:paraId="08502C36" w14:textId="73B2636A" w:rsidR="00037D5F" w:rsidRPr="00152A20" w:rsidRDefault="002D51FC">
      <w:pPr>
        <w:spacing w:before="200" w:after="120" w:line="324" w:lineRule="auto"/>
        <w:ind w:left="429" w:hanging="869"/>
        <w:rPr>
          <w:lang w:val="en-GB"/>
        </w:rPr>
      </w:pPr>
      <w:r w:rsidRPr="00152A20">
        <w:rPr>
          <w:lang w:val="en-GB"/>
        </w:rPr>
        <w:t>Statistical book on higher education</w:t>
      </w:r>
      <w:r w:rsidR="008E5AA1" w:rsidRPr="00152A20">
        <w:rPr>
          <w:lang w:val="en-GB"/>
        </w:rPr>
        <w:t>. 1992.</w:t>
      </w:r>
      <w:r w:rsidR="008E5AA1" w:rsidRPr="00152A20">
        <w:rPr>
          <w:i/>
          <w:lang w:val="en-GB"/>
        </w:rPr>
        <w:t xml:space="preserve"> </w:t>
      </w:r>
      <w:proofErr w:type="spellStart"/>
      <w:r w:rsidR="008E5AA1" w:rsidRPr="00152A20">
        <w:rPr>
          <w:i/>
          <w:lang w:val="en-GB"/>
        </w:rPr>
        <w:t>Vysshaya</w:t>
      </w:r>
      <w:proofErr w:type="spellEnd"/>
      <w:r w:rsidR="008E5AA1" w:rsidRPr="00152A20">
        <w:rPr>
          <w:i/>
          <w:lang w:val="en-GB"/>
        </w:rPr>
        <w:t xml:space="preserve"> </w:t>
      </w:r>
      <w:proofErr w:type="spellStart"/>
      <w:r w:rsidR="008E5AA1" w:rsidRPr="00152A20">
        <w:rPr>
          <w:i/>
          <w:lang w:val="en-GB"/>
        </w:rPr>
        <w:t>shkola</w:t>
      </w:r>
      <w:proofErr w:type="spellEnd"/>
      <w:r w:rsidR="008E5AA1" w:rsidRPr="00152A20">
        <w:rPr>
          <w:i/>
          <w:lang w:val="en-GB"/>
        </w:rPr>
        <w:t xml:space="preserve"> v 1991: </w:t>
      </w:r>
      <w:proofErr w:type="spellStart"/>
      <w:r w:rsidR="008E5AA1" w:rsidRPr="00152A20">
        <w:rPr>
          <w:i/>
          <w:lang w:val="en-GB"/>
        </w:rPr>
        <w:t>Ezhegodnyj</w:t>
      </w:r>
      <w:proofErr w:type="spellEnd"/>
      <w:r w:rsidR="008E5AA1" w:rsidRPr="00152A20">
        <w:rPr>
          <w:i/>
          <w:lang w:val="en-GB"/>
        </w:rPr>
        <w:t xml:space="preserve"> </w:t>
      </w:r>
      <w:proofErr w:type="spellStart"/>
      <w:r w:rsidR="008E5AA1" w:rsidRPr="00152A20">
        <w:rPr>
          <w:i/>
          <w:lang w:val="en-GB"/>
        </w:rPr>
        <w:t>doklad</w:t>
      </w:r>
      <w:proofErr w:type="spellEnd"/>
      <w:r w:rsidR="008E5AA1" w:rsidRPr="00152A20">
        <w:rPr>
          <w:i/>
          <w:lang w:val="en-GB"/>
        </w:rPr>
        <w:t xml:space="preserve"> o </w:t>
      </w:r>
      <w:proofErr w:type="spellStart"/>
      <w:r w:rsidR="008E5AA1" w:rsidRPr="00152A20">
        <w:rPr>
          <w:i/>
          <w:lang w:val="en-GB"/>
        </w:rPr>
        <w:t>razvitii</w:t>
      </w:r>
      <w:proofErr w:type="spellEnd"/>
      <w:r w:rsidR="008E5AA1" w:rsidRPr="00152A20">
        <w:rPr>
          <w:i/>
          <w:lang w:val="en-GB"/>
        </w:rPr>
        <w:t xml:space="preserve"> </w:t>
      </w:r>
      <w:proofErr w:type="spellStart"/>
      <w:r w:rsidR="008E5AA1" w:rsidRPr="00152A20">
        <w:rPr>
          <w:i/>
          <w:lang w:val="en-GB"/>
        </w:rPr>
        <w:t>vysshego</w:t>
      </w:r>
      <w:proofErr w:type="spellEnd"/>
      <w:r w:rsidR="008E5AA1" w:rsidRPr="00152A20">
        <w:rPr>
          <w:i/>
          <w:lang w:val="en-GB"/>
        </w:rPr>
        <w:t xml:space="preserve"> </w:t>
      </w:r>
      <w:proofErr w:type="spellStart"/>
      <w:r w:rsidR="008E5AA1" w:rsidRPr="00152A20">
        <w:rPr>
          <w:i/>
          <w:lang w:val="en-GB"/>
        </w:rPr>
        <w:t>i</w:t>
      </w:r>
      <w:proofErr w:type="spellEnd"/>
      <w:r w:rsidR="008E5AA1" w:rsidRPr="00152A20">
        <w:rPr>
          <w:i/>
          <w:lang w:val="en-GB"/>
        </w:rPr>
        <w:t xml:space="preserve"> </w:t>
      </w:r>
      <w:proofErr w:type="spellStart"/>
      <w:r w:rsidR="008E5AA1" w:rsidRPr="00152A20">
        <w:rPr>
          <w:i/>
          <w:lang w:val="en-GB"/>
        </w:rPr>
        <w:t>srednego</w:t>
      </w:r>
      <w:proofErr w:type="spellEnd"/>
      <w:r w:rsidR="008E5AA1" w:rsidRPr="00152A20">
        <w:rPr>
          <w:i/>
          <w:lang w:val="en-GB"/>
        </w:rPr>
        <w:t xml:space="preserve"> </w:t>
      </w:r>
      <w:proofErr w:type="spellStart"/>
      <w:r w:rsidR="008E5AA1" w:rsidRPr="00152A20">
        <w:rPr>
          <w:i/>
          <w:lang w:val="en-GB"/>
        </w:rPr>
        <w:t>special'nogo</w:t>
      </w:r>
      <w:proofErr w:type="spellEnd"/>
      <w:r w:rsidR="008E5AA1" w:rsidRPr="00152A20">
        <w:rPr>
          <w:i/>
          <w:lang w:val="en-GB"/>
        </w:rPr>
        <w:t xml:space="preserve"> </w:t>
      </w:r>
      <w:proofErr w:type="spellStart"/>
      <w:r w:rsidR="008E5AA1" w:rsidRPr="00152A20">
        <w:rPr>
          <w:i/>
          <w:lang w:val="en-GB"/>
        </w:rPr>
        <w:t>obrazovanija</w:t>
      </w:r>
      <w:proofErr w:type="spellEnd"/>
      <w:r w:rsidR="008E5AA1" w:rsidRPr="00152A20">
        <w:rPr>
          <w:i/>
          <w:lang w:val="en-GB"/>
        </w:rPr>
        <w:t xml:space="preserve">. </w:t>
      </w:r>
      <w:r w:rsidR="008E5AA1" w:rsidRPr="00152A20">
        <w:rPr>
          <w:lang w:val="en-GB"/>
        </w:rPr>
        <w:t xml:space="preserve">[Higher school in 1991: Annual Report on Higher and Secondary Specialized Education]. Moscow </w:t>
      </w:r>
    </w:p>
    <w:p w14:paraId="06BCBC88" w14:textId="4D2B7BA1" w:rsidR="00037D5F" w:rsidRPr="00152A20" w:rsidRDefault="002D51FC">
      <w:pPr>
        <w:spacing w:before="200" w:after="120" w:line="324" w:lineRule="auto"/>
        <w:ind w:left="429" w:hanging="869"/>
        <w:rPr>
          <w:lang w:val="en-GB"/>
        </w:rPr>
      </w:pPr>
      <w:r w:rsidRPr="00152A20">
        <w:rPr>
          <w:lang w:val="en-GB"/>
        </w:rPr>
        <w:t xml:space="preserve">Statistical book on </w:t>
      </w:r>
      <w:r w:rsidR="008E5AA1" w:rsidRPr="00152A20">
        <w:rPr>
          <w:lang w:val="en-GB"/>
        </w:rPr>
        <w:t>R</w:t>
      </w:r>
      <w:r w:rsidRPr="00152A20">
        <w:rPr>
          <w:lang w:val="en-GB"/>
        </w:rPr>
        <w:t xml:space="preserve">ussian </w:t>
      </w:r>
      <w:r w:rsidR="008E5AA1" w:rsidRPr="00152A20">
        <w:rPr>
          <w:lang w:val="en-GB"/>
        </w:rPr>
        <w:t>F</w:t>
      </w:r>
      <w:r w:rsidRPr="00152A20">
        <w:rPr>
          <w:lang w:val="en-GB"/>
        </w:rPr>
        <w:t>ederation</w:t>
      </w:r>
      <w:r w:rsidR="008E5AA1" w:rsidRPr="00152A20">
        <w:rPr>
          <w:lang w:val="en-GB"/>
        </w:rPr>
        <w:t>. 1993.</w:t>
      </w:r>
      <w:r w:rsidR="008E5AA1" w:rsidRPr="00152A20">
        <w:rPr>
          <w:i/>
          <w:lang w:val="en-GB"/>
        </w:rPr>
        <w:t xml:space="preserve"> </w:t>
      </w:r>
      <w:proofErr w:type="spellStart"/>
      <w:r w:rsidR="008E5AA1" w:rsidRPr="00152A20">
        <w:rPr>
          <w:i/>
          <w:lang w:val="en-GB"/>
        </w:rPr>
        <w:t>Rossiiskaya</w:t>
      </w:r>
      <w:proofErr w:type="spellEnd"/>
      <w:r w:rsidR="008E5AA1" w:rsidRPr="00152A20">
        <w:rPr>
          <w:i/>
          <w:lang w:val="en-GB"/>
        </w:rPr>
        <w:t xml:space="preserve"> </w:t>
      </w:r>
      <w:proofErr w:type="spellStart"/>
      <w:r w:rsidR="008E5AA1" w:rsidRPr="00152A20">
        <w:rPr>
          <w:i/>
          <w:lang w:val="en-GB"/>
        </w:rPr>
        <w:t>Federatsiya</w:t>
      </w:r>
      <w:proofErr w:type="spellEnd"/>
      <w:r w:rsidR="008E5AA1" w:rsidRPr="00152A20">
        <w:rPr>
          <w:i/>
          <w:lang w:val="en-GB"/>
        </w:rPr>
        <w:t xml:space="preserve"> v 1992. </w:t>
      </w:r>
      <w:proofErr w:type="spellStart"/>
      <w:r w:rsidR="008E5AA1" w:rsidRPr="00152A20">
        <w:rPr>
          <w:i/>
          <w:lang w:val="en-GB"/>
        </w:rPr>
        <w:t>Statisticheskii</w:t>
      </w:r>
      <w:proofErr w:type="spellEnd"/>
      <w:r w:rsidR="008E5AA1" w:rsidRPr="00152A20">
        <w:rPr>
          <w:i/>
          <w:lang w:val="en-GB"/>
        </w:rPr>
        <w:t xml:space="preserve"> </w:t>
      </w:r>
      <w:proofErr w:type="spellStart"/>
      <w:r w:rsidR="008E5AA1" w:rsidRPr="00152A20">
        <w:rPr>
          <w:i/>
          <w:lang w:val="en-GB"/>
        </w:rPr>
        <w:t>eshegodnik</w:t>
      </w:r>
      <w:proofErr w:type="spellEnd"/>
      <w:r w:rsidR="008E5AA1" w:rsidRPr="00152A20">
        <w:rPr>
          <w:lang w:val="en-GB"/>
        </w:rPr>
        <w:t xml:space="preserve"> [Russian Federation in 1992. Statistical Yearbook]. Moscow</w:t>
      </w:r>
    </w:p>
    <w:p w14:paraId="119967A1" w14:textId="1D9CC39C" w:rsidR="00037D5F" w:rsidRPr="00152A20" w:rsidRDefault="002D51FC">
      <w:pPr>
        <w:spacing w:before="200" w:after="120" w:line="324" w:lineRule="auto"/>
        <w:ind w:left="429" w:hanging="869"/>
        <w:rPr>
          <w:lang w:val="en-GB"/>
        </w:rPr>
      </w:pPr>
      <w:r w:rsidRPr="00152A20">
        <w:rPr>
          <w:lang w:val="en-GB"/>
        </w:rPr>
        <w:t>Federal State Statistics Service</w:t>
      </w:r>
      <w:r w:rsidR="008E5AA1" w:rsidRPr="00152A20">
        <w:rPr>
          <w:lang w:val="en-GB"/>
        </w:rPr>
        <w:t xml:space="preserve">. 2015. </w:t>
      </w:r>
      <w:proofErr w:type="spellStart"/>
      <w:r w:rsidR="008E5AA1" w:rsidRPr="00152A20">
        <w:rPr>
          <w:i/>
          <w:lang w:val="en-GB"/>
        </w:rPr>
        <w:t>Federalnaya</w:t>
      </w:r>
      <w:proofErr w:type="spellEnd"/>
      <w:r w:rsidR="008E5AA1" w:rsidRPr="00152A20">
        <w:rPr>
          <w:i/>
          <w:lang w:val="en-GB"/>
        </w:rPr>
        <w:t xml:space="preserve"> </w:t>
      </w:r>
      <w:proofErr w:type="spellStart"/>
      <w:r w:rsidR="008E5AA1" w:rsidRPr="00152A20">
        <w:rPr>
          <w:i/>
          <w:lang w:val="en-GB"/>
        </w:rPr>
        <w:t>sluzhba</w:t>
      </w:r>
      <w:proofErr w:type="spellEnd"/>
      <w:r w:rsidR="008E5AA1" w:rsidRPr="00152A20">
        <w:rPr>
          <w:i/>
          <w:lang w:val="en-GB"/>
        </w:rPr>
        <w:t xml:space="preserve"> </w:t>
      </w:r>
      <w:proofErr w:type="spellStart"/>
      <w:r w:rsidR="008E5AA1" w:rsidRPr="00152A20">
        <w:rPr>
          <w:i/>
          <w:lang w:val="en-GB"/>
        </w:rPr>
        <w:t>gosudarstvennoy</w:t>
      </w:r>
      <w:proofErr w:type="spellEnd"/>
      <w:r w:rsidR="008E5AA1" w:rsidRPr="00152A20">
        <w:rPr>
          <w:i/>
          <w:lang w:val="en-GB"/>
        </w:rPr>
        <w:t xml:space="preserve"> </w:t>
      </w:r>
      <w:proofErr w:type="spellStart"/>
      <w:r w:rsidR="008E5AA1" w:rsidRPr="00152A20">
        <w:rPr>
          <w:i/>
          <w:lang w:val="en-GB"/>
        </w:rPr>
        <w:t>statistiki</w:t>
      </w:r>
      <w:proofErr w:type="spellEnd"/>
      <w:r w:rsidR="008E5AA1" w:rsidRPr="00152A20">
        <w:rPr>
          <w:i/>
          <w:lang w:val="en-GB"/>
        </w:rPr>
        <w:t xml:space="preserve">. </w:t>
      </w:r>
      <w:proofErr w:type="spellStart"/>
      <w:r w:rsidR="008E5AA1" w:rsidRPr="00152A20">
        <w:rPr>
          <w:i/>
          <w:lang w:val="en-GB"/>
        </w:rPr>
        <w:t>Ofitsialnaya</w:t>
      </w:r>
      <w:proofErr w:type="spellEnd"/>
      <w:r w:rsidR="008E5AA1" w:rsidRPr="00152A20">
        <w:rPr>
          <w:i/>
          <w:lang w:val="en-GB"/>
        </w:rPr>
        <w:t xml:space="preserve"> </w:t>
      </w:r>
      <w:proofErr w:type="spellStart"/>
      <w:r w:rsidR="008E5AA1" w:rsidRPr="00152A20">
        <w:rPr>
          <w:i/>
          <w:lang w:val="en-GB"/>
        </w:rPr>
        <w:t>statistika</w:t>
      </w:r>
      <w:proofErr w:type="spellEnd"/>
      <w:r w:rsidR="008E5AA1" w:rsidRPr="00152A20">
        <w:rPr>
          <w:i/>
          <w:lang w:val="en-GB"/>
        </w:rPr>
        <w:t xml:space="preserve">. </w:t>
      </w:r>
      <w:proofErr w:type="spellStart"/>
      <w:r w:rsidR="008E5AA1" w:rsidRPr="00152A20">
        <w:rPr>
          <w:i/>
          <w:lang w:val="en-GB"/>
        </w:rPr>
        <w:t>Naselenie</w:t>
      </w:r>
      <w:proofErr w:type="spellEnd"/>
      <w:r w:rsidR="008E5AA1" w:rsidRPr="00152A20">
        <w:rPr>
          <w:i/>
          <w:lang w:val="en-GB"/>
        </w:rPr>
        <w:t xml:space="preserve">. </w:t>
      </w:r>
      <w:proofErr w:type="spellStart"/>
      <w:r w:rsidR="008E5AA1" w:rsidRPr="00152A20">
        <w:rPr>
          <w:i/>
          <w:lang w:val="en-GB"/>
        </w:rPr>
        <w:t>Obrazovanie</w:t>
      </w:r>
      <w:proofErr w:type="spellEnd"/>
      <w:r w:rsidR="008E5AA1" w:rsidRPr="00152A20">
        <w:rPr>
          <w:lang w:val="en-GB"/>
        </w:rPr>
        <w:t xml:space="preserve"> [Federal State Statistics Service. Official Statistics. Population. Education]. </w:t>
      </w:r>
      <w:hyperlink r:id="rId21">
        <w:r w:rsidR="008E5AA1" w:rsidRPr="00152A20">
          <w:rPr>
            <w:color w:val="1155CC"/>
            <w:u w:val="single"/>
            <w:lang w:val="en-GB"/>
          </w:rPr>
          <w:t>http://www.gks.ru/</w:t>
        </w:r>
      </w:hyperlink>
    </w:p>
    <w:p w14:paraId="45294422" w14:textId="5A3A2C62" w:rsidR="00037D5F" w:rsidRPr="0029475F" w:rsidRDefault="008E5AA1">
      <w:pPr>
        <w:spacing w:before="200" w:after="120" w:line="324" w:lineRule="auto"/>
        <w:ind w:left="429" w:hanging="869"/>
      </w:pPr>
      <w:r w:rsidRPr="00152A20">
        <w:rPr>
          <w:lang w:val="en-GB"/>
        </w:rPr>
        <w:t>N</w:t>
      </w:r>
      <w:r w:rsidR="00B37BA4" w:rsidRPr="00152A20">
        <w:rPr>
          <w:lang w:val="en-GB"/>
        </w:rPr>
        <w:t xml:space="preserve">ational </w:t>
      </w:r>
      <w:r w:rsidRPr="00152A20">
        <w:rPr>
          <w:lang w:val="en-GB"/>
        </w:rPr>
        <w:t>C</w:t>
      </w:r>
      <w:r w:rsidR="00B37BA4" w:rsidRPr="00152A20">
        <w:rPr>
          <w:lang w:val="en-GB"/>
        </w:rPr>
        <w:t xml:space="preserve">entre for </w:t>
      </w:r>
      <w:r w:rsidRPr="00152A20">
        <w:rPr>
          <w:lang w:val="en-GB"/>
        </w:rPr>
        <w:t>P</w:t>
      </w:r>
      <w:r w:rsidR="00B37BA4" w:rsidRPr="00152A20">
        <w:rPr>
          <w:lang w:val="en-GB"/>
        </w:rPr>
        <w:t xml:space="preserve">ublic </w:t>
      </w:r>
      <w:r w:rsidRPr="00152A20">
        <w:rPr>
          <w:lang w:val="en-GB"/>
        </w:rPr>
        <w:t>A</w:t>
      </w:r>
      <w:r w:rsidR="00B37BA4" w:rsidRPr="00152A20">
        <w:rPr>
          <w:lang w:val="en-GB"/>
        </w:rPr>
        <w:t>ccreditation</w:t>
      </w:r>
      <w:r w:rsidRPr="00152A20">
        <w:rPr>
          <w:lang w:val="en-GB"/>
        </w:rPr>
        <w:t xml:space="preserve">. </w:t>
      </w:r>
      <w:proofErr w:type="spellStart"/>
      <w:r w:rsidRPr="00152A20">
        <w:rPr>
          <w:lang w:val="en-GB"/>
        </w:rPr>
        <w:t>n.d.</w:t>
      </w:r>
      <w:proofErr w:type="spellEnd"/>
      <w:r w:rsidRPr="00152A20">
        <w:rPr>
          <w:lang w:val="en-GB"/>
        </w:rPr>
        <w:t xml:space="preserve"> </w:t>
      </w:r>
      <w:proofErr w:type="spellStart"/>
      <w:r w:rsidRPr="00152A20">
        <w:rPr>
          <w:lang w:val="en-GB"/>
        </w:rPr>
        <w:t>Systema</w:t>
      </w:r>
      <w:proofErr w:type="spellEnd"/>
      <w:r w:rsidRPr="00152A20">
        <w:rPr>
          <w:lang w:val="en-GB"/>
        </w:rPr>
        <w:t xml:space="preserve"> </w:t>
      </w:r>
      <w:proofErr w:type="spellStart"/>
      <w:r w:rsidRPr="00152A20">
        <w:rPr>
          <w:lang w:val="en-GB"/>
        </w:rPr>
        <w:t>vysshego</w:t>
      </w:r>
      <w:proofErr w:type="spellEnd"/>
      <w:r w:rsidRPr="00152A20">
        <w:rPr>
          <w:lang w:val="en-GB"/>
        </w:rPr>
        <w:t xml:space="preserve"> </w:t>
      </w:r>
      <w:proofErr w:type="spellStart"/>
      <w:r w:rsidRPr="00152A20">
        <w:rPr>
          <w:lang w:val="en-GB"/>
        </w:rPr>
        <w:t>obrazovaniya</w:t>
      </w:r>
      <w:proofErr w:type="spellEnd"/>
      <w:r w:rsidRPr="00152A20">
        <w:rPr>
          <w:lang w:val="en-GB"/>
        </w:rPr>
        <w:t xml:space="preserve"> v RF [Higher education system in Russian Federation]. </w:t>
      </w:r>
      <w:hyperlink r:id="rId22">
        <w:r w:rsidRPr="0029475F">
          <w:rPr>
            <w:color w:val="1155CC"/>
            <w:u w:val="single"/>
          </w:rPr>
          <w:t>http://ncpa.ru/index.php?option=com_content&amp;view=article&amp;id=251&amp;Itemid=375&amp;lang=ru</w:t>
        </w:r>
      </w:hyperlink>
    </w:p>
    <w:p w14:paraId="5B27B27A" w14:textId="20654057" w:rsidR="00037D5F" w:rsidRPr="00152A20" w:rsidRDefault="002D51FC">
      <w:pPr>
        <w:spacing w:before="200" w:after="120" w:line="324" w:lineRule="auto"/>
        <w:ind w:left="429" w:hanging="869"/>
        <w:rPr>
          <w:lang w:val="en-GB"/>
        </w:rPr>
      </w:pPr>
      <w:proofErr w:type="spellStart"/>
      <w:r w:rsidRPr="00152A20">
        <w:rPr>
          <w:lang w:val="en-GB"/>
        </w:rPr>
        <w:t>Statistial</w:t>
      </w:r>
      <w:proofErr w:type="spellEnd"/>
      <w:r w:rsidRPr="00152A20">
        <w:rPr>
          <w:lang w:val="en-GB"/>
        </w:rPr>
        <w:t xml:space="preserve"> year book</w:t>
      </w:r>
      <w:r w:rsidR="008E5AA1" w:rsidRPr="00152A20">
        <w:rPr>
          <w:lang w:val="en-GB"/>
        </w:rPr>
        <w:t xml:space="preserve">. 1992.  </w:t>
      </w:r>
      <w:proofErr w:type="spellStart"/>
      <w:r w:rsidR="008E5AA1" w:rsidRPr="00152A20">
        <w:rPr>
          <w:lang w:val="en-GB"/>
        </w:rPr>
        <w:t>Statisticheskiy</w:t>
      </w:r>
      <w:proofErr w:type="spellEnd"/>
      <w:r w:rsidR="008E5AA1" w:rsidRPr="00152A20">
        <w:rPr>
          <w:lang w:val="en-GB"/>
        </w:rPr>
        <w:t xml:space="preserve"> </w:t>
      </w:r>
      <w:proofErr w:type="spellStart"/>
      <w:r w:rsidR="008E5AA1" w:rsidRPr="00152A20">
        <w:rPr>
          <w:lang w:val="en-GB"/>
        </w:rPr>
        <w:t>ezhegodnik</w:t>
      </w:r>
      <w:proofErr w:type="spellEnd"/>
      <w:r w:rsidR="008E5AA1" w:rsidRPr="00152A20">
        <w:rPr>
          <w:lang w:val="en-GB"/>
        </w:rPr>
        <w:t xml:space="preserve"> [Statistical </w:t>
      </w:r>
      <w:r w:rsidRPr="00152A20">
        <w:rPr>
          <w:lang w:val="en-GB"/>
        </w:rPr>
        <w:t xml:space="preserve">year </w:t>
      </w:r>
      <w:r w:rsidR="008E5AA1" w:rsidRPr="00152A20">
        <w:rPr>
          <w:lang w:val="en-GB"/>
        </w:rPr>
        <w:t>book]. Moscow</w:t>
      </w:r>
    </w:p>
    <w:p w14:paraId="1CF6E244" w14:textId="640E8499" w:rsidR="00037D5F" w:rsidRPr="00152A20" w:rsidRDefault="008E5AA1">
      <w:pPr>
        <w:spacing w:before="200" w:after="120" w:line="324" w:lineRule="auto"/>
        <w:ind w:left="429" w:hanging="869"/>
        <w:rPr>
          <w:lang w:val="en-GB"/>
        </w:rPr>
      </w:pPr>
      <w:r w:rsidRPr="00152A20">
        <w:rPr>
          <w:lang w:val="en-GB"/>
        </w:rPr>
        <w:lastRenderedPageBreak/>
        <w:t>Education in the R</w:t>
      </w:r>
      <w:r w:rsidR="008515F6" w:rsidRPr="00152A20">
        <w:rPr>
          <w:lang w:val="en-GB"/>
        </w:rPr>
        <w:t xml:space="preserve">ussian </w:t>
      </w:r>
      <w:r w:rsidRPr="00152A20">
        <w:rPr>
          <w:lang w:val="en-GB"/>
        </w:rPr>
        <w:t>F</w:t>
      </w:r>
      <w:r w:rsidR="008515F6" w:rsidRPr="00152A20">
        <w:rPr>
          <w:lang w:val="en-GB"/>
        </w:rPr>
        <w:t>ederation</w:t>
      </w:r>
      <w:r w:rsidRPr="00152A20">
        <w:rPr>
          <w:lang w:val="en-GB"/>
        </w:rPr>
        <w:t xml:space="preserve">. 2006. </w:t>
      </w:r>
      <w:proofErr w:type="spellStart"/>
      <w:r w:rsidRPr="00152A20">
        <w:rPr>
          <w:i/>
          <w:lang w:val="en-GB"/>
        </w:rPr>
        <w:t>Obrazovanie</w:t>
      </w:r>
      <w:proofErr w:type="spellEnd"/>
      <w:r w:rsidRPr="00152A20">
        <w:rPr>
          <w:i/>
          <w:lang w:val="en-GB"/>
        </w:rPr>
        <w:t xml:space="preserve"> v </w:t>
      </w:r>
      <w:proofErr w:type="spellStart"/>
      <w:r w:rsidRPr="00152A20">
        <w:rPr>
          <w:i/>
          <w:lang w:val="en-GB"/>
        </w:rPr>
        <w:t>Rossijskoj</w:t>
      </w:r>
      <w:proofErr w:type="spellEnd"/>
      <w:r w:rsidRPr="00152A20">
        <w:rPr>
          <w:i/>
          <w:lang w:val="en-GB"/>
        </w:rPr>
        <w:t xml:space="preserve"> </w:t>
      </w:r>
      <w:proofErr w:type="spellStart"/>
      <w:r w:rsidRPr="00152A20">
        <w:rPr>
          <w:i/>
          <w:lang w:val="en-GB"/>
        </w:rPr>
        <w:t>Federacii</w:t>
      </w:r>
      <w:proofErr w:type="spellEnd"/>
      <w:r w:rsidRPr="00152A20">
        <w:rPr>
          <w:i/>
          <w:lang w:val="en-GB"/>
        </w:rPr>
        <w:t xml:space="preserve">: 2006. </w:t>
      </w:r>
      <w:proofErr w:type="spellStart"/>
      <w:r w:rsidRPr="00152A20">
        <w:rPr>
          <w:i/>
          <w:lang w:val="en-GB"/>
        </w:rPr>
        <w:t>Statisticheskij</w:t>
      </w:r>
      <w:proofErr w:type="spellEnd"/>
      <w:r w:rsidRPr="00152A20">
        <w:rPr>
          <w:i/>
          <w:lang w:val="en-GB"/>
        </w:rPr>
        <w:t xml:space="preserve"> </w:t>
      </w:r>
      <w:proofErr w:type="spellStart"/>
      <w:r w:rsidRPr="00152A20">
        <w:rPr>
          <w:i/>
          <w:lang w:val="en-GB"/>
        </w:rPr>
        <w:t>ezhegodnik</w:t>
      </w:r>
      <w:proofErr w:type="spellEnd"/>
      <w:r w:rsidRPr="00152A20">
        <w:rPr>
          <w:lang w:val="en-GB"/>
        </w:rPr>
        <w:t xml:space="preserve"> [Education in the Russian Federation: 2006. Statistical Yearbook]. Moscow: SU-HSE, 528. ISBN 5-7218-0885-3; </w:t>
      </w:r>
    </w:p>
    <w:p w14:paraId="46530C6A" w14:textId="0C9C2C16" w:rsidR="00037D5F" w:rsidRPr="00152A20" w:rsidRDefault="008E5AA1">
      <w:pPr>
        <w:spacing w:before="200" w:after="120" w:line="324" w:lineRule="auto"/>
        <w:ind w:left="429" w:hanging="869"/>
        <w:rPr>
          <w:lang w:val="en-GB"/>
        </w:rPr>
      </w:pPr>
      <w:r w:rsidRPr="00152A20">
        <w:rPr>
          <w:lang w:val="en-GB"/>
        </w:rPr>
        <w:t>Education in the R</w:t>
      </w:r>
      <w:r w:rsidR="008515F6" w:rsidRPr="00152A20">
        <w:rPr>
          <w:lang w:val="en-GB"/>
        </w:rPr>
        <w:t xml:space="preserve">ussian </w:t>
      </w:r>
      <w:r w:rsidRPr="00152A20">
        <w:rPr>
          <w:lang w:val="en-GB"/>
        </w:rPr>
        <w:t>F</w:t>
      </w:r>
      <w:r w:rsidR="008515F6" w:rsidRPr="00152A20">
        <w:rPr>
          <w:lang w:val="en-GB"/>
        </w:rPr>
        <w:t>ederation</w:t>
      </w:r>
      <w:r w:rsidRPr="00152A20">
        <w:rPr>
          <w:lang w:val="en-GB"/>
        </w:rPr>
        <w:t xml:space="preserve">. 2012. </w:t>
      </w:r>
      <w:proofErr w:type="spellStart"/>
      <w:r w:rsidRPr="00152A20">
        <w:rPr>
          <w:i/>
          <w:lang w:val="en-GB"/>
        </w:rPr>
        <w:t>Obrazovanie</w:t>
      </w:r>
      <w:proofErr w:type="spellEnd"/>
      <w:r w:rsidRPr="00152A20">
        <w:rPr>
          <w:i/>
          <w:lang w:val="en-GB"/>
        </w:rPr>
        <w:t xml:space="preserve"> v </w:t>
      </w:r>
      <w:proofErr w:type="spellStart"/>
      <w:r w:rsidRPr="00152A20">
        <w:rPr>
          <w:i/>
          <w:lang w:val="en-GB"/>
        </w:rPr>
        <w:t>Rossijskoj</w:t>
      </w:r>
      <w:proofErr w:type="spellEnd"/>
      <w:r w:rsidRPr="00152A20">
        <w:rPr>
          <w:i/>
          <w:lang w:val="en-GB"/>
        </w:rPr>
        <w:t xml:space="preserve"> </w:t>
      </w:r>
      <w:proofErr w:type="spellStart"/>
      <w:r w:rsidRPr="00152A20">
        <w:rPr>
          <w:i/>
          <w:lang w:val="en-GB"/>
        </w:rPr>
        <w:t>Federacii</w:t>
      </w:r>
      <w:proofErr w:type="spellEnd"/>
      <w:r w:rsidRPr="00152A20">
        <w:rPr>
          <w:i/>
          <w:lang w:val="en-GB"/>
        </w:rPr>
        <w:t xml:space="preserve">: 2012. </w:t>
      </w:r>
      <w:proofErr w:type="spellStart"/>
      <w:r w:rsidRPr="00152A20">
        <w:rPr>
          <w:i/>
          <w:lang w:val="en-GB"/>
        </w:rPr>
        <w:t>Statisticheskij</w:t>
      </w:r>
      <w:proofErr w:type="spellEnd"/>
      <w:r w:rsidRPr="00152A20">
        <w:rPr>
          <w:i/>
          <w:lang w:val="en-GB"/>
        </w:rPr>
        <w:t xml:space="preserve"> </w:t>
      </w:r>
      <w:proofErr w:type="spellStart"/>
      <w:r w:rsidRPr="00152A20">
        <w:rPr>
          <w:i/>
          <w:lang w:val="en-GB"/>
        </w:rPr>
        <w:t>ezhegodnik</w:t>
      </w:r>
      <w:proofErr w:type="spellEnd"/>
      <w:r w:rsidRPr="00152A20">
        <w:rPr>
          <w:lang w:val="en-GB"/>
        </w:rPr>
        <w:t xml:space="preserve"> [Education in the Russian Federation: 2012. Statistical Yearbook]. Moscow: National research university “Higher school of economics”, 444. </w:t>
      </w:r>
      <w:r w:rsidRPr="00152A20">
        <w:rPr>
          <w:highlight w:val="white"/>
          <w:lang w:val="en-GB"/>
        </w:rPr>
        <w:t>ISBN 978-5-7218-1275-0</w:t>
      </w:r>
    </w:p>
    <w:p w14:paraId="7B1023CF" w14:textId="77777777" w:rsidR="00037D5F" w:rsidRPr="00152A20" w:rsidRDefault="008E5AA1">
      <w:pPr>
        <w:spacing w:before="200" w:after="120" w:line="324" w:lineRule="auto"/>
        <w:ind w:left="429" w:hanging="869"/>
        <w:rPr>
          <w:lang w:val="en-GB"/>
        </w:rPr>
      </w:pPr>
      <w:proofErr w:type="spellStart"/>
      <w:r w:rsidRPr="00152A20">
        <w:rPr>
          <w:lang w:val="en-GB"/>
        </w:rPr>
        <w:t>Roskozna</w:t>
      </w:r>
      <w:proofErr w:type="spellEnd"/>
      <w:r w:rsidRPr="00152A20">
        <w:rPr>
          <w:lang w:val="en-GB"/>
        </w:rPr>
        <w:t xml:space="preserve">. 2015. </w:t>
      </w:r>
      <w:proofErr w:type="spellStart"/>
      <w:r w:rsidRPr="00152A20">
        <w:rPr>
          <w:i/>
          <w:lang w:val="en-GB"/>
        </w:rPr>
        <w:t>Konsolidirovannyj</w:t>
      </w:r>
      <w:proofErr w:type="spellEnd"/>
      <w:r w:rsidRPr="00152A20">
        <w:rPr>
          <w:i/>
          <w:lang w:val="en-GB"/>
        </w:rPr>
        <w:t xml:space="preserve"> </w:t>
      </w:r>
      <w:proofErr w:type="spellStart"/>
      <w:r w:rsidRPr="00152A20">
        <w:rPr>
          <w:i/>
          <w:lang w:val="en-GB"/>
        </w:rPr>
        <w:t>bjudzhet</w:t>
      </w:r>
      <w:proofErr w:type="spellEnd"/>
      <w:r w:rsidRPr="00152A20">
        <w:rPr>
          <w:i/>
          <w:lang w:val="en-GB"/>
        </w:rPr>
        <w:t xml:space="preserve"> </w:t>
      </w:r>
      <w:proofErr w:type="spellStart"/>
      <w:r w:rsidRPr="00152A20">
        <w:rPr>
          <w:i/>
          <w:lang w:val="en-GB"/>
        </w:rPr>
        <w:t>Rossijskoj</w:t>
      </w:r>
      <w:proofErr w:type="spellEnd"/>
      <w:r w:rsidRPr="00152A20">
        <w:rPr>
          <w:i/>
          <w:lang w:val="en-GB"/>
        </w:rPr>
        <w:t xml:space="preserve"> </w:t>
      </w:r>
      <w:proofErr w:type="spellStart"/>
      <w:r w:rsidRPr="00152A20">
        <w:rPr>
          <w:i/>
          <w:lang w:val="en-GB"/>
        </w:rPr>
        <w:t>Federacii</w:t>
      </w:r>
      <w:proofErr w:type="spellEnd"/>
      <w:r w:rsidRPr="00152A20">
        <w:rPr>
          <w:i/>
          <w:lang w:val="en-GB"/>
        </w:rPr>
        <w:t xml:space="preserve"> </w:t>
      </w:r>
      <w:proofErr w:type="spellStart"/>
      <w:r w:rsidRPr="00152A20">
        <w:rPr>
          <w:i/>
          <w:lang w:val="en-GB"/>
        </w:rPr>
        <w:t>i</w:t>
      </w:r>
      <w:proofErr w:type="spellEnd"/>
      <w:r w:rsidRPr="00152A20">
        <w:rPr>
          <w:i/>
          <w:lang w:val="en-GB"/>
        </w:rPr>
        <w:t xml:space="preserve"> </w:t>
      </w:r>
      <w:proofErr w:type="spellStart"/>
      <w:r w:rsidRPr="00152A20">
        <w:rPr>
          <w:i/>
          <w:lang w:val="en-GB"/>
        </w:rPr>
        <w:t>bjudzhetov</w:t>
      </w:r>
      <w:proofErr w:type="spellEnd"/>
      <w:r w:rsidRPr="00152A20">
        <w:rPr>
          <w:i/>
          <w:lang w:val="en-GB"/>
        </w:rPr>
        <w:t xml:space="preserve"> </w:t>
      </w:r>
      <w:proofErr w:type="spellStart"/>
      <w:r w:rsidRPr="00152A20">
        <w:rPr>
          <w:i/>
          <w:lang w:val="en-GB"/>
        </w:rPr>
        <w:t>gosudarstvennyh</w:t>
      </w:r>
      <w:proofErr w:type="spellEnd"/>
      <w:r w:rsidRPr="00152A20">
        <w:rPr>
          <w:i/>
          <w:lang w:val="en-GB"/>
        </w:rPr>
        <w:t xml:space="preserve"> </w:t>
      </w:r>
      <w:proofErr w:type="spellStart"/>
      <w:r w:rsidRPr="00152A20">
        <w:rPr>
          <w:i/>
          <w:lang w:val="en-GB"/>
        </w:rPr>
        <w:t>vnebjudzhetnyh</w:t>
      </w:r>
      <w:proofErr w:type="spellEnd"/>
      <w:r w:rsidRPr="00152A20">
        <w:rPr>
          <w:i/>
          <w:lang w:val="en-GB"/>
        </w:rPr>
        <w:t xml:space="preserve"> </w:t>
      </w:r>
      <w:proofErr w:type="spellStart"/>
      <w:r w:rsidRPr="00152A20">
        <w:rPr>
          <w:i/>
          <w:lang w:val="en-GB"/>
        </w:rPr>
        <w:t>fondov</w:t>
      </w:r>
      <w:proofErr w:type="spellEnd"/>
      <w:r w:rsidRPr="00152A20">
        <w:rPr>
          <w:i/>
          <w:lang w:val="en-GB"/>
        </w:rPr>
        <w:t xml:space="preserve"> </w:t>
      </w:r>
      <w:r w:rsidRPr="00152A20">
        <w:rPr>
          <w:lang w:val="en-GB"/>
        </w:rPr>
        <w:t>[The consolidated budget of the Russian Federation and budgets of the state off-budget funds]</w:t>
      </w:r>
      <w:r w:rsidRPr="00152A20">
        <w:rPr>
          <w:i/>
          <w:lang w:val="en-GB"/>
        </w:rPr>
        <w:t xml:space="preserve"> </w:t>
      </w:r>
      <w:hyperlink r:id="rId23">
        <w:r w:rsidRPr="00152A20">
          <w:rPr>
            <w:color w:val="0000FF"/>
            <w:u w:val="single"/>
            <w:lang w:val="en-GB"/>
          </w:rPr>
          <w:t>http://www.roskazna.ru/ispolnenie-byudzhetov/konsolidirovannyj-byudzhet/</w:t>
        </w:r>
      </w:hyperlink>
      <w:bookmarkStart w:id="20" w:name="_GoBack"/>
      <w:bookmarkEnd w:id="20"/>
    </w:p>
    <w:p w14:paraId="353AAC38" w14:textId="77777777" w:rsidR="00037D5F" w:rsidRPr="00152A20" w:rsidRDefault="008E5AA1">
      <w:pPr>
        <w:spacing w:before="200" w:after="120" w:line="324" w:lineRule="auto"/>
        <w:ind w:left="429" w:hanging="869"/>
        <w:rPr>
          <w:lang w:val="en-GB"/>
        </w:rPr>
      </w:pPr>
      <w:r w:rsidRPr="00152A20">
        <w:rPr>
          <w:lang w:val="en-GB"/>
        </w:rPr>
        <w:t xml:space="preserve">Monitoring. 2015. Monitoring </w:t>
      </w:r>
      <w:proofErr w:type="spellStart"/>
      <w:r w:rsidRPr="00152A20">
        <w:rPr>
          <w:lang w:val="en-GB"/>
        </w:rPr>
        <w:t>effektivnosti</w:t>
      </w:r>
      <w:proofErr w:type="spellEnd"/>
      <w:r w:rsidRPr="00152A20">
        <w:rPr>
          <w:lang w:val="en-GB"/>
        </w:rPr>
        <w:t xml:space="preserve"> </w:t>
      </w:r>
      <w:proofErr w:type="spellStart"/>
      <w:r w:rsidRPr="00152A20">
        <w:rPr>
          <w:lang w:val="en-GB"/>
        </w:rPr>
        <w:t>dejatel'nosti</w:t>
      </w:r>
      <w:proofErr w:type="spellEnd"/>
      <w:r w:rsidRPr="00152A20">
        <w:rPr>
          <w:lang w:val="en-GB"/>
        </w:rPr>
        <w:t xml:space="preserve"> </w:t>
      </w:r>
      <w:proofErr w:type="spellStart"/>
      <w:r w:rsidRPr="00152A20">
        <w:rPr>
          <w:lang w:val="en-GB"/>
        </w:rPr>
        <w:t>obrazovatel'nyh</w:t>
      </w:r>
      <w:proofErr w:type="spellEnd"/>
      <w:r w:rsidRPr="00152A20">
        <w:rPr>
          <w:lang w:val="en-GB"/>
        </w:rPr>
        <w:t xml:space="preserve"> </w:t>
      </w:r>
      <w:proofErr w:type="spellStart"/>
      <w:r w:rsidRPr="00152A20">
        <w:rPr>
          <w:lang w:val="en-GB"/>
        </w:rPr>
        <w:t>organizacij</w:t>
      </w:r>
      <w:proofErr w:type="spellEnd"/>
      <w:r w:rsidRPr="00152A20">
        <w:rPr>
          <w:lang w:val="en-GB"/>
        </w:rPr>
        <w:t xml:space="preserve"> </w:t>
      </w:r>
      <w:proofErr w:type="spellStart"/>
      <w:r w:rsidRPr="00152A20">
        <w:rPr>
          <w:lang w:val="en-GB"/>
        </w:rPr>
        <w:t>vysshego</w:t>
      </w:r>
      <w:proofErr w:type="spellEnd"/>
      <w:r w:rsidRPr="00152A20">
        <w:rPr>
          <w:lang w:val="en-GB"/>
        </w:rPr>
        <w:t xml:space="preserve"> </w:t>
      </w:r>
      <w:proofErr w:type="spellStart"/>
      <w:r w:rsidRPr="00152A20">
        <w:rPr>
          <w:lang w:val="en-GB"/>
        </w:rPr>
        <w:t>obrazovanija</w:t>
      </w:r>
      <w:proofErr w:type="spellEnd"/>
      <w:r w:rsidRPr="00152A20">
        <w:rPr>
          <w:lang w:val="en-GB"/>
        </w:rPr>
        <w:t xml:space="preserve"> [the Monitoring of HEIs’ performance 2015]  </w:t>
      </w:r>
      <w:hyperlink r:id="rId24">
        <w:r w:rsidRPr="00152A20">
          <w:rPr>
            <w:color w:val="1155CC"/>
            <w:u w:val="single"/>
            <w:lang w:val="en-GB"/>
          </w:rPr>
          <w:t>http://indicators.miccedu.ru/monitoring/</w:t>
        </w:r>
      </w:hyperlink>
    </w:p>
    <w:p w14:paraId="26EDA91A" w14:textId="77777777" w:rsidR="00037D5F" w:rsidRPr="00152A20" w:rsidRDefault="008E5AA1">
      <w:pPr>
        <w:spacing w:before="200" w:after="120" w:line="324" w:lineRule="auto"/>
        <w:ind w:left="429" w:hanging="869"/>
        <w:rPr>
          <w:lang w:val="en-GB"/>
        </w:rPr>
      </w:pPr>
      <w:r w:rsidRPr="00152A20">
        <w:rPr>
          <w:lang w:val="en-GB"/>
        </w:rPr>
        <w:t xml:space="preserve">Federal Law. 1996. </w:t>
      </w:r>
      <w:proofErr w:type="spellStart"/>
      <w:r w:rsidRPr="00152A20">
        <w:rPr>
          <w:lang w:val="en-GB"/>
        </w:rPr>
        <w:t>Federalnyi</w:t>
      </w:r>
      <w:proofErr w:type="spellEnd"/>
      <w:r w:rsidRPr="00152A20">
        <w:rPr>
          <w:lang w:val="en-GB"/>
        </w:rPr>
        <w:t xml:space="preserve"> </w:t>
      </w:r>
      <w:proofErr w:type="spellStart"/>
      <w:r w:rsidRPr="00152A20">
        <w:rPr>
          <w:lang w:val="en-GB"/>
        </w:rPr>
        <w:t>zakon</w:t>
      </w:r>
      <w:proofErr w:type="spellEnd"/>
      <w:r w:rsidRPr="00152A20">
        <w:rPr>
          <w:lang w:val="en-GB"/>
        </w:rPr>
        <w:t xml:space="preserve"> </w:t>
      </w:r>
      <w:proofErr w:type="spellStart"/>
      <w:r w:rsidRPr="00152A20">
        <w:rPr>
          <w:lang w:val="en-GB"/>
        </w:rPr>
        <w:t>ot</w:t>
      </w:r>
      <w:proofErr w:type="spellEnd"/>
      <w:r w:rsidRPr="00152A20">
        <w:rPr>
          <w:lang w:val="en-GB"/>
        </w:rPr>
        <w:t xml:space="preserve"> 22 </w:t>
      </w:r>
      <w:proofErr w:type="spellStart"/>
      <w:r w:rsidRPr="00152A20">
        <w:rPr>
          <w:lang w:val="en-GB"/>
        </w:rPr>
        <w:t>avgusta</w:t>
      </w:r>
      <w:proofErr w:type="spellEnd"/>
      <w:r w:rsidRPr="00152A20">
        <w:rPr>
          <w:lang w:val="en-GB"/>
        </w:rPr>
        <w:t xml:space="preserve"> 1996 g. N 125-FZ g. </w:t>
      </w:r>
      <w:proofErr w:type="spellStart"/>
      <w:r w:rsidRPr="00152A20">
        <w:rPr>
          <w:lang w:val="en-GB"/>
        </w:rPr>
        <w:t>Moskva</w:t>
      </w:r>
      <w:proofErr w:type="spellEnd"/>
      <w:r w:rsidRPr="00152A20">
        <w:rPr>
          <w:lang w:val="en-GB"/>
        </w:rPr>
        <w:t xml:space="preserve"> "O </w:t>
      </w:r>
      <w:proofErr w:type="spellStart"/>
      <w:r w:rsidRPr="00152A20">
        <w:rPr>
          <w:lang w:val="en-GB"/>
        </w:rPr>
        <w:t>vysshem</w:t>
      </w:r>
      <w:proofErr w:type="spellEnd"/>
      <w:r w:rsidRPr="00152A20">
        <w:rPr>
          <w:lang w:val="en-GB"/>
        </w:rPr>
        <w:t xml:space="preserve"> </w:t>
      </w:r>
      <w:proofErr w:type="spellStart"/>
      <w:r w:rsidRPr="00152A20">
        <w:rPr>
          <w:lang w:val="en-GB"/>
        </w:rPr>
        <w:t>i</w:t>
      </w:r>
      <w:proofErr w:type="spellEnd"/>
      <w:r w:rsidRPr="00152A20">
        <w:rPr>
          <w:lang w:val="en-GB"/>
        </w:rPr>
        <w:t xml:space="preserve"> </w:t>
      </w:r>
      <w:proofErr w:type="spellStart"/>
      <w:r w:rsidRPr="00152A20">
        <w:rPr>
          <w:lang w:val="en-GB"/>
        </w:rPr>
        <w:t>poslevuzovskom</w:t>
      </w:r>
      <w:proofErr w:type="spellEnd"/>
      <w:r w:rsidRPr="00152A20">
        <w:rPr>
          <w:lang w:val="en-GB"/>
        </w:rPr>
        <w:t xml:space="preserve"> </w:t>
      </w:r>
      <w:proofErr w:type="spellStart"/>
      <w:r w:rsidRPr="00152A20">
        <w:rPr>
          <w:lang w:val="en-GB"/>
        </w:rPr>
        <w:t>professionalnom</w:t>
      </w:r>
      <w:proofErr w:type="spellEnd"/>
      <w:r w:rsidRPr="00152A20">
        <w:rPr>
          <w:lang w:val="en-GB"/>
        </w:rPr>
        <w:t xml:space="preserve"> </w:t>
      </w:r>
      <w:proofErr w:type="spellStart"/>
      <w:r w:rsidRPr="00152A20">
        <w:rPr>
          <w:lang w:val="en-GB"/>
        </w:rPr>
        <w:t>obrazovanii</w:t>
      </w:r>
      <w:proofErr w:type="spellEnd"/>
      <w:r w:rsidRPr="00152A20">
        <w:rPr>
          <w:lang w:val="en-GB"/>
        </w:rPr>
        <w:t>" [Federal Law on August 22, 1996 N125 FZ Moscow “About higher and postgraduate professional education”]</w:t>
      </w:r>
    </w:p>
    <w:p w14:paraId="067D0C3C" w14:textId="77777777" w:rsidR="00037D5F" w:rsidRPr="00152A20" w:rsidRDefault="008E5AA1">
      <w:pPr>
        <w:spacing w:before="200" w:after="120" w:line="324" w:lineRule="auto"/>
        <w:ind w:left="429" w:hanging="869"/>
        <w:rPr>
          <w:lang w:val="en-GB"/>
        </w:rPr>
      </w:pPr>
      <w:r w:rsidRPr="00152A20">
        <w:rPr>
          <w:lang w:val="en-GB"/>
        </w:rPr>
        <w:t xml:space="preserve">Federal Law. 2012. </w:t>
      </w:r>
      <w:proofErr w:type="spellStart"/>
      <w:r w:rsidRPr="00152A20">
        <w:rPr>
          <w:lang w:val="en-GB"/>
        </w:rPr>
        <w:t>Federalnyi</w:t>
      </w:r>
      <w:proofErr w:type="spellEnd"/>
      <w:r w:rsidRPr="00152A20">
        <w:rPr>
          <w:lang w:val="en-GB"/>
        </w:rPr>
        <w:t xml:space="preserve"> </w:t>
      </w:r>
      <w:proofErr w:type="spellStart"/>
      <w:r w:rsidRPr="00152A20">
        <w:rPr>
          <w:lang w:val="en-GB"/>
        </w:rPr>
        <w:t>zakon</w:t>
      </w:r>
      <w:proofErr w:type="spellEnd"/>
      <w:r w:rsidRPr="00152A20">
        <w:rPr>
          <w:lang w:val="en-GB"/>
        </w:rPr>
        <w:t xml:space="preserve"> </w:t>
      </w:r>
      <w:proofErr w:type="spellStart"/>
      <w:r w:rsidRPr="00152A20">
        <w:rPr>
          <w:lang w:val="en-GB"/>
        </w:rPr>
        <w:t>ot</w:t>
      </w:r>
      <w:proofErr w:type="spellEnd"/>
      <w:r w:rsidRPr="00152A20">
        <w:rPr>
          <w:lang w:val="en-GB"/>
        </w:rPr>
        <w:t xml:space="preserve"> 29 </w:t>
      </w:r>
      <w:proofErr w:type="spellStart"/>
      <w:r w:rsidRPr="00152A20">
        <w:rPr>
          <w:lang w:val="en-GB"/>
        </w:rPr>
        <w:t>dekabria</w:t>
      </w:r>
      <w:proofErr w:type="spellEnd"/>
      <w:r w:rsidRPr="00152A20">
        <w:rPr>
          <w:lang w:val="en-GB"/>
        </w:rPr>
        <w:t xml:space="preserve"> 2012 g. № 273-FZ "Ob </w:t>
      </w:r>
      <w:proofErr w:type="spellStart"/>
      <w:r w:rsidRPr="00152A20">
        <w:rPr>
          <w:lang w:val="en-GB"/>
        </w:rPr>
        <w:t>obrazovanii</w:t>
      </w:r>
      <w:proofErr w:type="spellEnd"/>
      <w:r w:rsidRPr="00152A20">
        <w:rPr>
          <w:lang w:val="en-GB"/>
        </w:rPr>
        <w:t xml:space="preserve"> v </w:t>
      </w:r>
      <w:proofErr w:type="spellStart"/>
      <w:r w:rsidRPr="00152A20">
        <w:rPr>
          <w:lang w:val="en-GB"/>
        </w:rPr>
        <w:t>Rossiiskoi</w:t>
      </w:r>
      <w:proofErr w:type="spellEnd"/>
      <w:r w:rsidRPr="00152A20">
        <w:rPr>
          <w:lang w:val="en-GB"/>
        </w:rPr>
        <w:t xml:space="preserve"> </w:t>
      </w:r>
      <w:proofErr w:type="spellStart"/>
      <w:r w:rsidRPr="00152A20">
        <w:rPr>
          <w:lang w:val="en-GB"/>
        </w:rPr>
        <w:t>Federatcii</w:t>
      </w:r>
      <w:proofErr w:type="spellEnd"/>
      <w:r w:rsidRPr="00152A20">
        <w:rPr>
          <w:lang w:val="en-GB"/>
        </w:rPr>
        <w:t>" [Federal Law on December, 29 2012 N273-FZ “About Education in Russian Federation”]</w:t>
      </w:r>
    </w:p>
    <w:p w14:paraId="064B1FB5" w14:textId="77777777" w:rsidR="00037D5F" w:rsidRPr="00152A20" w:rsidRDefault="008E5AA1">
      <w:pPr>
        <w:spacing w:before="200" w:after="120" w:line="324" w:lineRule="auto"/>
        <w:ind w:left="429" w:hanging="869"/>
        <w:rPr>
          <w:lang w:val="en-GB"/>
        </w:rPr>
      </w:pPr>
      <w:r w:rsidRPr="00152A20">
        <w:rPr>
          <w:lang w:val="en-GB"/>
        </w:rPr>
        <w:t xml:space="preserve">OECD. 2016. </w:t>
      </w:r>
      <w:r w:rsidRPr="00152A20">
        <w:rPr>
          <w:i/>
          <w:lang w:val="en-GB"/>
        </w:rPr>
        <w:t>Education at a Glance 2016</w:t>
      </w:r>
      <w:r w:rsidRPr="00152A20">
        <w:rPr>
          <w:lang w:val="en-GB"/>
        </w:rPr>
        <w:t>. Education at a Glance. OECD Publishing. http://www.oecd-ilibrary.org/education/education-at-a-glance-2016_eag-2016-en</w:t>
      </w:r>
    </w:p>
    <w:sectPr w:rsidR="00037D5F" w:rsidRPr="00152A20">
      <w:pgSz w:w="12240" w:h="15840"/>
      <w:pgMar w:top="1134" w:right="850" w:bottom="1134" w:left="1701" w:header="708"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9E57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BAE3E" w14:textId="77777777" w:rsidR="0078170A" w:rsidRDefault="0078170A">
      <w:pPr>
        <w:spacing w:after="0" w:line="240" w:lineRule="auto"/>
      </w:pPr>
      <w:r>
        <w:separator/>
      </w:r>
    </w:p>
  </w:endnote>
  <w:endnote w:type="continuationSeparator" w:id="0">
    <w:p w14:paraId="0142F512" w14:textId="77777777" w:rsidR="0078170A" w:rsidRDefault="0078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9FD36" w14:textId="77777777" w:rsidR="0078170A" w:rsidRDefault="0078170A">
      <w:pPr>
        <w:spacing w:after="0" w:line="240" w:lineRule="auto"/>
      </w:pPr>
      <w:r>
        <w:separator/>
      </w:r>
    </w:p>
  </w:footnote>
  <w:footnote w:type="continuationSeparator" w:id="0">
    <w:p w14:paraId="4486EF8E" w14:textId="77777777" w:rsidR="0078170A" w:rsidRDefault="0078170A">
      <w:pPr>
        <w:spacing w:after="0" w:line="240" w:lineRule="auto"/>
      </w:pPr>
      <w:r>
        <w:continuationSeparator/>
      </w:r>
    </w:p>
  </w:footnote>
  <w:footnote w:id="1">
    <w:p w14:paraId="26FC9B84" w14:textId="5319410A" w:rsidR="0067245A" w:rsidRPr="008E5AA1" w:rsidRDefault="0067245A">
      <w:pPr>
        <w:spacing w:after="0" w:line="240" w:lineRule="auto"/>
        <w:rPr>
          <w:lang w:val="en-US"/>
        </w:rPr>
      </w:pPr>
      <w:r>
        <w:rPr>
          <w:vertAlign w:val="superscript"/>
        </w:rPr>
        <w:footnoteRef/>
      </w:r>
      <w:r w:rsidRPr="008E5AA1">
        <w:rPr>
          <w:sz w:val="20"/>
          <w:szCs w:val="20"/>
          <w:lang w:val="en-US"/>
        </w:rPr>
        <w:t xml:space="preserve"> There are two forms of part-time education in Soviet and post-</w:t>
      </w:r>
      <w:r w:rsidR="002307F8">
        <w:rPr>
          <w:sz w:val="20"/>
          <w:szCs w:val="20"/>
          <w:lang w:val="en-US"/>
        </w:rPr>
        <w:t>S</w:t>
      </w:r>
      <w:r w:rsidRPr="008E5AA1">
        <w:rPr>
          <w:sz w:val="20"/>
          <w:szCs w:val="20"/>
          <w:lang w:val="en-US"/>
        </w:rPr>
        <w:t xml:space="preserve">oviet countries. Here we use correspondence courses to indicate the form of education in which students visit HEIs twice </w:t>
      </w:r>
      <w:r w:rsidR="002307F8">
        <w:rPr>
          <w:sz w:val="20"/>
          <w:szCs w:val="20"/>
          <w:lang w:val="en-US"/>
        </w:rPr>
        <w:t xml:space="preserve">per </w:t>
      </w:r>
      <w:r w:rsidRPr="008E5AA1">
        <w:rPr>
          <w:sz w:val="20"/>
          <w:szCs w:val="20"/>
          <w:lang w:val="en-US"/>
        </w:rPr>
        <w:t>year. Part-time education was also called “on-site education” (study without leaving the workplace).</w:t>
      </w:r>
    </w:p>
  </w:footnote>
  <w:footnote w:id="2">
    <w:p w14:paraId="43E6D42B" w14:textId="099FFF23" w:rsidR="0067245A" w:rsidRPr="008E5AA1" w:rsidRDefault="0067245A">
      <w:pPr>
        <w:spacing w:after="0" w:line="240" w:lineRule="auto"/>
        <w:rPr>
          <w:lang w:val="en-US"/>
        </w:rPr>
      </w:pPr>
      <w:r>
        <w:rPr>
          <w:vertAlign w:val="superscript"/>
        </w:rPr>
        <w:footnoteRef/>
      </w:r>
      <w:r w:rsidRPr="008E5AA1">
        <w:rPr>
          <w:sz w:val="20"/>
          <w:szCs w:val="20"/>
          <w:lang w:val="en-US"/>
        </w:rPr>
        <w:t xml:space="preserve"> T</w:t>
      </w:r>
      <w:r w:rsidR="004F5B10">
        <w:rPr>
          <w:sz w:val="20"/>
          <w:szCs w:val="20"/>
          <w:lang w:val="en-US"/>
        </w:rPr>
        <w:t>he t</w:t>
      </w:r>
      <w:r w:rsidRPr="008E5AA1">
        <w:rPr>
          <w:sz w:val="20"/>
          <w:szCs w:val="20"/>
          <w:lang w:val="en-US"/>
        </w:rPr>
        <w:t xml:space="preserve">ertiary system includes both </w:t>
      </w:r>
      <w:r w:rsidR="004F5B10">
        <w:rPr>
          <w:sz w:val="20"/>
          <w:szCs w:val="20"/>
          <w:lang w:val="en-US"/>
        </w:rPr>
        <w:t xml:space="preserve">the </w:t>
      </w:r>
      <w:r w:rsidRPr="008E5AA1">
        <w:rPr>
          <w:sz w:val="20"/>
          <w:szCs w:val="20"/>
          <w:lang w:val="en-US"/>
        </w:rPr>
        <w:t>higher education and secondary vocational education systems in Russia.</w:t>
      </w:r>
    </w:p>
  </w:footnote>
  <w:footnote w:id="3">
    <w:p w14:paraId="09665ED3" w14:textId="77777777" w:rsidR="0067245A" w:rsidRPr="008E5AA1" w:rsidRDefault="0067245A">
      <w:pPr>
        <w:spacing w:after="0" w:line="240" w:lineRule="auto"/>
        <w:rPr>
          <w:lang w:val="en-US"/>
        </w:rPr>
      </w:pPr>
      <w:r>
        <w:rPr>
          <w:vertAlign w:val="superscript"/>
        </w:rPr>
        <w:footnoteRef/>
      </w:r>
      <w:r w:rsidRPr="008E5AA1">
        <w:rPr>
          <w:sz w:val="20"/>
          <w:szCs w:val="20"/>
          <w:lang w:val="en-US"/>
        </w:rPr>
        <w:t xml:space="preserve"> It should be noted that in Russia a satellite HEI operates as a representative of the parent HEI, but it is a separate (independent) legal entity. The ties and relationships with parent HEIs can vary from direct “supervision” to absolute independence.</w:t>
      </w:r>
    </w:p>
  </w:footnote>
  <w:footnote w:id="4">
    <w:p w14:paraId="37507907" w14:textId="77777777" w:rsidR="0067245A" w:rsidRDefault="0067245A">
      <w:pPr>
        <w:spacing w:after="0" w:line="240" w:lineRule="auto"/>
      </w:pPr>
      <w:r>
        <w:rPr>
          <w:vertAlign w:val="superscript"/>
        </w:rPr>
        <w:footnoteRef/>
      </w:r>
      <w:r>
        <w:rPr>
          <w:sz w:val="20"/>
          <w:szCs w:val="20"/>
        </w:rPr>
        <w:t xml:space="preserve"> Share in the sample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2FA7"/>
    <w:multiLevelType w:val="multilevel"/>
    <w:tmpl w:val="CE5425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64317FC6"/>
    <w:multiLevelType w:val="multilevel"/>
    <w:tmpl w:val="63C27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w15:presenceInfo w15:providerId="None" w15:userId="."/>
  </w15:person>
  <w15:person w15:author="Jeroen Huisman">
    <w15:presenceInfo w15:providerId="AD" w15:userId="S-1-5-21-4030456262-320625612-449655040-151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5F"/>
    <w:rsid w:val="00001626"/>
    <w:rsid w:val="000209B2"/>
    <w:rsid w:val="00037D5F"/>
    <w:rsid w:val="000402FA"/>
    <w:rsid w:val="00052804"/>
    <w:rsid w:val="00053A95"/>
    <w:rsid w:val="000A64A0"/>
    <w:rsid w:val="000F5960"/>
    <w:rsid w:val="00111DFA"/>
    <w:rsid w:val="00143A6D"/>
    <w:rsid w:val="00152A20"/>
    <w:rsid w:val="00175746"/>
    <w:rsid w:val="001B6B94"/>
    <w:rsid w:val="001E7D67"/>
    <w:rsid w:val="002047F8"/>
    <w:rsid w:val="0020780D"/>
    <w:rsid w:val="002307F8"/>
    <w:rsid w:val="002443F8"/>
    <w:rsid w:val="0026496F"/>
    <w:rsid w:val="00290E43"/>
    <w:rsid w:val="0029475F"/>
    <w:rsid w:val="002A55A5"/>
    <w:rsid w:val="002C0300"/>
    <w:rsid w:val="002D51FC"/>
    <w:rsid w:val="00315D96"/>
    <w:rsid w:val="003228D8"/>
    <w:rsid w:val="00334B59"/>
    <w:rsid w:val="003378D8"/>
    <w:rsid w:val="00382D3B"/>
    <w:rsid w:val="00383DF1"/>
    <w:rsid w:val="003878E3"/>
    <w:rsid w:val="003A23CF"/>
    <w:rsid w:val="003A4F5C"/>
    <w:rsid w:val="003D3782"/>
    <w:rsid w:val="003F05F9"/>
    <w:rsid w:val="003F424F"/>
    <w:rsid w:val="004261AF"/>
    <w:rsid w:val="00465728"/>
    <w:rsid w:val="004B2205"/>
    <w:rsid w:val="004F5B10"/>
    <w:rsid w:val="00504544"/>
    <w:rsid w:val="00510784"/>
    <w:rsid w:val="00560E21"/>
    <w:rsid w:val="00565319"/>
    <w:rsid w:val="005731AD"/>
    <w:rsid w:val="00592E68"/>
    <w:rsid w:val="005A0997"/>
    <w:rsid w:val="005D33B2"/>
    <w:rsid w:val="00622A21"/>
    <w:rsid w:val="00645DFB"/>
    <w:rsid w:val="0067245A"/>
    <w:rsid w:val="006B68B0"/>
    <w:rsid w:val="006E238F"/>
    <w:rsid w:val="006F3577"/>
    <w:rsid w:val="00742180"/>
    <w:rsid w:val="00776BB9"/>
    <w:rsid w:val="0078170A"/>
    <w:rsid w:val="0079027A"/>
    <w:rsid w:val="007F08CF"/>
    <w:rsid w:val="007F4FF6"/>
    <w:rsid w:val="008114C9"/>
    <w:rsid w:val="008515F6"/>
    <w:rsid w:val="00877E10"/>
    <w:rsid w:val="008902C3"/>
    <w:rsid w:val="008B094B"/>
    <w:rsid w:val="008C1412"/>
    <w:rsid w:val="008E5AA1"/>
    <w:rsid w:val="00925DA1"/>
    <w:rsid w:val="00936ECF"/>
    <w:rsid w:val="00955356"/>
    <w:rsid w:val="00983365"/>
    <w:rsid w:val="009A7CA9"/>
    <w:rsid w:val="009C29E2"/>
    <w:rsid w:val="009F65F1"/>
    <w:rsid w:val="00A069A0"/>
    <w:rsid w:val="00A37A89"/>
    <w:rsid w:val="00A54F02"/>
    <w:rsid w:val="00A6462F"/>
    <w:rsid w:val="00A86C8D"/>
    <w:rsid w:val="00A93CC6"/>
    <w:rsid w:val="00AD50F2"/>
    <w:rsid w:val="00AF5AF8"/>
    <w:rsid w:val="00B17D3B"/>
    <w:rsid w:val="00B21CBA"/>
    <w:rsid w:val="00B37BA4"/>
    <w:rsid w:val="00B42F8F"/>
    <w:rsid w:val="00B5660A"/>
    <w:rsid w:val="00B570B0"/>
    <w:rsid w:val="00B92150"/>
    <w:rsid w:val="00BA28D2"/>
    <w:rsid w:val="00BC1F37"/>
    <w:rsid w:val="00BC2653"/>
    <w:rsid w:val="00BD7CBC"/>
    <w:rsid w:val="00BF15A1"/>
    <w:rsid w:val="00BF2D98"/>
    <w:rsid w:val="00BF6FBE"/>
    <w:rsid w:val="00BF7A97"/>
    <w:rsid w:val="00C17163"/>
    <w:rsid w:val="00C50EBA"/>
    <w:rsid w:val="00C578CB"/>
    <w:rsid w:val="00C91B76"/>
    <w:rsid w:val="00C93099"/>
    <w:rsid w:val="00CB46B0"/>
    <w:rsid w:val="00CF7EE1"/>
    <w:rsid w:val="00D01BBF"/>
    <w:rsid w:val="00D07DB1"/>
    <w:rsid w:val="00D220D2"/>
    <w:rsid w:val="00D274E3"/>
    <w:rsid w:val="00D67D50"/>
    <w:rsid w:val="00DA5A64"/>
    <w:rsid w:val="00DC444D"/>
    <w:rsid w:val="00E06391"/>
    <w:rsid w:val="00E11D20"/>
    <w:rsid w:val="00E226B7"/>
    <w:rsid w:val="00E24BC4"/>
    <w:rsid w:val="00E43BE4"/>
    <w:rsid w:val="00E71070"/>
    <w:rsid w:val="00E9153B"/>
    <w:rsid w:val="00EA6755"/>
    <w:rsid w:val="00EC64F7"/>
    <w:rsid w:val="00EE7E9C"/>
    <w:rsid w:val="00EF3EAD"/>
    <w:rsid w:val="00EF3FDE"/>
    <w:rsid w:val="00F04EC1"/>
    <w:rsid w:val="00F17E6C"/>
    <w:rsid w:val="00F41F75"/>
    <w:rsid w:val="00F522B7"/>
    <w:rsid w:val="00F5246A"/>
    <w:rsid w:val="00FD4C55"/>
    <w:rsid w:val="00FE7FB3"/>
    <w:rsid w:val="00FF4B4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0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nl-BE" w:eastAsia="nl-BE"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smallCaps/>
      <w:sz w:val="36"/>
      <w:szCs w:val="36"/>
    </w:rPr>
  </w:style>
  <w:style w:type="paragraph" w:styleId="Heading2">
    <w:name w:val="heading 2"/>
    <w:basedOn w:val="Normal"/>
    <w:next w:val="Normal"/>
    <w:pPr>
      <w:keepNext/>
      <w:keepLines/>
      <w:spacing w:before="200" w:after="0" w:line="271" w:lineRule="auto"/>
      <w:outlineLvl w:val="1"/>
    </w:pPr>
    <w:rPr>
      <w:smallCaps/>
      <w:sz w:val="28"/>
      <w:szCs w:val="28"/>
    </w:rPr>
  </w:style>
  <w:style w:type="paragraph" w:styleId="Heading3">
    <w:name w:val="heading 3"/>
    <w:basedOn w:val="Normal"/>
    <w:next w:val="Normal"/>
    <w:pPr>
      <w:keepNext/>
      <w:keepLines/>
      <w:spacing w:before="200" w:after="0" w:line="271" w:lineRule="auto"/>
      <w:outlineLvl w:val="2"/>
    </w:pPr>
    <w:rPr>
      <w:i/>
      <w:smallCaps/>
      <w:sz w:val="26"/>
      <w:szCs w:val="26"/>
    </w:rPr>
  </w:style>
  <w:style w:type="paragraph" w:styleId="Heading4">
    <w:name w:val="heading 4"/>
    <w:basedOn w:val="Normal"/>
    <w:next w:val="Normal"/>
    <w:pPr>
      <w:keepNext/>
      <w:keepLines/>
      <w:spacing w:after="0" w:line="271" w:lineRule="auto"/>
      <w:outlineLvl w:val="3"/>
    </w:pPr>
    <w:rPr>
      <w:b/>
    </w:rPr>
  </w:style>
  <w:style w:type="paragraph" w:styleId="Heading5">
    <w:name w:val="heading 5"/>
    <w:basedOn w:val="Normal"/>
    <w:next w:val="Normal"/>
    <w:pPr>
      <w:keepNext/>
      <w:keepLines/>
      <w:spacing w:after="0" w:line="271" w:lineRule="auto"/>
      <w:outlineLvl w:val="4"/>
    </w:pPr>
    <w:rPr>
      <w:i/>
    </w:rPr>
  </w:style>
  <w:style w:type="paragraph" w:styleId="Heading6">
    <w:name w:val="heading 6"/>
    <w:basedOn w:val="Normal"/>
    <w:next w:val="Normal"/>
    <w:pPr>
      <w:keepNext/>
      <w:keepLines/>
      <w:spacing w:after="0" w:line="271"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smallCaps/>
      <w:sz w:val="52"/>
      <w:szCs w:val="52"/>
    </w:rPr>
  </w:style>
  <w:style w:type="paragraph" w:styleId="Subtitle">
    <w:name w:val="Subtitle"/>
    <w:basedOn w:val="Normal"/>
    <w:next w:val="Normal"/>
    <w:pPr>
      <w:keepNext/>
      <w:keepLines/>
    </w:pPr>
    <w:rPr>
      <w:i/>
      <w:smallCaps/>
      <w:color w:val="666666"/>
      <w:sz w:val="28"/>
      <w:szCs w:val="2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E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A1"/>
    <w:rPr>
      <w:rFonts w:ascii="Tahoma" w:hAnsi="Tahoma" w:cs="Tahoma"/>
      <w:sz w:val="16"/>
      <w:szCs w:val="16"/>
    </w:rPr>
  </w:style>
  <w:style w:type="character" w:styleId="CommentReference">
    <w:name w:val="annotation reference"/>
    <w:basedOn w:val="DefaultParagraphFont"/>
    <w:uiPriority w:val="99"/>
    <w:semiHidden/>
    <w:unhideWhenUsed/>
    <w:rsid w:val="008E5AA1"/>
    <w:rPr>
      <w:sz w:val="16"/>
      <w:szCs w:val="16"/>
    </w:rPr>
  </w:style>
  <w:style w:type="paragraph" w:styleId="CommentText">
    <w:name w:val="annotation text"/>
    <w:basedOn w:val="Normal"/>
    <w:link w:val="CommentTextChar"/>
    <w:uiPriority w:val="99"/>
    <w:semiHidden/>
    <w:unhideWhenUsed/>
    <w:rsid w:val="008E5AA1"/>
    <w:pPr>
      <w:spacing w:line="240" w:lineRule="auto"/>
    </w:pPr>
    <w:rPr>
      <w:sz w:val="20"/>
      <w:szCs w:val="20"/>
    </w:rPr>
  </w:style>
  <w:style w:type="character" w:customStyle="1" w:styleId="CommentTextChar">
    <w:name w:val="Comment Text Char"/>
    <w:basedOn w:val="DefaultParagraphFont"/>
    <w:link w:val="CommentText"/>
    <w:uiPriority w:val="99"/>
    <w:semiHidden/>
    <w:rsid w:val="008E5AA1"/>
    <w:rPr>
      <w:sz w:val="20"/>
      <w:szCs w:val="20"/>
    </w:rPr>
  </w:style>
  <w:style w:type="paragraph" w:styleId="CommentSubject">
    <w:name w:val="annotation subject"/>
    <w:basedOn w:val="CommentText"/>
    <w:next w:val="CommentText"/>
    <w:link w:val="CommentSubjectChar"/>
    <w:uiPriority w:val="99"/>
    <w:semiHidden/>
    <w:unhideWhenUsed/>
    <w:rsid w:val="008E5AA1"/>
    <w:rPr>
      <w:b/>
      <w:bCs/>
    </w:rPr>
  </w:style>
  <w:style w:type="character" w:customStyle="1" w:styleId="CommentSubjectChar">
    <w:name w:val="Comment Subject Char"/>
    <w:basedOn w:val="CommentTextChar"/>
    <w:link w:val="CommentSubject"/>
    <w:uiPriority w:val="99"/>
    <w:semiHidden/>
    <w:rsid w:val="008E5AA1"/>
    <w:rPr>
      <w:b/>
      <w:bCs/>
      <w:sz w:val="20"/>
      <w:szCs w:val="20"/>
    </w:rPr>
  </w:style>
  <w:style w:type="paragraph" w:styleId="Revision">
    <w:name w:val="Revision"/>
    <w:hidden/>
    <w:uiPriority w:val="99"/>
    <w:semiHidden/>
    <w:rsid w:val="00622A21"/>
    <w:pPr>
      <w:spacing w:after="0" w:line="240" w:lineRule="auto"/>
      <w:jc w:val="left"/>
    </w:pPr>
  </w:style>
  <w:style w:type="character" w:styleId="Emphasis">
    <w:name w:val="Emphasis"/>
    <w:basedOn w:val="DefaultParagraphFont"/>
    <w:uiPriority w:val="20"/>
    <w:qFormat/>
    <w:rsid w:val="003228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nl-BE" w:eastAsia="nl-BE"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smallCaps/>
      <w:sz w:val="36"/>
      <w:szCs w:val="36"/>
    </w:rPr>
  </w:style>
  <w:style w:type="paragraph" w:styleId="Heading2">
    <w:name w:val="heading 2"/>
    <w:basedOn w:val="Normal"/>
    <w:next w:val="Normal"/>
    <w:pPr>
      <w:keepNext/>
      <w:keepLines/>
      <w:spacing w:before="200" w:after="0" w:line="271" w:lineRule="auto"/>
      <w:outlineLvl w:val="1"/>
    </w:pPr>
    <w:rPr>
      <w:smallCaps/>
      <w:sz w:val="28"/>
      <w:szCs w:val="28"/>
    </w:rPr>
  </w:style>
  <w:style w:type="paragraph" w:styleId="Heading3">
    <w:name w:val="heading 3"/>
    <w:basedOn w:val="Normal"/>
    <w:next w:val="Normal"/>
    <w:pPr>
      <w:keepNext/>
      <w:keepLines/>
      <w:spacing w:before="200" w:after="0" w:line="271" w:lineRule="auto"/>
      <w:outlineLvl w:val="2"/>
    </w:pPr>
    <w:rPr>
      <w:i/>
      <w:smallCaps/>
      <w:sz w:val="26"/>
      <w:szCs w:val="26"/>
    </w:rPr>
  </w:style>
  <w:style w:type="paragraph" w:styleId="Heading4">
    <w:name w:val="heading 4"/>
    <w:basedOn w:val="Normal"/>
    <w:next w:val="Normal"/>
    <w:pPr>
      <w:keepNext/>
      <w:keepLines/>
      <w:spacing w:after="0" w:line="271" w:lineRule="auto"/>
      <w:outlineLvl w:val="3"/>
    </w:pPr>
    <w:rPr>
      <w:b/>
    </w:rPr>
  </w:style>
  <w:style w:type="paragraph" w:styleId="Heading5">
    <w:name w:val="heading 5"/>
    <w:basedOn w:val="Normal"/>
    <w:next w:val="Normal"/>
    <w:pPr>
      <w:keepNext/>
      <w:keepLines/>
      <w:spacing w:after="0" w:line="271" w:lineRule="auto"/>
      <w:outlineLvl w:val="4"/>
    </w:pPr>
    <w:rPr>
      <w:i/>
    </w:rPr>
  </w:style>
  <w:style w:type="paragraph" w:styleId="Heading6">
    <w:name w:val="heading 6"/>
    <w:basedOn w:val="Normal"/>
    <w:next w:val="Normal"/>
    <w:pPr>
      <w:keepNext/>
      <w:keepLines/>
      <w:spacing w:after="0" w:line="271"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smallCaps/>
      <w:sz w:val="52"/>
      <w:szCs w:val="52"/>
    </w:rPr>
  </w:style>
  <w:style w:type="paragraph" w:styleId="Subtitle">
    <w:name w:val="Subtitle"/>
    <w:basedOn w:val="Normal"/>
    <w:next w:val="Normal"/>
    <w:pPr>
      <w:keepNext/>
      <w:keepLines/>
    </w:pPr>
    <w:rPr>
      <w:i/>
      <w:smallCaps/>
      <w:color w:val="666666"/>
      <w:sz w:val="28"/>
      <w:szCs w:val="2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E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A1"/>
    <w:rPr>
      <w:rFonts w:ascii="Tahoma" w:hAnsi="Tahoma" w:cs="Tahoma"/>
      <w:sz w:val="16"/>
      <w:szCs w:val="16"/>
    </w:rPr>
  </w:style>
  <w:style w:type="character" w:styleId="CommentReference">
    <w:name w:val="annotation reference"/>
    <w:basedOn w:val="DefaultParagraphFont"/>
    <w:uiPriority w:val="99"/>
    <w:semiHidden/>
    <w:unhideWhenUsed/>
    <w:rsid w:val="008E5AA1"/>
    <w:rPr>
      <w:sz w:val="16"/>
      <w:szCs w:val="16"/>
    </w:rPr>
  </w:style>
  <w:style w:type="paragraph" w:styleId="CommentText">
    <w:name w:val="annotation text"/>
    <w:basedOn w:val="Normal"/>
    <w:link w:val="CommentTextChar"/>
    <w:uiPriority w:val="99"/>
    <w:semiHidden/>
    <w:unhideWhenUsed/>
    <w:rsid w:val="008E5AA1"/>
    <w:pPr>
      <w:spacing w:line="240" w:lineRule="auto"/>
    </w:pPr>
    <w:rPr>
      <w:sz w:val="20"/>
      <w:szCs w:val="20"/>
    </w:rPr>
  </w:style>
  <w:style w:type="character" w:customStyle="1" w:styleId="CommentTextChar">
    <w:name w:val="Comment Text Char"/>
    <w:basedOn w:val="DefaultParagraphFont"/>
    <w:link w:val="CommentText"/>
    <w:uiPriority w:val="99"/>
    <w:semiHidden/>
    <w:rsid w:val="008E5AA1"/>
    <w:rPr>
      <w:sz w:val="20"/>
      <w:szCs w:val="20"/>
    </w:rPr>
  </w:style>
  <w:style w:type="paragraph" w:styleId="CommentSubject">
    <w:name w:val="annotation subject"/>
    <w:basedOn w:val="CommentText"/>
    <w:next w:val="CommentText"/>
    <w:link w:val="CommentSubjectChar"/>
    <w:uiPriority w:val="99"/>
    <w:semiHidden/>
    <w:unhideWhenUsed/>
    <w:rsid w:val="008E5AA1"/>
    <w:rPr>
      <w:b/>
      <w:bCs/>
    </w:rPr>
  </w:style>
  <w:style w:type="character" w:customStyle="1" w:styleId="CommentSubjectChar">
    <w:name w:val="Comment Subject Char"/>
    <w:basedOn w:val="CommentTextChar"/>
    <w:link w:val="CommentSubject"/>
    <w:uiPriority w:val="99"/>
    <w:semiHidden/>
    <w:rsid w:val="008E5AA1"/>
    <w:rPr>
      <w:b/>
      <w:bCs/>
      <w:sz w:val="20"/>
      <w:szCs w:val="20"/>
    </w:rPr>
  </w:style>
  <w:style w:type="paragraph" w:styleId="Revision">
    <w:name w:val="Revision"/>
    <w:hidden/>
    <w:uiPriority w:val="99"/>
    <w:semiHidden/>
    <w:rsid w:val="00622A21"/>
    <w:pPr>
      <w:spacing w:after="0" w:line="240" w:lineRule="auto"/>
      <w:jc w:val="left"/>
    </w:pPr>
  </w:style>
  <w:style w:type="character" w:styleId="Emphasis">
    <w:name w:val="Emphasis"/>
    <w:basedOn w:val="DefaultParagraphFont"/>
    <w:uiPriority w:val="20"/>
    <w:qFormat/>
    <w:rsid w:val="003228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gks.ru/bgd/regl/b13_13/IssWWW.exe/Stg/d1/07-47.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footnotes" Target="footnotes.xml"/><Relationship Id="rId12" Type="http://schemas.openxmlformats.org/officeDocument/2006/relationships/hyperlink" Target="http://www.gks.ru/bgd/regl/b14_13/Main.htm"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dicators.miccedu.ru/monitoring/" TargetMode="External"/><Relationship Id="rId20" Type="http://schemas.openxmlformats.org/officeDocument/2006/relationships/hyperlink" Target="http://ecsocman.hse.ru/text/182409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indicators.miccedu.ru/monitoring/" TargetMode="External"/><Relationship Id="rId5" Type="http://schemas.openxmlformats.org/officeDocument/2006/relationships/settings" Target="settings.xml"/><Relationship Id="rId15" Type="http://schemas.openxmlformats.org/officeDocument/2006/relationships/hyperlink" Target="http://www.cisstat.com/" TargetMode="External"/><Relationship Id="rId23" Type="http://schemas.openxmlformats.org/officeDocument/2006/relationships/hyperlink" Target="http://www.roskazna.ru/ispolnenie-byudzhetov/konsolidirovannyj-byudzhet/" TargetMode="Externa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www.hse.ru/data/2010/12/03/1209581393/WP3_2010_09_fff.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hyperlink" Target="http://ncpa.ru/index.php?option=com_content&amp;view=article&amp;id=251&amp;Itemid=375&amp;lang=ru" TargetMode="Externa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unset12:Downloads:5-100%20&#1086;&#1087;&#1086;&#1088;&#1085;&#1099;&#1077;%2021.09%20-%20&#1042;&#1055;&#1054;-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unset12:Downloads:5-100%20&#1086;&#1087;&#1086;&#1088;&#1085;&#1099;&#1077;%2021.09%20-%20&#1042;&#1055;&#1054;-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unset12:Downloads:5-100%20&#1086;&#1087;&#1086;&#1088;&#1085;&#1099;&#1077;%2021.09%20-%20&#1042;&#1055;&#1054;-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lineChart>
        <c:grouping val="standard"/>
        <c:varyColors val="0"/>
        <c:ser>
          <c:idx val="1"/>
          <c:order val="1"/>
          <c:tx>
            <c:strRef>
              <c:f>'свод 5-100 и опорные'!$C$28</c:f>
              <c:strCache>
                <c:ptCount val="1"/>
                <c:pt idx="0">
                  <c:v>Number of students</c:v>
                </c:pt>
              </c:strCache>
            </c:strRef>
          </c:tx>
          <c:spPr>
            <a:ln w="25400">
              <a:solidFill>
                <a:schemeClr val="tx1"/>
              </a:solidFill>
              <a:prstDash val="solid"/>
            </a:ln>
          </c:spPr>
          <c:marker>
            <c:symbol val="none"/>
          </c:marker>
          <c:cat>
            <c:numRef>
              <c:f>'свод 5-100 и опорные'!$A$29:$A$51</c:f>
              <c:numCache>
                <c:formatCode>General</c:formatCod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'свод 5-100 и опорные'!$C$29:$C$51</c:f>
              <c:numCache>
                <c:formatCode>General</c:formatCode>
                <c:ptCount val="23"/>
                <c:pt idx="0">
                  <c:v>2638032</c:v>
                </c:pt>
                <c:pt idx="1">
                  <c:v>2612800</c:v>
                </c:pt>
                <c:pt idx="2">
                  <c:v>2644500</c:v>
                </c:pt>
                <c:pt idx="3">
                  <c:v>2790723</c:v>
                </c:pt>
                <c:pt idx="4">
                  <c:v>2964934</c:v>
                </c:pt>
                <c:pt idx="5">
                  <c:v>3248318</c:v>
                </c:pt>
                <c:pt idx="6">
                  <c:v>3597946</c:v>
                </c:pt>
                <c:pt idx="7">
                  <c:v>4072989</c:v>
                </c:pt>
                <c:pt idx="8">
                  <c:v>4741341</c:v>
                </c:pt>
                <c:pt idx="9">
                  <c:v>5426943</c:v>
                </c:pt>
                <c:pt idx="10">
                  <c:v>5947497</c:v>
                </c:pt>
                <c:pt idx="11">
                  <c:v>6455713</c:v>
                </c:pt>
                <c:pt idx="12">
                  <c:v>6884193</c:v>
                </c:pt>
                <c:pt idx="13">
                  <c:v>7064577</c:v>
                </c:pt>
                <c:pt idx="14">
                  <c:v>7309838</c:v>
                </c:pt>
                <c:pt idx="15">
                  <c:v>7461310</c:v>
                </c:pt>
                <c:pt idx="16">
                  <c:v>7513119</c:v>
                </c:pt>
                <c:pt idx="17">
                  <c:v>7418847</c:v>
                </c:pt>
                <c:pt idx="18">
                  <c:v>7049815</c:v>
                </c:pt>
                <c:pt idx="19">
                  <c:v>6490002</c:v>
                </c:pt>
                <c:pt idx="20">
                  <c:v>6075400</c:v>
                </c:pt>
                <c:pt idx="21">
                  <c:v>5646700</c:v>
                </c:pt>
                <c:pt idx="22">
                  <c:v>5209000</c:v>
                </c:pt>
              </c:numCache>
            </c:numRef>
          </c:val>
          <c:smooth val="0"/>
          <c:extLst xmlns:c16r2="http://schemas.microsoft.com/office/drawing/2015/06/chart">
            <c:ext xmlns:c16="http://schemas.microsoft.com/office/drawing/2014/chart" uri="{C3380CC4-5D6E-409C-BE32-E72D297353CC}">
              <c16:uniqueId val="{00000000-C70D-4CF6-9138-FF0A59FBAC7E}"/>
            </c:ext>
          </c:extLst>
        </c:ser>
        <c:dLbls>
          <c:showLegendKey val="0"/>
          <c:showVal val="0"/>
          <c:showCatName val="0"/>
          <c:showSerName val="0"/>
          <c:showPercent val="0"/>
          <c:showBubbleSize val="0"/>
        </c:dLbls>
        <c:marker val="1"/>
        <c:smooth val="0"/>
        <c:axId val="44766720"/>
        <c:axId val="44768640"/>
      </c:lineChart>
      <c:lineChart>
        <c:grouping val="standard"/>
        <c:varyColors val="0"/>
        <c:ser>
          <c:idx val="0"/>
          <c:order val="0"/>
          <c:tx>
            <c:strRef>
              <c:f>'свод 5-100 и опорные'!$B$28</c:f>
              <c:strCache>
                <c:ptCount val="1"/>
                <c:pt idx="0">
                  <c:v>Age cohort participation (17-25)</c:v>
                </c:pt>
              </c:strCache>
            </c:strRef>
          </c:tx>
          <c:spPr>
            <a:ln w="25400">
              <a:solidFill>
                <a:schemeClr val="tx1"/>
              </a:solidFill>
              <a:prstDash val="dash"/>
            </a:ln>
          </c:spPr>
          <c:marker>
            <c:symbol val="none"/>
          </c:marker>
          <c:cat>
            <c:numRef>
              <c:f>'свод 5-100 и опорные'!$A$29:$A$51</c:f>
              <c:numCache>
                <c:formatCode>General</c:formatCod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'свод 5-100 и опорные'!$B$29:$B$51</c:f>
              <c:numCache>
                <c:formatCode>0%</c:formatCode>
                <c:ptCount val="23"/>
                <c:pt idx="0">
                  <c:v>0.15</c:v>
                </c:pt>
                <c:pt idx="1">
                  <c:v>0.15</c:v>
                </c:pt>
                <c:pt idx="2">
                  <c:v>0.15</c:v>
                </c:pt>
                <c:pt idx="3">
                  <c:v>0.15</c:v>
                </c:pt>
                <c:pt idx="4">
                  <c:v>0.16</c:v>
                </c:pt>
                <c:pt idx="5">
                  <c:v>0.17</c:v>
                </c:pt>
                <c:pt idx="6">
                  <c:v>0.18</c:v>
                </c:pt>
                <c:pt idx="7">
                  <c:v>0.21</c:v>
                </c:pt>
                <c:pt idx="8">
                  <c:v>0.24</c:v>
                </c:pt>
                <c:pt idx="9">
                  <c:v>0.26</c:v>
                </c:pt>
                <c:pt idx="10">
                  <c:v>0.28000000000000003</c:v>
                </c:pt>
                <c:pt idx="11">
                  <c:v>0.3</c:v>
                </c:pt>
                <c:pt idx="12">
                  <c:v>0.32</c:v>
                </c:pt>
                <c:pt idx="13">
                  <c:v>0.32</c:v>
                </c:pt>
                <c:pt idx="14">
                  <c:v>0.33</c:v>
                </c:pt>
                <c:pt idx="15">
                  <c:v>0.34</c:v>
                </c:pt>
                <c:pt idx="16">
                  <c:v>0.35</c:v>
                </c:pt>
                <c:pt idx="17">
                  <c:v>0.35</c:v>
                </c:pt>
                <c:pt idx="18">
                  <c:v>0.34</c:v>
                </c:pt>
                <c:pt idx="19">
                  <c:v>0.33</c:v>
                </c:pt>
                <c:pt idx="20">
                  <c:v>0.32</c:v>
                </c:pt>
                <c:pt idx="21">
                  <c:v>0.32</c:v>
                </c:pt>
                <c:pt idx="22">
                  <c:v>0.31</c:v>
                </c:pt>
              </c:numCache>
            </c:numRef>
          </c:val>
          <c:smooth val="0"/>
          <c:extLst xmlns:c16r2="http://schemas.microsoft.com/office/drawing/2015/06/chart">
            <c:ext xmlns:c16="http://schemas.microsoft.com/office/drawing/2014/chart" uri="{C3380CC4-5D6E-409C-BE32-E72D297353CC}">
              <c16:uniqueId val="{00000001-C70D-4CF6-9138-FF0A59FBAC7E}"/>
            </c:ext>
          </c:extLst>
        </c:ser>
        <c:dLbls>
          <c:showLegendKey val="0"/>
          <c:showVal val="0"/>
          <c:showCatName val="0"/>
          <c:showSerName val="0"/>
          <c:showPercent val="0"/>
          <c:showBubbleSize val="0"/>
        </c:dLbls>
        <c:marker val="1"/>
        <c:smooth val="0"/>
        <c:axId val="75436032"/>
        <c:axId val="74844416"/>
      </c:lineChart>
      <c:catAx>
        <c:axId val="44766720"/>
        <c:scaling>
          <c:orientation val="minMax"/>
        </c:scaling>
        <c:delete val="0"/>
        <c:axPos val="b"/>
        <c:numFmt formatCode="General" sourceLinked="1"/>
        <c:majorTickMark val="out"/>
        <c:minorTickMark val="none"/>
        <c:tickLblPos val="nextTo"/>
        <c:crossAx val="44768640"/>
        <c:crosses val="autoZero"/>
        <c:auto val="1"/>
        <c:lblAlgn val="ctr"/>
        <c:lblOffset val="100"/>
        <c:noMultiLvlLbl val="0"/>
      </c:catAx>
      <c:valAx>
        <c:axId val="44768640"/>
        <c:scaling>
          <c:orientation val="minMax"/>
        </c:scaling>
        <c:delete val="0"/>
        <c:axPos val="l"/>
        <c:majorGridlines/>
        <c:numFmt formatCode="General" sourceLinked="1"/>
        <c:majorTickMark val="out"/>
        <c:minorTickMark val="none"/>
        <c:tickLblPos val="nextTo"/>
        <c:crossAx val="44766720"/>
        <c:crosses val="autoZero"/>
        <c:crossBetween val="between"/>
      </c:valAx>
      <c:valAx>
        <c:axId val="74844416"/>
        <c:scaling>
          <c:orientation val="minMax"/>
        </c:scaling>
        <c:delete val="0"/>
        <c:axPos val="r"/>
        <c:numFmt formatCode="0%" sourceLinked="1"/>
        <c:majorTickMark val="out"/>
        <c:minorTickMark val="none"/>
        <c:tickLblPos val="nextTo"/>
        <c:crossAx val="75436032"/>
        <c:crosses val="max"/>
        <c:crossBetween val="between"/>
      </c:valAx>
      <c:catAx>
        <c:axId val="75436032"/>
        <c:scaling>
          <c:orientation val="minMax"/>
        </c:scaling>
        <c:delete val="1"/>
        <c:axPos val="b"/>
        <c:numFmt formatCode="General" sourceLinked="1"/>
        <c:majorTickMark val="out"/>
        <c:minorTickMark val="none"/>
        <c:tickLblPos val="nextTo"/>
        <c:crossAx val="74844416"/>
        <c:crosses val="autoZero"/>
        <c:auto val="1"/>
        <c:lblAlgn val="ctr"/>
        <c:lblOffset val="100"/>
        <c:noMultiLvlLbl val="0"/>
      </c:cat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lineChart>
        <c:grouping val="standard"/>
        <c:varyColors val="0"/>
        <c:ser>
          <c:idx val="0"/>
          <c:order val="0"/>
          <c:tx>
            <c:strRef>
              <c:f>'свод 5-100 и опорные'!$A$12</c:f>
              <c:strCache>
                <c:ptCount val="1"/>
                <c:pt idx="0">
                  <c:v>Student enrollment in public HEIs,state-funded, thousand</c:v>
                </c:pt>
              </c:strCache>
            </c:strRef>
          </c:tx>
          <c:spPr>
            <a:ln>
              <a:solidFill>
                <a:schemeClr val="tx1"/>
              </a:solidFill>
              <a:prstDash val="sysDot"/>
            </a:ln>
          </c:spPr>
          <c:marker>
            <c:symbol val="none"/>
          </c:marker>
          <c:cat>
            <c:numRef>
              <c:f>'свод 5-100 и опорные'!$B$11:$F$11</c:f>
              <c:numCache>
                <c:formatCode>General</c:formatCode>
                <c:ptCount val="5"/>
                <c:pt idx="0">
                  <c:v>1995</c:v>
                </c:pt>
                <c:pt idx="1">
                  <c:v>2000</c:v>
                </c:pt>
                <c:pt idx="2">
                  <c:v>2005</c:v>
                </c:pt>
                <c:pt idx="3">
                  <c:v>2010</c:v>
                </c:pt>
                <c:pt idx="4">
                  <c:v>2013</c:v>
                </c:pt>
              </c:numCache>
            </c:numRef>
          </c:cat>
          <c:val>
            <c:numRef>
              <c:f>'свод 5-100 и опорные'!$B$12:$F$12</c:f>
              <c:numCache>
                <c:formatCode>General</c:formatCode>
                <c:ptCount val="5"/>
                <c:pt idx="0">
                  <c:v>535.1</c:v>
                </c:pt>
                <c:pt idx="1">
                  <c:v>586.79999999999995</c:v>
                </c:pt>
                <c:pt idx="2">
                  <c:v>613.70000000000005</c:v>
                </c:pt>
                <c:pt idx="3">
                  <c:v>519</c:v>
                </c:pt>
                <c:pt idx="4">
                  <c:v>496.8</c:v>
                </c:pt>
              </c:numCache>
            </c:numRef>
          </c:val>
          <c:smooth val="0"/>
          <c:extLst xmlns:c16r2="http://schemas.microsoft.com/office/drawing/2015/06/chart">
            <c:ext xmlns:c16="http://schemas.microsoft.com/office/drawing/2014/chart" uri="{C3380CC4-5D6E-409C-BE32-E72D297353CC}">
              <c16:uniqueId val="{00000000-E4F7-4C79-A882-8D4D53002091}"/>
            </c:ext>
          </c:extLst>
        </c:ser>
        <c:ser>
          <c:idx val="1"/>
          <c:order val="1"/>
          <c:tx>
            <c:strRef>
              <c:f>'свод 5-100 и опорные'!$A$13</c:f>
              <c:strCache>
                <c:ptCount val="1"/>
                <c:pt idx="0">
                  <c:v>Fee-paying students in public HEIs, thousand</c:v>
                </c:pt>
              </c:strCache>
            </c:strRef>
          </c:tx>
          <c:spPr>
            <a:ln>
              <a:solidFill>
                <a:schemeClr val="tx1"/>
              </a:solidFill>
              <a:prstDash val="dash"/>
            </a:ln>
          </c:spPr>
          <c:marker>
            <c:symbol val="none"/>
          </c:marker>
          <c:cat>
            <c:numRef>
              <c:f>'свод 5-100 и опорные'!$B$11:$F$11</c:f>
              <c:numCache>
                <c:formatCode>General</c:formatCode>
                <c:ptCount val="5"/>
                <c:pt idx="0">
                  <c:v>1995</c:v>
                </c:pt>
                <c:pt idx="1">
                  <c:v>2000</c:v>
                </c:pt>
                <c:pt idx="2">
                  <c:v>2005</c:v>
                </c:pt>
                <c:pt idx="3">
                  <c:v>2010</c:v>
                </c:pt>
                <c:pt idx="4">
                  <c:v>2013</c:v>
                </c:pt>
              </c:numCache>
            </c:numRef>
          </c:cat>
          <c:val>
            <c:numRef>
              <c:f>'свод 5-100 и опорные'!$B$13:$F$13</c:f>
              <c:numCache>
                <c:formatCode>General</c:formatCode>
                <c:ptCount val="5"/>
                <c:pt idx="0">
                  <c:v>93.5</c:v>
                </c:pt>
                <c:pt idx="1">
                  <c:v>553.5</c:v>
                </c:pt>
                <c:pt idx="2">
                  <c:v>758.8</c:v>
                </c:pt>
                <c:pt idx="3">
                  <c:v>676.4</c:v>
                </c:pt>
                <c:pt idx="4">
                  <c:v>570</c:v>
                </c:pt>
              </c:numCache>
            </c:numRef>
          </c:val>
          <c:smooth val="0"/>
          <c:extLst xmlns:c16r2="http://schemas.microsoft.com/office/drawing/2015/06/chart">
            <c:ext xmlns:c16="http://schemas.microsoft.com/office/drawing/2014/chart" uri="{C3380CC4-5D6E-409C-BE32-E72D297353CC}">
              <c16:uniqueId val="{00000001-E4F7-4C79-A882-8D4D53002091}"/>
            </c:ext>
          </c:extLst>
        </c:ser>
        <c:ser>
          <c:idx val="2"/>
          <c:order val="2"/>
          <c:tx>
            <c:strRef>
              <c:f>'свод 5-100 и опорные'!$A$14</c:f>
              <c:strCache>
                <c:ptCount val="1"/>
                <c:pt idx="0">
                  <c:v>Student enrollment in private HEIs, thousand</c:v>
                </c:pt>
              </c:strCache>
            </c:strRef>
          </c:tx>
          <c:spPr>
            <a:ln>
              <a:solidFill>
                <a:schemeClr val="tx1"/>
              </a:solidFill>
            </a:ln>
          </c:spPr>
          <c:marker>
            <c:symbol val="none"/>
          </c:marker>
          <c:cat>
            <c:numRef>
              <c:f>'свод 5-100 и опорные'!$B$11:$F$11</c:f>
              <c:numCache>
                <c:formatCode>General</c:formatCode>
                <c:ptCount val="5"/>
                <c:pt idx="0">
                  <c:v>1995</c:v>
                </c:pt>
                <c:pt idx="1">
                  <c:v>2000</c:v>
                </c:pt>
                <c:pt idx="2">
                  <c:v>2005</c:v>
                </c:pt>
                <c:pt idx="3">
                  <c:v>2010</c:v>
                </c:pt>
                <c:pt idx="4">
                  <c:v>2013</c:v>
                </c:pt>
              </c:numCache>
            </c:numRef>
          </c:cat>
          <c:val>
            <c:numRef>
              <c:f>'свод 5-100 и опорные'!$B$14:$F$14</c:f>
              <c:numCache>
                <c:formatCode>General</c:formatCode>
                <c:ptCount val="5"/>
                <c:pt idx="0">
                  <c:v>52.4</c:v>
                </c:pt>
                <c:pt idx="1">
                  <c:v>152.19999999999999</c:v>
                </c:pt>
                <c:pt idx="2">
                  <c:v>268</c:v>
                </c:pt>
                <c:pt idx="3">
                  <c:v>204</c:v>
                </c:pt>
                <c:pt idx="4">
                  <c:v>179.7</c:v>
                </c:pt>
              </c:numCache>
            </c:numRef>
          </c:val>
          <c:smooth val="0"/>
          <c:extLst xmlns:c16r2="http://schemas.microsoft.com/office/drawing/2015/06/chart">
            <c:ext xmlns:c16="http://schemas.microsoft.com/office/drawing/2014/chart" uri="{C3380CC4-5D6E-409C-BE32-E72D297353CC}">
              <c16:uniqueId val="{00000002-E4F7-4C79-A882-8D4D53002091}"/>
            </c:ext>
          </c:extLst>
        </c:ser>
        <c:dLbls>
          <c:showLegendKey val="0"/>
          <c:showVal val="0"/>
          <c:showCatName val="0"/>
          <c:showSerName val="0"/>
          <c:showPercent val="0"/>
          <c:showBubbleSize val="0"/>
        </c:dLbls>
        <c:marker val="1"/>
        <c:smooth val="0"/>
        <c:axId val="96598272"/>
        <c:axId val="96690176"/>
      </c:lineChart>
      <c:catAx>
        <c:axId val="96598272"/>
        <c:scaling>
          <c:orientation val="minMax"/>
        </c:scaling>
        <c:delete val="0"/>
        <c:axPos val="b"/>
        <c:numFmt formatCode="General" sourceLinked="1"/>
        <c:majorTickMark val="out"/>
        <c:minorTickMark val="none"/>
        <c:tickLblPos val="nextTo"/>
        <c:crossAx val="96690176"/>
        <c:crosses val="autoZero"/>
        <c:auto val="1"/>
        <c:lblAlgn val="ctr"/>
        <c:lblOffset val="100"/>
        <c:noMultiLvlLbl val="0"/>
      </c:catAx>
      <c:valAx>
        <c:axId val="96690176"/>
        <c:scaling>
          <c:orientation val="minMax"/>
        </c:scaling>
        <c:delete val="0"/>
        <c:axPos val="l"/>
        <c:majorGridlines/>
        <c:numFmt formatCode="General" sourceLinked="1"/>
        <c:majorTickMark val="out"/>
        <c:minorTickMark val="none"/>
        <c:tickLblPos val="nextTo"/>
        <c:crossAx val="965982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lineChart>
        <c:grouping val="standard"/>
        <c:varyColors val="0"/>
        <c:ser>
          <c:idx val="1"/>
          <c:order val="1"/>
          <c:tx>
            <c:strRef>
              <c:f>'свод 5-100 и опорные'!$A$24</c:f>
              <c:strCache>
                <c:ptCount val="1"/>
                <c:pt idx="0">
                  <c:v>Public spending on education, higher, % of expences on education (left axis)</c:v>
                </c:pt>
              </c:strCache>
            </c:strRef>
          </c:tx>
          <c:spPr>
            <a:ln w="25400">
              <a:solidFill>
                <a:schemeClr val="tx1"/>
              </a:solidFill>
            </a:ln>
          </c:spPr>
          <c:marker>
            <c:symbol val="circle"/>
            <c:size val="5"/>
            <c:spPr>
              <a:solidFill>
                <a:schemeClr val="tx1"/>
              </a:solidFill>
              <a:ln>
                <a:solidFill>
                  <a:schemeClr val="tx1"/>
                </a:solidFill>
              </a:ln>
            </c:spPr>
          </c:marker>
          <c:cat>
            <c:numRef>
              <c:f>'свод 5-100 и опорные'!$B$22:$U$22</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'свод 5-100 и опорные'!$B$24:$U$24</c:f>
              <c:numCache>
                <c:formatCode>General</c:formatCode>
                <c:ptCount val="20"/>
                <c:pt idx="0" formatCode="0.00%">
                  <c:v>9.1999999999999998E-2</c:v>
                </c:pt>
                <c:pt idx="2" formatCode="0.00%">
                  <c:v>9.5000000000000001E-2</c:v>
                </c:pt>
                <c:pt idx="3" formatCode="0.00%">
                  <c:v>9.4E-2</c:v>
                </c:pt>
                <c:pt idx="4" formatCode="0.00%">
                  <c:v>9.8000000000000004E-2</c:v>
                </c:pt>
                <c:pt idx="5" formatCode="0.00%">
                  <c:v>0.114</c:v>
                </c:pt>
                <c:pt idx="6" formatCode="0.00%">
                  <c:v>0.122</c:v>
                </c:pt>
                <c:pt idx="7" formatCode="0.00%">
                  <c:v>0.11799999999999999</c:v>
                </c:pt>
                <c:pt idx="8" formatCode="0.00%">
                  <c:v>0.129</c:v>
                </c:pt>
                <c:pt idx="9" formatCode="0.00%">
                  <c:v>0.13</c:v>
                </c:pt>
                <c:pt idx="10" formatCode="0.00%">
                  <c:v>0.157</c:v>
                </c:pt>
                <c:pt idx="11" formatCode="0.00%">
                  <c:v>0.16400000000000001</c:v>
                </c:pt>
                <c:pt idx="12" formatCode="0.00%">
                  <c:v>0.17899999999999999</c:v>
                </c:pt>
                <c:pt idx="13" formatCode="0.00%">
                  <c:v>0.17699999999999999</c:v>
                </c:pt>
                <c:pt idx="14" formatCode="0.00%">
                  <c:v>0.19500000000000001</c:v>
                </c:pt>
                <c:pt idx="15" formatCode="0.00%">
                  <c:v>0.19900000000000001</c:v>
                </c:pt>
                <c:pt idx="16" formatCode="0.00%">
                  <c:v>0.187</c:v>
                </c:pt>
                <c:pt idx="17" formatCode="0.00%">
                  <c:v>0.18099999999999999</c:v>
                </c:pt>
                <c:pt idx="18" formatCode="0.00%">
                  <c:v>0.17699999999999999</c:v>
                </c:pt>
                <c:pt idx="19" formatCode="0.00%">
                  <c:v>0.17100000000000001</c:v>
                </c:pt>
              </c:numCache>
            </c:numRef>
          </c:val>
          <c:smooth val="0"/>
          <c:extLst xmlns:c16r2="http://schemas.microsoft.com/office/drawing/2015/06/chart">
            <c:ext xmlns:c16="http://schemas.microsoft.com/office/drawing/2014/chart" uri="{C3380CC4-5D6E-409C-BE32-E72D297353CC}">
              <c16:uniqueId val="{00000000-B4A3-4D15-8D25-AEECCF7344B7}"/>
            </c:ext>
          </c:extLst>
        </c:ser>
        <c:dLbls>
          <c:showLegendKey val="0"/>
          <c:showVal val="0"/>
          <c:showCatName val="0"/>
          <c:showSerName val="0"/>
          <c:showPercent val="0"/>
          <c:showBubbleSize val="0"/>
        </c:dLbls>
        <c:marker val="1"/>
        <c:smooth val="0"/>
        <c:axId val="112647552"/>
        <c:axId val="141567872"/>
      </c:lineChart>
      <c:lineChart>
        <c:grouping val="standard"/>
        <c:varyColors val="0"/>
        <c:ser>
          <c:idx val="0"/>
          <c:order val="0"/>
          <c:tx>
            <c:strRef>
              <c:f>'свод 5-100 и опорные'!$A$23</c:f>
              <c:strCache>
                <c:ptCount val="1"/>
                <c:pt idx="0">
                  <c:v>Public spending on education, higher, % of all public expences (right axis)</c:v>
                </c:pt>
              </c:strCache>
            </c:strRef>
          </c:tx>
          <c:spPr>
            <a:ln w="25400">
              <a:solidFill>
                <a:schemeClr val="tx1"/>
              </a:solidFill>
            </a:ln>
          </c:spPr>
          <c:marker>
            <c:symbol val="square"/>
            <c:size val="7"/>
            <c:spPr>
              <a:solidFill>
                <a:schemeClr val="tx1"/>
              </a:solidFill>
              <a:ln>
                <a:solidFill>
                  <a:schemeClr val="tx1"/>
                </a:solidFill>
              </a:ln>
            </c:spPr>
          </c:marker>
          <c:cat>
            <c:numRef>
              <c:f>'свод 5-100 и опорные'!$B$22:$U$22</c:f>
              <c:numCache>
                <c:formatCode>General</c:formatCode>
                <c:ptCount val="20"/>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numCache>
            </c:numRef>
          </c:cat>
          <c:val>
            <c:numRef>
              <c:f>'свод 5-100 и опорные'!$B$23:$U$23</c:f>
              <c:numCache>
                <c:formatCode>General</c:formatCode>
                <c:ptCount val="20"/>
                <c:pt idx="0" formatCode="0.00%">
                  <c:v>1.09E-2</c:v>
                </c:pt>
                <c:pt idx="2" formatCode="0.00%">
                  <c:v>1.2699999999999999E-2</c:v>
                </c:pt>
                <c:pt idx="3" formatCode="0.00%">
                  <c:v>1.12E-2</c:v>
                </c:pt>
                <c:pt idx="4" formatCode="0.00%">
                  <c:v>1.14E-2</c:v>
                </c:pt>
                <c:pt idx="5" formatCode="0.00%">
                  <c:v>1.24E-2</c:v>
                </c:pt>
                <c:pt idx="6" formatCode="0.00%">
                  <c:v>1.41E-2</c:v>
                </c:pt>
                <c:pt idx="7" formatCode="0.00%">
                  <c:v>1.41E-2</c:v>
                </c:pt>
                <c:pt idx="8" formatCode="0.00%">
                  <c:v>1.54E-2</c:v>
                </c:pt>
                <c:pt idx="9" formatCode="0.00%">
                  <c:v>1.6500000000000001E-2</c:v>
                </c:pt>
                <c:pt idx="10" formatCode="0.00%">
                  <c:v>1.8499999999999999E-2</c:v>
                </c:pt>
                <c:pt idx="11" formatCode="0.00%">
                  <c:v>2.0299999999999999E-2</c:v>
                </c:pt>
                <c:pt idx="12" formatCode="0.00%">
                  <c:v>2.1100000000000001E-2</c:v>
                </c:pt>
                <c:pt idx="13" formatCode="0.00%">
                  <c:v>2.0799999999999999E-2</c:v>
                </c:pt>
                <c:pt idx="14" formatCode="0.00%">
                  <c:v>2.1600000000000001E-2</c:v>
                </c:pt>
                <c:pt idx="15" formatCode="0.00%">
                  <c:v>2.1399999999999999E-2</c:v>
                </c:pt>
                <c:pt idx="16" formatCode="0.00%">
                  <c:v>2.0799999999999999E-2</c:v>
                </c:pt>
                <c:pt idx="17" formatCode="0.00%">
                  <c:v>0.02</c:v>
                </c:pt>
                <c:pt idx="18" formatCode="0.00%">
                  <c:v>2.0299999999999999E-2</c:v>
                </c:pt>
                <c:pt idx="19" formatCode="0.00%">
                  <c:v>1.8800000000000001E-2</c:v>
                </c:pt>
              </c:numCache>
            </c:numRef>
          </c:val>
          <c:smooth val="0"/>
          <c:extLst xmlns:c16r2="http://schemas.microsoft.com/office/drawing/2015/06/chart">
            <c:ext xmlns:c16="http://schemas.microsoft.com/office/drawing/2014/chart" uri="{C3380CC4-5D6E-409C-BE32-E72D297353CC}">
              <c16:uniqueId val="{00000001-B4A3-4D15-8D25-AEECCF7344B7}"/>
            </c:ext>
          </c:extLst>
        </c:ser>
        <c:dLbls>
          <c:showLegendKey val="0"/>
          <c:showVal val="0"/>
          <c:showCatName val="0"/>
          <c:showSerName val="0"/>
          <c:showPercent val="0"/>
          <c:showBubbleSize val="0"/>
        </c:dLbls>
        <c:marker val="1"/>
        <c:smooth val="0"/>
        <c:axId val="145495552"/>
        <c:axId val="145494016"/>
      </c:lineChart>
      <c:catAx>
        <c:axId val="112647552"/>
        <c:scaling>
          <c:orientation val="minMax"/>
        </c:scaling>
        <c:delete val="0"/>
        <c:axPos val="b"/>
        <c:numFmt formatCode="General" sourceLinked="1"/>
        <c:majorTickMark val="out"/>
        <c:minorTickMark val="none"/>
        <c:tickLblPos val="nextTo"/>
        <c:crossAx val="141567872"/>
        <c:crosses val="autoZero"/>
        <c:auto val="1"/>
        <c:lblAlgn val="ctr"/>
        <c:lblOffset val="100"/>
        <c:noMultiLvlLbl val="0"/>
      </c:catAx>
      <c:valAx>
        <c:axId val="141567872"/>
        <c:scaling>
          <c:orientation val="minMax"/>
        </c:scaling>
        <c:delete val="0"/>
        <c:axPos val="l"/>
        <c:majorGridlines/>
        <c:numFmt formatCode="0.00%" sourceLinked="1"/>
        <c:majorTickMark val="out"/>
        <c:minorTickMark val="none"/>
        <c:tickLblPos val="nextTo"/>
        <c:crossAx val="112647552"/>
        <c:crosses val="autoZero"/>
        <c:crossBetween val="between"/>
      </c:valAx>
      <c:valAx>
        <c:axId val="145494016"/>
        <c:scaling>
          <c:orientation val="minMax"/>
        </c:scaling>
        <c:delete val="0"/>
        <c:axPos val="r"/>
        <c:numFmt formatCode="0.00%" sourceLinked="1"/>
        <c:majorTickMark val="out"/>
        <c:minorTickMark val="none"/>
        <c:tickLblPos val="nextTo"/>
        <c:crossAx val="145495552"/>
        <c:crosses val="max"/>
        <c:crossBetween val="between"/>
      </c:valAx>
      <c:catAx>
        <c:axId val="145495552"/>
        <c:scaling>
          <c:orientation val="minMax"/>
        </c:scaling>
        <c:delete val="1"/>
        <c:axPos val="b"/>
        <c:numFmt formatCode="General" sourceLinked="1"/>
        <c:majorTickMark val="out"/>
        <c:minorTickMark val="none"/>
        <c:tickLblPos val="nextTo"/>
        <c:crossAx val="145494016"/>
        <c:crosses val="autoZero"/>
        <c:auto val="1"/>
        <c:lblAlgn val="ctr"/>
        <c:lblOffset val="100"/>
        <c:noMultiLvlLbl val="0"/>
      </c:cat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022B-1F8F-4545-931D-2418C262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27</Pages>
  <Words>7867</Words>
  <Characters>43273</Characters>
  <Application>Microsoft Office Word</Application>
  <DocSecurity>0</DocSecurity>
  <Lines>360</Lines>
  <Paragraphs>102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UGent</Company>
  <LinksUpToDate>false</LinksUpToDate>
  <CharactersWithSpaces>51038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Huisman</dc:creator>
  <cp:lastModifiedBy>Jeroen Huisman</cp:lastModifiedBy>
  <cp:revision>69</cp:revision>
  <dcterms:created xsi:type="dcterms:W3CDTF">2016-09-23T05:28:00Z</dcterms:created>
  <dcterms:modified xsi:type="dcterms:W3CDTF">2016-10-28T11:45:00Z</dcterms:modified>
</cp:coreProperties>
</file>