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83" w:rsidRDefault="007C6683" w:rsidP="007C6683">
      <w:pPr>
        <w:pStyle w:val="Style6"/>
        <w:widowControl/>
        <w:spacing w:line="240" w:lineRule="auto"/>
        <w:jc w:val="lef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УДК 342.7, 349</w:t>
      </w:r>
    </w:p>
    <w:p w:rsidR="007C6683" w:rsidRDefault="007C6683" w:rsidP="00BD39A6">
      <w:pPr>
        <w:pStyle w:val="Style6"/>
        <w:widowControl/>
        <w:spacing w:line="240" w:lineRule="auto"/>
        <w:jc w:val="center"/>
        <w:rPr>
          <w:rStyle w:val="FontStyle20"/>
          <w:sz w:val="28"/>
          <w:szCs w:val="28"/>
        </w:rPr>
      </w:pPr>
    </w:p>
    <w:p w:rsidR="00BD39A6" w:rsidRDefault="00BD39A6" w:rsidP="001014A0">
      <w:pPr>
        <w:pStyle w:val="Style6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14A0">
        <w:rPr>
          <w:rStyle w:val="FontStyle20"/>
          <w:b/>
          <w:sz w:val="28"/>
          <w:szCs w:val="28"/>
        </w:rPr>
        <w:t xml:space="preserve">О </w:t>
      </w:r>
      <w:r w:rsidR="001014A0" w:rsidRPr="001014A0">
        <w:rPr>
          <w:rStyle w:val="FontStyle20"/>
          <w:b/>
          <w:sz w:val="28"/>
          <w:szCs w:val="28"/>
        </w:rPr>
        <w:t>ТРАДИЦИЯХ И ИННОВАЦИЯХ В АДВОКАТСКОЙ ДЕЯТЕЛЬНОСТИ</w:t>
      </w:r>
      <w:r w:rsidRPr="00A538B3">
        <w:rPr>
          <w:rFonts w:ascii="Times New Roman" w:hAnsi="Times New Roman"/>
          <w:bCs/>
          <w:sz w:val="28"/>
          <w:szCs w:val="28"/>
          <w:vertAlign w:val="superscript"/>
        </w:rPr>
        <w:t>*</w:t>
      </w:r>
    </w:p>
    <w:p w:rsidR="00BD39A6" w:rsidRDefault="00BD39A6" w:rsidP="00BD39A6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bookmarkStart w:id="0" w:name="_GoBack"/>
      <w:bookmarkEnd w:id="0"/>
    </w:p>
    <w:p w:rsidR="00BD39A6" w:rsidRDefault="00BD39A6" w:rsidP="00BD39A6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BD39A6">
        <w:rPr>
          <w:rStyle w:val="FontStyle20"/>
          <w:b/>
          <w:sz w:val="28"/>
          <w:szCs w:val="28"/>
        </w:rPr>
        <w:t>Л.Н. Бардин</w:t>
      </w:r>
      <w:r w:rsidR="0055232B" w:rsidRPr="00424D34">
        <w:rPr>
          <w:rStyle w:val="FontStyle20"/>
          <w:sz w:val="28"/>
          <w:szCs w:val="28"/>
        </w:rPr>
        <w:t>,</w:t>
      </w:r>
      <w:r>
        <w:rPr>
          <w:rStyle w:val="FontStyle20"/>
          <w:sz w:val="28"/>
          <w:szCs w:val="28"/>
        </w:rPr>
        <w:t xml:space="preserve"> </w:t>
      </w:r>
      <w:r w:rsidR="0055232B" w:rsidRPr="00424D34">
        <w:rPr>
          <w:rStyle w:val="FontStyle20"/>
          <w:sz w:val="28"/>
          <w:szCs w:val="28"/>
        </w:rPr>
        <w:t>член Совета Адвокатской палаты</w:t>
      </w:r>
    </w:p>
    <w:p w:rsidR="001014A0" w:rsidRDefault="0055232B" w:rsidP="00BD39A6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424D34">
        <w:rPr>
          <w:rStyle w:val="FontStyle20"/>
          <w:sz w:val="28"/>
          <w:szCs w:val="28"/>
        </w:rPr>
        <w:t xml:space="preserve"> г. Москвы, доцент </w:t>
      </w:r>
      <w:r w:rsidR="001014A0">
        <w:rPr>
          <w:rStyle w:val="FontStyle20"/>
          <w:sz w:val="28"/>
          <w:szCs w:val="28"/>
        </w:rPr>
        <w:t>кафедры судебной власти</w:t>
      </w:r>
    </w:p>
    <w:p w:rsidR="00BD39A6" w:rsidRDefault="0055232B" w:rsidP="00BD39A6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424D34">
        <w:rPr>
          <w:rStyle w:val="FontStyle20"/>
          <w:sz w:val="28"/>
          <w:szCs w:val="28"/>
        </w:rPr>
        <w:t>факультета права Национального</w:t>
      </w:r>
    </w:p>
    <w:p w:rsidR="00BD39A6" w:rsidRDefault="0055232B" w:rsidP="00BD39A6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424D34">
        <w:rPr>
          <w:rStyle w:val="FontStyle20"/>
          <w:sz w:val="28"/>
          <w:szCs w:val="28"/>
        </w:rPr>
        <w:t xml:space="preserve"> исследовательского университета – Высшая школа</w:t>
      </w:r>
    </w:p>
    <w:p w:rsidR="0055232B" w:rsidRPr="00424D34" w:rsidRDefault="0055232B" w:rsidP="00BD39A6">
      <w:pPr>
        <w:pStyle w:val="Style6"/>
        <w:widowControl/>
        <w:spacing w:line="240" w:lineRule="auto"/>
        <w:rPr>
          <w:rStyle w:val="FontStyle20"/>
          <w:sz w:val="28"/>
          <w:szCs w:val="28"/>
        </w:rPr>
      </w:pPr>
      <w:r w:rsidRPr="00424D34">
        <w:rPr>
          <w:rStyle w:val="FontStyle20"/>
          <w:sz w:val="28"/>
          <w:szCs w:val="28"/>
        </w:rPr>
        <w:t xml:space="preserve"> эконо</w:t>
      </w:r>
      <w:r w:rsidR="00BD39A6">
        <w:rPr>
          <w:rStyle w:val="FontStyle20"/>
          <w:sz w:val="28"/>
          <w:szCs w:val="28"/>
        </w:rPr>
        <w:t>мики, к.ю.н., доцент</w:t>
      </w:r>
    </w:p>
    <w:p w:rsidR="00BD39A6" w:rsidRDefault="00BD39A6" w:rsidP="0046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CB5" w:rsidRPr="00DB3CB5" w:rsidRDefault="007C6683" w:rsidP="00DB3CB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2017 года исполнилось 15 лет со дня принятия Федерального закона  от 31 мая 2002г. № 63-ФЗ «Об адвокатской деятель</w:t>
      </w:r>
      <w:r w:rsidR="0010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адвокатуре в Российской </w:t>
      </w:r>
      <w:r w:rsid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AE27FD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[1.</w:t>
      </w:r>
      <w:hyperlink r:id="rId8" w:history="1">
        <w:r w:rsidR="00AE27FD" w:rsidRPr="00AE27FD">
          <w:rPr>
            <w:sz w:val="28"/>
            <w:szCs w:val="28"/>
            <w:u w:val="single"/>
          </w:rPr>
          <w:t>http://fparf.ru/documents/federal_legislation/laws/873/</w:t>
        </w:r>
      </w:hyperlink>
      <w:r w:rsidR="00AE27FD" w:rsidRPr="00AE27FD">
        <w:rPr>
          <w:sz w:val="28"/>
          <w:szCs w:val="28"/>
        </w:rPr>
        <w:t>]</w:t>
      </w:r>
      <w:r w:rsidR="001014A0" w:rsidRPr="001014A0">
        <w:rPr>
          <w:sz w:val="28"/>
          <w:szCs w:val="28"/>
        </w:rPr>
        <w:t xml:space="preserve">. </w:t>
      </w:r>
      <w:r w:rsid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Первым Всероссийским съездом адвокатов 31 января 2003 года Кодекс профессиональной этики адвоката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«Кодекс»</w:t>
      </w:r>
      <w:r w:rsid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27FD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[2. </w:t>
      </w:r>
      <w:hyperlink r:id="rId9" w:history="1">
        <w:r w:rsidR="00AE27FD" w:rsidRPr="00AE27FD">
          <w:rPr>
            <w:sz w:val="28"/>
            <w:szCs w:val="28"/>
            <w:u w:val="single"/>
          </w:rPr>
          <w:t>http://fparf.ru/documents/normative_acts/1059/</w:t>
        </w:r>
      </w:hyperlink>
      <w:r w:rsidR="00AE27FD" w:rsidRPr="00AE27FD">
        <w:rPr>
          <w:sz w:val="28"/>
          <w:szCs w:val="28"/>
        </w:rPr>
        <w:t>]</w:t>
      </w:r>
      <w:r w:rsidR="00AE27FD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 При этом в Кодексе особо подчеркивается обязанность адвокатов основывать свою деятельность на традициях. Так, в преамбуле Кодекса прямо указывается, что адвокаты принимают настоящий Кодекс в целях поддержания профессиональной чести, развития традиций российской (присяжной) адвокатуры</w:t>
      </w:r>
      <w:r w:rsidR="002824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сознавая нравственную ответственность перед обществом. Установленные Кодексом обязательные для каждого адвоката правила поведения при осуществлении адвокатской деятельности, основываются на нравственных критериях и традициях адвокатуры (ст. 1). В тех случаях, когда вопросы профессиональной этики адвоката не урегулированы законодательством об адвокатской деятельности и адвокатуре или Кодексом, адвокат должен соблюдать сложившиеся в адвокатуре обычаи и традиции, соответствующие общим принципам нравственности в обществе (п. 3 ст. 4).</w:t>
      </w:r>
      <w:r w:rsidR="001014A0">
        <w:rPr>
          <w:sz w:val="28"/>
          <w:szCs w:val="28"/>
        </w:rPr>
        <w:t xml:space="preserve"> </w:t>
      </w:r>
      <w:r w:rsidR="0028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7E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попытаемся проанализировать ситуацию с тем, как соотносятся обязанности адвоката основывать свою деятельность на нравственных критериях и традициях, а также соблюдать соответствующие общим принципам нравственности в обществе сложившиеся в адвокатуре обычаи и традиции, с очевидным пониманием необходимости использования в </w:t>
      </w:r>
      <w:r w:rsidR="00DB3CB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CB5" w:rsidRPr="00DB3CB5" w:rsidRDefault="00DB3CB5" w:rsidP="00DB3CB5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t>*Доклад подготовлен с использованием материалов СПС  «КонсультантПлюс».</w:t>
      </w:r>
    </w:p>
    <w:p w:rsidR="001014A0" w:rsidRDefault="001014A0" w:rsidP="001014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2F" w:rsidRPr="001014A0" w:rsidRDefault="007E3365" w:rsidP="001014A0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адвокатской практике достижений научно-технического прогресса</w:t>
      </w:r>
      <w:r w:rsidR="004C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современных технологий информационного инструментария и, в частности, с использованием информационно-телекоммуникационной сети «Интернет». </w:t>
      </w:r>
      <w:r w:rsidR="00A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D4B2F" w:rsidRDefault="007C6683" w:rsidP="00BD4B2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 Кодекса информация об адвокате и адвокатском образовании допустима, если она не содержит: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характеристик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адвоката;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отзывов других лиц о работе адвоката;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сравнений с другими</w:t>
      </w:r>
      <w:r w:rsid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адвокатами и критики других адвокатов;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заявлений, намеков, двусмысленностей, которые могут ввести в заблуждение потенциальных доверителей или вызывать у них безосновательные надежды. Кроме того, пунктом 2 этой статьи предусмотрено, что если  адвокату (адвокатскому образованию) стало известно о распространении без его ведома информации о его деятельности, которая не отвечает настоящим требованиям, он обязан сообщить об этом Совету. 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Вышеуказанная статья Кодекса на практике оказалась декларативной, поскольку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СМИ нередко можно увидеть информацию, прямо нарушающую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требования, а 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адвокаты, размещающие такую «информацию», никакой ответственности з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такое</w:t>
      </w:r>
      <w:r w:rsidR="00BD4B2F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не несут.</w:t>
      </w:r>
      <w:r w:rsidR="003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озабоченность вызывают нарушения ст. 17 Кодекса с использованием </w:t>
      </w:r>
      <w:r w:rsidR="003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</w:t>
      </w:r>
      <w:r w:rsidR="003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6FDB" w:rsidRPr="00AE27FD" w:rsidRDefault="007C6683" w:rsidP="00AE27F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6D7F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9A6FDB" w:rsidRPr="006D7F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2014 году Международной ассоциацией юристов  (</w:t>
      </w:r>
      <w:r w:rsidR="009A6FDB" w:rsidRPr="006D7F7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IBA</w:t>
      </w:r>
      <w:r w:rsidR="009A6FDB" w:rsidRPr="006D7F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были приняты </w:t>
      </w:r>
      <w:r w:rsidR="009A6FDB" w:rsidRPr="006D7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принципы поведения специалистов в области права в социальных сетях (далее по тексту – «Международные принципы»)</w:t>
      </w:r>
      <w:r w:rsidR="00AE27FD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[3. </w:t>
      </w:r>
      <w:hyperlink r:id="rId10" w:history="1">
        <w:r w:rsidR="00AE27FD" w:rsidRPr="00AE27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http://fparf.ru/documents/international_acts/13613/</w:t>
        </w:r>
      </w:hyperlink>
      <w:r w:rsidR="00AE27FD" w:rsidRP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A6FDB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FDB" w:rsidRPr="006D7F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D7F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</w:t>
      </w:r>
      <w:r w:rsidR="009A6FDB" w:rsidRPr="006D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стало оказание помощи ассоциациям юристов и органам, регулирующим деятельность юристов, в использовании социальных сетей  таким способом, который соответствует принципам профессиональной ответственности и корректности. Подчеркнута особая важность принципов в связи с тем, что социальные сети используются в качестве платформы для отправления правосудия, привлечения общественности к участию в юридической практике и обсуждениях. Однако социальные сети могут использоваться недолжным образом, что может привести к действиям, которые идут вразрез с установленными практиками. Потому Международные принципы прямо указали, что «социальные сети следует в любое время использовать в соответствии с обязательствами, принятыми юристом согласно правилам профессиональной ответственности, учитывая более широкие принципы отправления правосудия». </w:t>
      </w:r>
    </w:p>
    <w:p w:rsidR="00103F83" w:rsidRDefault="007C6683" w:rsidP="00103F8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7F7A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 2016 года решением Совета Федеральной палаты адвокатов (Протокол №7)</w:t>
      </w:r>
      <w:r w:rsidR="006D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приняты </w:t>
      </w:r>
      <w:r w:rsidR="0004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B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адвокатов в информационно-телекоммуникационной сети Интернет</w:t>
      </w:r>
      <w:r w:rsidR="006D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«Правила»)</w:t>
      </w:r>
      <w:r w:rsidR="00AE27FD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[4. </w:t>
      </w:r>
      <w:hyperlink r:id="rId11" w:history="1">
        <w:r w:rsidR="00AE27FD" w:rsidRPr="00AE27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http://fparf.ru/documents/council_documents/council_recommendations/28316/</w:t>
        </w:r>
      </w:hyperlink>
      <w:r w:rsidR="00AE27FD" w:rsidRPr="00AE27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6D7F7A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012" w:rsidRPr="009B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п. 1.1. </w:t>
      </w:r>
      <w:r w:rsidR="009B3012" w:rsidRPr="0010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указывается, что</w:t>
      </w:r>
      <w:r w:rsidR="009B3012" w:rsidRPr="00103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свободно выражать мнение, а также получать, производить, передавать и распространять информацию любым законным способом является одним из основных неотчуждаемых прав человека, гарантированных Конституцией Российской Федерации, законодательством Российской Федерации и общепризнанными принципами и нормами международного права, и в силу этого в полной мере распространяется на адво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катов. П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ринадлежность к адвокатскому сообществу как институту гражданского общества предполагает наличие у членов этого сообщества активной гражданской позиции, выражаемой ими, в том числе, публично как по правовым, так и по иным социально значимым проблемам. Проявление этой позиции должно осуществляться с неукоснительным соблюдением принципов профессионального поведения адвокатов и традиций российской адвокатуры, способствовать укреплению доверия как к конкретным адвокатам, так и к адвокатскому сообществу в целом, росту их авторитета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(п.1.2)</w:t>
      </w:r>
      <w:r w:rsid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в соответствии с п.1.3., в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ступая в адвокатское сообщество и принося присягу, адвокат добровольно принимает установленные правила поведения, вытекающие из характера и особенностей избранной им профессии. Поведение адвоката в сети «Интернет»</w:t>
      </w:r>
      <w:r w:rsidR="009B3012" w:rsidRPr="00EE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форма его публичной активности должно отвечать тем же требованиям, что и иные действия адвоката в профессиональной сфере, при условии, что очевидна принадлежность адвоката к адвокатскому сообществу или это недвусмысле</w:t>
      </w:r>
      <w:r w:rsid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 явствует из его поведения.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основаны на Федеральном законе «Об адвокатской деятельности и адвокатуре в Российской Федерации» и Кодексе профессиональной этики адвоката. Нарушение адвокатами настоящих Правил может расцениваться как нарушение правил адвокатской профессии и норм профессиональной этики адвоката и стать основанием для привлечения к дисциплинарной ответственности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перечислены </w:t>
      </w:r>
      <w:r w:rsidR="00103F83" w:rsidRPr="0010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9B3012" w:rsidRPr="0010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принципы деятельности адвоката в сети «Интернет»</w:t>
      </w:r>
      <w:r w:rsidR="009B3012" w:rsidRPr="0010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B3012" w:rsidRPr="00103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Сдержанность и корректность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012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Корпоративность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 хотелось бы отметить, что  </w:t>
      </w:r>
      <w:r w:rsidR="00103F83" w:rsidRPr="00103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распространяются на использование сети «Интернет» адв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окатскими образованиями, а р</w:t>
      </w:r>
      <w:r w:rsidR="00103F83" w:rsidRP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 адвокатских образований (подразделений) должны довести Правила до всех адвокатов и сотрудников, определить ответственных за ведение сайта (страницы) адвокатского образования и контролироват</w:t>
      </w:r>
      <w:r w:rsidR="007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соблюдение настоящих Правил. </w:t>
      </w:r>
      <w:r w:rsid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вышеуказанных Правил поведения адвокатов в Интернете </w:t>
      </w:r>
      <w:r w:rsid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Кодекса </w:t>
      </w:r>
      <w:r w:rsidR="001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сайтах, форумах и в социальных сетях фактически оставались безнаказанными. С принятием Правил ситуация будет меняться. Для реагирования на нарушения появились достаточно четкие основания. </w:t>
      </w:r>
    </w:p>
    <w:p w:rsidR="0070647F" w:rsidRPr="00BD3948" w:rsidRDefault="00BD3948" w:rsidP="00BD394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двокатская деятельнос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объединяет  </w:t>
      </w:r>
      <w:r w:rsidR="00E84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изационную деятельность</w:t>
      </w:r>
      <w:r w:rsidR="00E8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деятельность по оказанию квалифицированной юридической помощи. 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</w:t>
      </w:r>
      <w:r w:rsidR="00E8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адвокатская деятельность – это 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8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оказание юридической помощи. 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Ошибочен вывод некоторых коллег </w:t>
      </w:r>
      <w:r w:rsidR="00F47D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всё, не относящееся к оказанию юридической помощи доверителю, не являе</w:t>
      </w:r>
      <w:r w:rsidR="0027483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адвокатской деятельностью</w:t>
      </w:r>
      <w:r w:rsidR="00F4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соответственно, на любые действия адвоката, не связанные с юридической помощью доверителю, не могут распространяться требования Кодекса</w:t>
      </w:r>
      <w:r w:rsid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</w:t>
      </w:r>
      <w:r w:rsidR="00F4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7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опытки сузить рамки адвокатской деятельности только до непосредственно юридической помощи вольно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невольно способствуют появлению</w:t>
      </w:r>
      <w:r w:rsidR="00F4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некоторых коллег ощущения вседозволенности, проявляющейся, в том числе, и</w:t>
      </w:r>
      <w:r w:rsidR="007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безнравственном поведении</w:t>
      </w:r>
      <w:r w:rsidR="00F4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адвокатами разл</w:t>
      </w:r>
      <w:r w:rsidR="007B7D0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информационных технологий, включая</w:t>
      </w:r>
      <w:r w:rsidR="00F4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наполнение сайта, активное участие в различных форумах и социальны</w:t>
      </w:r>
      <w:r w:rsidR="007B7D07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сетях</w:t>
      </w:r>
      <w:r w:rsidR="007B2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7FD" w:rsidRPr="00DB3CB5" w:rsidRDefault="001915BB" w:rsidP="00DB3CB5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Адвокаты регулярно получают, хранят  и передают все большее </w:t>
      </w:r>
      <w:r w:rsidR="007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различной информации</w:t>
      </w:r>
      <w:r w:rsidR="007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значение информационных технологий для адвокатской деятельности.</w:t>
      </w:r>
      <w:r w:rsidR="007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Применяя различные инновационные разработки, необходимо 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помнить о должной осмотрительности.</w:t>
      </w:r>
      <w:r w:rsidR="0070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4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7B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</w:t>
      </w:r>
      <w:r w:rsidR="007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информационно-телекоммуни</w:t>
      </w:r>
      <w:r w:rsidR="00BD3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 сети Интернет, включая</w:t>
      </w:r>
      <w:r w:rsidR="007B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требований</w:t>
      </w:r>
      <w:r w:rsidR="00CF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информации от нежелательного разглашения, утраты или несанкционированного доступа</w:t>
      </w:r>
      <w:r w:rsid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привести к сер</w:t>
      </w:r>
      <w:r w:rsidR="00770BE6">
        <w:rPr>
          <w:rFonts w:ascii="Times New Roman" w:eastAsia="Times New Roman" w:hAnsi="Times New Roman" w:cs="Times New Roman"/>
          <w:sz w:val="28"/>
          <w:szCs w:val="28"/>
          <w:lang w:eastAsia="ru-RU"/>
        </w:rPr>
        <w:t>ьезным репутационным последствиям для адвокатов.</w:t>
      </w:r>
      <w:r w:rsidR="00DF4517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Успешности инноваций в адвокатской деятельности несомненно будет способствовать реализация принципов Хартии, </w:t>
      </w:r>
      <w:r w:rsidR="007C6683" w:rsidRPr="007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принятой </w:t>
      </w:r>
      <w:r w:rsidR="007C6683" w:rsidRPr="007C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VI Петербургском</w:t>
      </w:r>
      <w:r w:rsidR="007C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7C6683" w:rsidRPr="007C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Международном Юридическом Форуме</w:t>
      </w:r>
      <w:r w:rsidR="007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</w:t>
      </w:r>
      <w:r w:rsidR="007C6683" w:rsidRPr="007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адвокатов Республики Армения, Республиканской коллегии адвокатов Республики Беларусь, Ассоциации адвокатов Грузии, Республиканской коллегии адвокатов Республики Казахстан, Адвокатуры Кыргызской Республики, Федеральной палаты адвокатов Российской Федерации, Союза адвокатов Республики Таджикистан, Палаты </w:t>
      </w:r>
      <w:r w:rsidR="007C6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адвокатов Республики Узбекистан</w:t>
      </w:r>
      <w:r w:rsidR="00AE27FD" w:rsidRPr="00AE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[5. </w:t>
      </w:r>
      <w:hyperlink r:id="rId12" w:history="1">
        <w:r w:rsidR="00AE27FD" w:rsidRPr="00AE27FD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u w:val="single"/>
            <w:lang w:eastAsia="ru-RU"/>
          </w:rPr>
          <w:t>http://fparf.ru/documents/international_acts/21635/</w:t>
        </w:r>
      </w:hyperlink>
      <w:r w:rsidR="00AE27FD" w:rsidRPr="001014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].</w:t>
      </w:r>
    </w:p>
    <w:p w:rsidR="00E5343A" w:rsidRPr="001014A0" w:rsidRDefault="007C6683" w:rsidP="0010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948" w:rsidRPr="00BD3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источников:</w:t>
      </w:r>
    </w:p>
    <w:p w:rsidR="001014A0" w:rsidRPr="001014A0" w:rsidRDefault="001014A0" w:rsidP="001014A0">
      <w:pPr>
        <w:pStyle w:val="aa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014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Федеральный закон от  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31.05.2002 N 63-ФЗ</w:t>
      </w:r>
      <w:r w:rsidRPr="001014A0">
        <w:rPr>
          <w:b/>
          <w:sz w:val="28"/>
          <w:szCs w:val="28"/>
        </w:rPr>
        <w:t xml:space="preserve"> «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адвокатской деятельности и адвокатуре в РФ». </w:t>
      </w:r>
      <w:hyperlink r:id="rId13" w:history="1">
        <w:r w:rsidRPr="001014A0">
          <w:rPr>
            <w:rStyle w:val="ab"/>
            <w:b/>
            <w:color w:val="auto"/>
            <w:sz w:val="28"/>
            <w:szCs w:val="28"/>
          </w:rPr>
          <w:t>http://fparf.ru/documents/federal_legislation/laws/873/</w:t>
        </w:r>
      </w:hyperlink>
    </w:p>
    <w:p w:rsidR="001014A0" w:rsidRPr="001014A0" w:rsidRDefault="001014A0" w:rsidP="001014A0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4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Кодекс 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этики адвоката</w:t>
      </w:r>
      <w:r w:rsidR="00DB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31.01.2003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1014A0">
          <w:rPr>
            <w:rStyle w:val="ab"/>
            <w:b/>
            <w:color w:val="auto"/>
            <w:sz w:val="28"/>
            <w:szCs w:val="28"/>
          </w:rPr>
          <w:t>http://fparf.ru/documents/normative_acts/1059/</w:t>
        </w:r>
      </w:hyperlink>
    </w:p>
    <w:p w:rsidR="001014A0" w:rsidRPr="001014A0" w:rsidRDefault="001014A0" w:rsidP="001014A0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4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Международные принципы  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поведения специалистов в области права в социальных сетях  от 24.05.2014 </w:t>
      </w:r>
      <w:hyperlink r:id="rId15" w:history="1">
        <w:r w:rsidRPr="001014A0">
          <w:rPr>
            <w:rStyle w:val="ab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http://fparf.ru/documents/international_acts/13613/</w:t>
        </w:r>
      </w:hyperlink>
    </w:p>
    <w:p w:rsidR="001014A0" w:rsidRPr="001014A0" w:rsidRDefault="001014A0" w:rsidP="001014A0">
      <w:pPr>
        <w:pStyle w:val="aa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4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Правила 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 адвокатов в информационно-телекоммуникационной сети «Интернет»</w:t>
      </w:r>
      <w:r w:rsidRPr="001014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28.09.2016 (Протокол №7)</w:t>
      </w:r>
      <w:r w:rsidRPr="00BC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1014A0">
          <w:rPr>
            <w:rStyle w:val="ab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http://fparf.ru/documents/council_documents/council_recommendations/28316</w:t>
        </w:r>
        <w:r w:rsidRPr="001014A0">
          <w:rPr>
            <w:rStyle w:val="ab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</w:p>
    <w:p w:rsidR="00024C2E" w:rsidRPr="00DB3CB5" w:rsidRDefault="001014A0" w:rsidP="00DB3CB5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14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Хартия 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основополагающих принципов адвокатской деятельности </w:t>
      </w:r>
      <w:r w:rsidRPr="001014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</w:t>
      </w:r>
      <w:r w:rsidRPr="00101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19.05.2016 </w:t>
      </w:r>
      <w:hyperlink r:id="rId17" w:history="1">
        <w:r w:rsidRPr="001014A0">
          <w:rPr>
            <w:rStyle w:val="ab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lang w:eastAsia="ru-RU"/>
          </w:rPr>
          <w:t>http://fparf.ru/documents/international_acts/21635/</w:t>
        </w:r>
      </w:hyperlink>
      <w:r w:rsidR="00024C2E" w:rsidRPr="00DB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4517" w:rsidRPr="00B60512" w:rsidRDefault="00DF4517" w:rsidP="00464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4517" w:rsidRPr="00B60512" w:rsidSect="00464139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D7" w:rsidRDefault="002924D7" w:rsidP="00281A75">
      <w:pPr>
        <w:spacing w:after="0" w:line="240" w:lineRule="auto"/>
      </w:pPr>
      <w:r>
        <w:separator/>
      </w:r>
    </w:p>
  </w:endnote>
  <w:endnote w:type="continuationSeparator" w:id="0">
    <w:p w:rsidR="002924D7" w:rsidRDefault="002924D7" w:rsidP="0028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366779"/>
      <w:docPartObj>
        <w:docPartGallery w:val="Page Numbers (Bottom of Page)"/>
        <w:docPartUnique/>
      </w:docPartObj>
    </w:sdtPr>
    <w:sdtEndPr/>
    <w:sdtContent>
      <w:p w:rsidR="00281A75" w:rsidRDefault="00281A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D7">
          <w:rPr>
            <w:noProof/>
          </w:rPr>
          <w:t>1</w:t>
        </w:r>
        <w:r>
          <w:fldChar w:fldCharType="end"/>
        </w:r>
      </w:p>
    </w:sdtContent>
  </w:sdt>
  <w:p w:rsidR="00281A75" w:rsidRDefault="00281A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D7" w:rsidRDefault="002924D7" w:rsidP="00281A75">
      <w:pPr>
        <w:spacing w:after="0" w:line="240" w:lineRule="auto"/>
      </w:pPr>
      <w:r>
        <w:separator/>
      </w:r>
    </w:p>
  </w:footnote>
  <w:footnote w:type="continuationSeparator" w:id="0">
    <w:p w:rsidR="002924D7" w:rsidRDefault="002924D7" w:rsidP="0028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4FB"/>
    <w:multiLevelType w:val="hybridMultilevel"/>
    <w:tmpl w:val="4BE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C80"/>
    <w:multiLevelType w:val="hybridMultilevel"/>
    <w:tmpl w:val="0A80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19E4"/>
    <w:multiLevelType w:val="hybridMultilevel"/>
    <w:tmpl w:val="06DCA6EE"/>
    <w:lvl w:ilvl="0" w:tplc="7CA42C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82338BF"/>
    <w:multiLevelType w:val="hybridMultilevel"/>
    <w:tmpl w:val="46F221CA"/>
    <w:lvl w:ilvl="0" w:tplc="9014E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25"/>
    <w:rsid w:val="00024C2E"/>
    <w:rsid w:val="00040D6A"/>
    <w:rsid w:val="001014A0"/>
    <w:rsid w:val="00103F83"/>
    <w:rsid w:val="00125AF5"/>
    <w:rsid w:val="001915BB"/>
    <w:rsid w:val="001B2D19"/>
    <w:rsid w:val="001E1096"/>
    <w:rsid w:val="00274835"/>
    <w:rsid w:val="00276423"/>
    <w:rsid w:val="002816BD"/>
    <w:rsid w:val="00281A75"/>
    <w:rsid w:val="002824E2"/>
    <w:rsid w:val="00286F25"/>
    <w:rsid w:val="002924D7"/>
    <w:rsid w:val="00303C91"/>
    <w:rsid w:val="00325F42"/>
    <w:rsid w:val="00375446"/>
    <w:rsid w:val="0041013C"/>
    <w:rsid w:val="00464139"/>
    <w:rsid w:val="004C7A42"/>
    <w:rsid w:val="004E2395"/>
    <w:rsid w:val="00540C1D"/>
    <w:rsid w:val="0055232B"/>
    <w:rsid w:val="005549F9"/>
    <w:rsid w:val="006802C8"/>
    <w:rsid w:val="006919E6"/>
    <w:rsid w:val="006A636D"/>
    <w:rsid w:val="006D7F7A"/>
    <w:rsid w:val="00703E17"/>
    <w:rsid w:val="0070647F"/>
    <w:rsid w:val="0076119D"/>
    <w:rsid w:val="00770BE6"/>
    <w:rsid w:val="00773B60"/>
    <w:rsid w:val="007B29D0"/>
    <w:rsid w:val="007B7D07"/>
    <w:rsid w:val="007C6683"/>
    <w:rsid w:val="007D75C3"/>
    <w:rsid w:val="007E3365"/>
    <w:rsid w:val="007F1584"/>
    <w:rsid w:val="008704F5"/>
    <w:rsid w:val="008C7D3A"/>
    <w:rsid w:val="009827C2"/>
    <w:rsid w:val="009A6FDB"/>
    <w:rsid w:val="009B3012"/>
    <w:rsid w:val="009D1638"/>
    <w:rsid w:val="009E1DC4"/>
    <w:rsid w:val="00A51B39"/>
    <w:rsid w:val="00A538B3"/>
    <w:rsid w:val="00A62C0B"/>
    <w:rsid w:val="00AB27E6"/>
    <w:rsid w:val="00AD4AC0"/>
    <w:rsid w:val="00AE27FD"/>
    <w:rsid w:val="00B1715C"/>
    <w:rsid w:val="00B341E8"/>
    <w:rsid w:val="00B60512"/>
    <w:rsid w:val="00B65D16"/>
    <w:rsid w:val="00BB161A"/>
    <w:rsid w:val="00BD3948"/>
    <w:rsid w:val="00BD39A6"/>
    <w:rsid w:val="00BD4B2F"/>
    <w:rsid w:val="00BE2672"/>
    <w:rsid w:val="00C51F03"/>
    <w:rsid w:val="00C87C44"/>
    <w:rsid w:val="00CD5A40"/>
    <w:rsid w:val="00CE00CE"/>
    <w:rsid w:val="00CF7B8C"/>
    <w:rsid w:val="00D22500"/>
    <w:rsid w:val="00D7005F"/>
    <w:rsid w:val="00D82E57"/>
    <w:rsid w:val="00DB3CB5"/>
    <w:rsid w:val="00DD3195"/>
    <w:rsid w:val="00DF4517"/>
    <w:rsid w:val="00E2632F"/>
    <w:rsid w:val="00E37372"/>
    <w:rsid w:val="00E5343A"/>
    <w:rsid w:val="00E6617E"/>
    <w:rsid w:val="00E8116F"/>
    <w:rsid w:val="00E84F0C"/>
    <w:rsid w:val="00EF28E8"/>
    <w:rsid w:val="00F05D77"/>
    <w:rsid w:val="00F11EF1"/>
    <w:rsid w:val="00F47D05"/>
    <w:rsid w:val="00F866A9"/>
    <w:rsid w:val="00FA3225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5"/>
  </w:style>
  <w:style w:type="paragraph" w:styleId="1">
    <w:name w:val="heading 1"/>
    <w:basedOn w:val="a"/>
    <w:next w:val="a"/>
    <w:link w:val="10"/>
    <w:uiPriority w:val="9"/>
    <w:qFormat/>
    <w:rsid w:val="00024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5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6119D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1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A75"/>
  </w:style>
  <w:style w:type="paragraph" w:styleId="a8">
    <w:name w:val="footer"/>
    <w:basedOn w:val="a"/>
    <w:link w:val="a9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A75"/>
  </w:style>
  <w:style w:type="paragraph" w:styleId="aa">
    <w:name w:val="List Paragraph"/>
    <w:basedOn w:val="a"/>
    <w:uiPriority w:val="34"/>
    <w:qFormat/>
    <w:rsid w:val="00281A75"/>
    <w:pPr>
      <w:ind w:left="720"/>
      <w:contextualSpacing/>
    </w:pPr>
  </w:style>
  <w:style w:type="paragraph" w:customStyle="1" w:styleId="ConsPlusNormal">
    <w:name w:val="ConsPlusNormal"/>
    <w:rsid w:val="00C51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55232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20">
    <w:name w:val="Font Style20"/>
    <w:rsid w:val="0055232B"/>
    <w:rPr>
      <w:rFonts w:ascii="Times New Roman" w:hAnsi="Times New Roman" w:cs="Times New Roman"/>
      <w:sz w:val="18"/>
      <w:szCs w:val="18"/>
    </w:rPr>
  </w:style>
  <w:style w:type="character" w:styleId="ab">
    <w:name w:val="Hyperlink"/>
    <w:uiPriority w:val="99"/>
    <w:unhideWhenUsed/>
    <w:rsid w:val="00552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5"/>
  </w:style>
  <w:style w:type="paragraph" w:styleId="1">
    <w:name w:val="heading 1"/>
    <w:basedOn w:val="a"/>
    <w:next w:val="a"/>
    <w:link w:val="10"/>
    <w:uiPriority w:val="9"/>
    <w:qFormat/>
    <w:rsid w:val="00024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5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6119D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1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A75"/>
  </w:style>
  <w:style w:type="paragraph" w:styleId="a8">
    <w:name w:val="footer"/>
    <w:basedOn w:val="a"/>
    <w:link w:val="a9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A75"/>
  </w:style>
  <w:style w:type="paragraph" w:styleId="aa">
    <w:name w:val="List Paragraph"/>
    <w:basedOn w:val="a"/>
    <w:uiPriority w:val="34"/>
    <w:qFormat/>
    <w:rsid w:val="00281A75"/>
    <w:pPr>
      <w:ind w:left="720"/>
      <w:contextualSpacing/>
    </w:pPr>
  </w:style>
  <w:style w:type="paragraph" w:customStyle="1" w:styleId="ConsPlusNormal">
    <w:name w:val="ConsPlusNormal"/>
    <w:rsid w:val="00C51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55232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20">
    <w:name w:val="Font Style20"/>
    <w:rsid w:val="0055232B"/>
    <w:rPr>
      <w:rFonts w:ascii="Times New Roman" w:hAnsi="Times New Roman" w:cs="Times New Roman"/>
      <w:sz w:val="18"/>
      <w:szCs w:val="18"/>
    </w:rPr>
  </w:style>
  <w:style w:type="character" w:styleId="ab">
    <w:name w:val="Hyperlink"/>
    <w:uiPriority w:val="99"/>
    <w:unhideWhenUsed/>
    <w:rsid w:val="0055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arf.ru/documents/federal_legislation/laws/873/" TargetMode="External"/><Relationship Id="rId13" Type="http://schemas.openxmlformats.org/officeDocument/2006/relationships/hyperlink" Target="http://fparf.ru/documents/federal_legislation/laws/873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parf.ru/documents/international_acts/21635/" TargetMode="External"/><Relationship Id="rId17" Type="http://schemas.openxmlformats.org/officeDocument/2006/relationships/hyperlink" Target="http://fparf.ru/documents/international_acts/216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fparf.ru/documents/council_documents/council_recommendations/2831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parf.ru/documents/council_documents/council_recommendations/283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parf.ru/documents/international_acts/13613/" TargetMode="External"/><Relationship Id="rId10" Type="http://schemas.openxmlformats.org/officeDocument/2006/relationships/hyperlink" Target="http://fparf.ru/documents/international_acts/1361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parf.ru/documents/normative_acts/1059/" TargetMode="External"/><Relationship Id="rId14" Type="http://schemas.openxmlformats.org/officeDocument/2006/relationships/hyperlink" Target="http://fparf.ru/documents/normative_acts/10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2014 году Международной ассоциацией юристов  (IBA) были приняты Междун</vt:lpstr>
      <vt:lpstr>Кодекс профессиональной этики адвоката от 31.01.2003 http://fparf.ru/documents/n</vt:lpstr>
      <vt:lpstr>Международные принципы  поведения специалистов в области права в социальных сетя</vt:lpstr>
      <vt:lpstr>Хартия основополагающих принципов адвокатской деятельности  от 19.05.2016 http:/</vt:lpstr>
    </vt:vector>
  </TitlesOfParts>
  <Company>Hewlett-Packard Company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Бардин</dc:creator>
  <cp:lastModifiedBy>Лев Бардин</cp:lastModifiedBy>
  <cp:revision>2</cp:revision>
  <cp:lastPrinted>2015-04-01T15:26:00Z</cp:lastPrinted>
  <dcterms:created xsi:type="dcterms:W3CDTF">2017-08-19T14:09:00Z</dcterms:created>
  <dcterms:modified xsi:type="dcterms:W3CDTF">2017-08-19T14:09:00Z</dcterms:modified>
</cp:coreProperties>
</file>