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790" w:rsidRDefault="00BB5790" w:rsidP="00C146E7">
      <w:pPr>
        <w:rPr>
          <w:rFonts w:ascii="Times New Roman" w:hAnsi="Times New Roman" w:cs="Times New Roman"/>
          <w:sz w:val="28"/>
          <w:szCs w:val="28"/>
        </w:rPr>
      </w:pPr>
    </w:p>
    <w:p w:rsidR="00F21655" w:rsidRDefault="00F21655" w:rsidP="00C146E7">
      <w:pPr>
        <w:rPr>
          <w:rFonts w:ascii="Times New Roman" w:hAnsi="Times New Roman" w:cs="Times New Roman"/>
          <w:sz w:val="28"/>
          <w:szCs w:val="28"/>
        </w:rPr>
      </w:pPr>
      <w:bookmarkStart w:id="0" w:name="_GoBack"/>
      <w:bookmarkEnd w:id="0"/>
      <w:r w:rsidRPr="00F17A21">
        <w:rPr>
          <w:rFonts w:ascii="Times New Roman" w:hAnsi="Times New Roman" w:cs="Times New Roman"/>
          <w:sz w:val="28"/>
          <w:szCs w:val="28"/>
        </w:rPr>
        <w:t>Перспективы как неизбежность реформы</w:t>
      </w:r>
      <w:r w:rsidR="002B6144">
        <w:rPr>
          <w:rFonts w:ascii="Times New Roman" w:hAnsi="Times New Roman" w:cs="Times New Roman"/>
          <w:sz w:val="28"/>
          <w:szCs w:val="28"/>
          <w:vertAlign w:val="superscript"/>
        </w:rPr>
        <w:t>*</w:t>
      </w:r>
      <w:r w:rsidRPr="00F17A21">
        <w:rPr>
          <w:rFonts w:ascii="Times New Roman" w:hAnsi="Times New Roman" w:cs="Times New Roman"/>
          <w:sz w:val="28"/>
          <w:szCs w:val="28"/>
        </w:rPr>
        <w:t>.</w:t>
      </w:r>
    </w:p>
    <w:p w:rsidR="002B6144" w:rsidRDefault="002B6144" w:rsidP="00C146E7">
      <w:pPr>
        <w:rPr>
          <w:rFonts w:ascii="Times New Roman" w:hAnsi="Times New Roman" w:cs="Times New Roman"/>
          <w:sz w:val="28"/>
          <w:szCs w:val="28"/>
        </w:rPr>
      </w:pPr>
    </w:p>
    <w:p w:rsidR="002B6144" w:rsidRDefault="00AE6027" w:rsidP="002B6144">
      <w:pPr>
        <w:spacing w:line="240" w:lineRule="auto"/>
        <w:rPr>
          <w:rFonts w:ascii="Times New Roman" w:hAnsi="Times New Roman" w:cs="Times New Roman"/>
          <w:sz w:val="28"/>
          <w:szCs w:val="28"/>
        </w:rPr>
      </w:pPr>
      <w:r>
        <w:rPr>
          <w:rFonts w:ascii="Times New Roman" w:hAnsi="Times New Roman" w:cs="Times New Roman"/>
          <w:sz w:val="28"/>
          <w:szCs w:val="28"/>
        </w:rPr>
        <w:t>Бардин Лев Николаевич,</w:t>
      </w:r>
    </w:p>
    <w:p w:rsidR="00AE6027" w:rsidRDefault="002B6144" w:rsidP="002B6144">
      <w:pPr>
        <w:spacing w:line="240" w:lineRule="auto"/>
        <w:rPr>
          <w:rFonts w:ascii="Times New Roman" w:hAnsi="Times New Roman" w:cs="Times New Roman"/>
          <w:sz w:val="28"/>
          <w:szCs w:val="28"/>
        </w:rPr>
      </w:pPr>
      <w:r>
        <w:rPr>
          <w:rFonts w:ascii="Times New Roman" w:hAnsi="Times New Roman" w:cs="Times New Roman"/>
          <w:sz w:val="28"/>
          <w:szCs w:val="28"/>
        </w:rPr>
        <w:t>а</w:t>
      </w:r>
      <w:r w:rsidR="00AE6027">
        <w:rPr>
          <w:rFonts w:ascii="Times New Roman" w:hAnsi="Times New Roman" w:cs="Times New Roman"/>
          <w:sz w:val="28"/>
          <w:szCs w:val="28"/>
        </w:rPr>
        <w:t>двокат, член Совета Адвокатской палаты г. Москвы,</w:t>
      </w:r>
    </w:p>
    <w:p w:rsidR="00AE6027" w:rsidRDefault="002B6144" w:rsidP="002B6144">
      <w:pPr>
        <w:spacing w:line="240" w:lineRule="auto"/>
        <w:rPr>
          <w:rFonts w:ascii="Times New Roman" w:hAnsi="Times New Roman" w:cs="Times New Roman"/>
          <w:sz w:val="28"/>
          <w:szCs w:val="28"/>
        </w:rPr>
      </w:pPr>
      <w:r>
        <w:rPr>
          <w:rFonts w:ascii="Times New Roman" w:hAnsi="Times New Roman" w:cs="Times New Roman"/>
          <w:sz w:val="28"/>
          <w:szCs w:val="28"/>
        </w:rPr>
        <w:t>к</w:t>
      </w:r>
      <w:r w:rsidR="00AE6027">
        <w:rPr>
          <w:rFonts w:ascii="Times New Roman" w:hAnsi="Times New Roman" w:cs="Times New Roman"/>
          <w:sz w:val="28"/>
          <w:szCs w:val="28"/>
        </w:rPr>
        <w:t xml:space="preserve">андидат юридических наук, доцент факультета права </w:t>
      </w:r>
    </w:p>
    <w:p w:rsidR="00AE6027" w:rsidRDefault="00AE6027" w:rsidP="002B6144">
      <w:pPr>
        <w:spacing w:line="240" w:lineRule="auto"/>
        <w:rPr>
          <w:rFonts w:ascii="Times New Roman" w:hAnsi="Times New Roman" w:cs="Times New Roman"/>
          <w:sz w:val="28"/>
          <w:szCs w:val="28"/>
        </w:rPr>
      </w:pPr>
      <w:r>
        <w:rPr>
          <w:rFonts w:ascii="Times New Roman" w:hAnsi="Times New Roman" w:cs="Times New Roman"/>
          <w:sz w:val="28"/>
          <w:szCs w:val="28"/>
        </w:rPr>
        <w:t>Национального исследовательского университета</w:t>
      </w:r>
      <w:r w:rsidR="002B6144">
        <w:rPr>
          <w:rFonts w:ascii="Times New Roman" w:hAnsi="Times New Roman" w:cs="Times New Roman"/>
          <w:sz w:val="28"/>
          <w:szCs w:val="28"/>
        </w:rPr>
        <w:t xml:space="preserve"> -</w:t>
      </w:r>
    </w:p>
    <w:p w:rsidR="00AE6027" w:rsidRPr="00F17A21" w:rsidRDefault="00AE6027" w:rsidP="002B6144">
      <w:pPr>
        <w:spacing w:line="240" w:lineRule="auto"/>
        <w:rPr>
          <w:rFonts w:ascii="Times New Roman" w:hAnsi="Times New Roman" w:cs="Times New Roman"/>
          <w:sz w:val="28"/>
          <w:szCs w:val="28"/>
        </w:rPr>
      </w:pPr>
      <w:r>
        <w:rPr>
          <w:rFonts w:ascii="Times New Roman" w:hAnsi="Times New Roman" w:cs="Times New Roman"/>
          <w:sz w:val="28"/>
          <w:szCs w:val="28"/>
        </w:rPr>
        <w:t>Высшая школа экономики</w:t>
      </w:r>
    </w:p>
    <w:p w:rsidR="002B6144" w:rsidRDefault="00C146E7" w:rsidP="00F2165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21655" w:rsidRPr="00F17A21" w:rsidRDefault="00144227" w:rsidP="00F2165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6144">
        <w:rPr>
          <w:rFonts w:ascii="Times New Roman" w:hAnsi="Times New Roman" w:cs="Times New Roman"/>
          <w:sz w:val="28"/>
          <w:szCs w:val="28"/>
        </w:rPr>
        <w:t xml:space="preserve"> </w:t>
      </w:r>
      <w:r w:rsidR="00F21655" w:rsidRPr="00F17A21">
        <w:rPr>
          <w:rFonts w:ascii="Times New Roman" w:hAnsi="Times New Roman" w:cs="Times New Roman"/>
          <w:sz w:val="28"/>
          <w:szCs w:val="28"/>
        </w:rPr>
        <w:t xml:space="preserve">В различных толковых словарях понятию «перспектива/перспективы» дается целый ряд разных толкований. </w:t>
      </w:r>
      <w:r w:rsidR="00F21655" w:rsidRPr="003C4388">
        <w:rPr>
          <w:rFonts w:ascii="Times New Roman" w:hAnsi="Times New Roman" w:cs="Times New Roman"/>
          <w:sz w:val="28"/>
          <w:szCs w:val="28"/>
        </w:rPr>
        <w:t>Относительно</w:t>
      </w:r>
      <w:r w:rsidR="00F21655">
        <w:rPr>
          <w:rFonts w:ascii="Times New Roman" w:hAnsi="Times New Roman" w:cs="Times New Roman"/>
          <w:sz w:val="28"/>
          <w:szCs w:val="28"/>
        </w:rPr>
        <w:t xml:space="preserve"> гражданского процессуального права</w:t>
      </w:r>
      <w:r w:rsidR="00F21655" w:rsidRPr="00F17A21">
        <w:rPr>
          <w:rFonts w:ascii="Times New Roman" w:hAnsi="Times New Roman" w:cs="Times New Roman"/>
          <w:sz w:val="28"/>
          <w:szCs w:val="28"/>
        </w:rPr>
        <w:t xml:space="preserve">  в первую очередь следовало бы говорить о перспективах как планах, видах на будущее.  Вместе с тем, представляется весьма уместным  </w:t>
      </w:r>
      <w:r w:rsidR="00F21655" w:rsidRPr="003C4388">
        <w:rPr>
          <w:rFonts w:ascii="Times New Roman" w:hAnsi="Times New Roman" w:cs="Times New Roman"/>
          <w:sz w:val="28"/>
          <w:szCs w:val="28"/>
        </w:rPr>
        <w:t>использовать</w:t>
      </w:r>
      <w:r w:rsidR="00F21655">
        <w:rPr>
          <w:rFonts w:ascii="Times New Roman" w:hAnsi="Times New Roman" w:cs="Times New Roman"/>
          <w:b/>
          <w:sz w:val="28"/>
          <w:szCs w:val="28"/>
        </w:rPr>
        <w:t xml:space="preserve"> </w:t>
      </w:r>
      <w:r w:rsidR="00F21655" w:rsidRPr="00F17A21">
        <w:rPr>
          <w:rFonts w:ascii="Times New Roman" w:hAnsi="Times New Roman" w:cs="Times New Roman"/>
          <w:sz w:val="28"/>
          <w:szCs w:val="28"/>
        </w:rPr>
        <w:t xml:space="preserve">такое имеющееся в словарях  толкование с пометкой «(разг.)», как «неизбежность или возможность чего-нибудь». Настоящее выступление представляет собой попытку  обоснования выбора между «неизбежностью» и «возможностью» </w:t>
      </w:r>
      <w:r w:rsidR="00F21655" w:rsidRPr="003C4388">
        <w:rPr>
          <w:rFonts w:ascii="Times New Roman" w:hAnsi="Times New Roman" w:cs="Times New Roman"/>
          <w:sz w:val="28"/>
          <w:szCs w:val="28"/>
        </w:rPr>
        <w:t>применительно</w:t>
      </w:r>
      <w:r w:rsidR="00F21655" w:rsidRPr="00F17A21">
        <w:rPr>
          <w:rFonts w:ascii="Times New Roman" w:hAnsi="Times New Roman" w:cs="Times New Roman"/>
          <w:sz w:val="28"/>
          <w:szCs w:val="28"/>
        </w:rPr>
        <w:t xml:space="preserve"> к предстоящей реформе гражданского процессуального права.</w:t>
      </w:r>
    </w:p>
    <w:p w:rsidR="00BC3268" w:rsidRDefault="00C146E7" w:rsidP="00F2165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1655" w:rsidRPr="00F17A21">
        <w:rPr>
          <w:rFonts w:ascii="Times New Roman" w:hAnsi="Times New Roman" w:cs="Times New Roman"/>
          <w:sz w:val="28"/>
          <w:szCs w:val="28"/>
        </w:rPr>
        <w:t xml:space="preserve">Изучение </w:t>
      </w:r>
      <w:proofErr w:type="gramStart"/>
      <w:r w:rsidR="00F21655" w:rsidRPr="00F17A21">
        <w:rPr>
          <w:rFonts w:ascii="Times New Roman" w:hAnsi="Times New Roman" w:cs="Times New Roman"/>
          <w:sz w:val="28"/>
          <w:szCs w:val="28"/>
        </w:rPr>
        <w:t>истории</w:t>
      </w:r>
      <w:proofErr w:type="gramEnd"/>
      <w:r w:rsidR="00F21655" w:rsidRPr="00F17A21">
        <w:rPr>
          <w:rFonts w:ascii="Times New Roman" w:hAnsi="Times New Roman" w:cs="Times New Roman"/>
          <w:sz w:val="28"/>
          <w:szCs w:val="28"/>
        </w:rPr>
        <w:t xml:space="preserve"> очевидно свидетельствует об осознании во все времена гражданского судопроизводства как важной сферы общественной жизни. Учеными не раз отмечалось, что основные  юридические тексты древних времен  представляли собой сборники процессуальных правил.  Как правильно  отметил Д.Я. </w:t>
      </w:r>
      <w:proofErr w:type="spellStart"/>
      <w:r w:rsidR="00F21655" w:rsidRPr="00F17A21">
        <w:rPr>
          <w:rFonts w:ascii="Times New Roman" w:hAnsi="Times New Roman" w:cs="Times New Roman"/>
          <w:sz w:val="28"/>
          <w:szCs w:val="28"/>
        </w:rPr>
        <w:t>Малешин</w:t>
      </w:r>
      <w:proofErr w:type="spellEnd"/>
      <w:r w:rsidR="00F21655" w:rsidRPr="00F17A21">
        <w:rPr>
          <w:rFonts w:ascii="Times New Roman" w:hAnsi="Times New Roman" w:cs="Times New Roman"/>
          <w:sz w:val="28"/>
          <w:szCs w:val="28"/>
        </w:rPr>
        <w:t>: «В течение последних четырех веков во многих государствах гражданский процесс находился в состоянии постоянного реформирования. … В России правовые и судебные реформы происходят с определенным постоянством и нередко приобретают кардинальный характер. В конце прошлого столетия была проведена грандиозная правовая реформа, затронувшая все отрасли права.</w:t>
      </w:r>
    </w:p>
    <w:p w:rsidR="00144227" w:rsidRPr="00144227" w:rsidRDefault="00144227" w:rsidP="00144227">
      <w:pPr>
        <w:spacing w:line="360" w:lineRule="auto"/>
        <w:jc w:val="both"/>
        <w:rPr>
          <w:rFonts w:ascii="Times New Roman" w:hAnsi="Times New Roman" w:cs="Times New Roman"/>
          <w:sz w:val="24"/>
          <w:szCs w:val="24"/>
          <w:vertAlign w:val="superscript"/>
        </w:rPr>
      </w:pPr>
      <w:r w:rsidRPr="00144227">
        <w:rPr>
          <w:rFonts w:ascii="Times New Roman" w:hAnsi="Times New Roman" w:cs="Times New Roman"/>
          <w:sz w:val="24"/>
          <w:szCs w:val="24"/>
          <w:vertAlign w:val="superscript"/>
        </w:rPr>
        <w:lastRenderedPageBreak/>
        <w:t>*Выступление подготовлено при информационной поддержке СПС «</w:t>
      </w:r>
      <w:proofErr w:type="spellStart"/>
      <w:r w:rsidRPr="00144227">
        <w:rPr>
          <w:rFonts w:ascii="Times New Roman" w:hAnsi="Times New Roman" w:cs="Times New Roman"/>
          <w:sz w:val="24"/>
          <w:szCs w:val="24"/>
          <w:vertAlign w:val="superscript"/>
        </w:rPr>
        <w:t>КонсультантПлюс</w:t>
      </w:r>
      <w:proofErr w:type="spellEnd"/>
      <w:r w:rsidRPr="00144227">
        <w:rPr>
          <w:rFonts w:ascii="Times New Roman" w:hAnsi="Times New Roman" w:cs="Times New Roman"/>
          <w:sz w:val="24"/>
          <w:szCs w:val="24"/>
          <w:vertAlign w:val="superscript"/>
        </w:rPr>
        <w:t>».</w:t>
      </w:r>
    </w:p>
    <w:p w:rsidR="00F21655" w:rsidRDefault="00F21655" w:rsidP="00F21655">
      <w:pPr>
        <w:spacing w:line="360" w:lineRule="auto"/>
        <w:jc w:val="both"/>
        <w:rPr>
          <w:rFonts w:ascii="Times New Roman" w:hAnsi="Times New Roman" w:cs="Times New Roman"/>
          <w:sz w:val="28"/>
          <w:szCs w:val="28"/>
          <w:vertAlign w:val="superscript"/>
        </w:rPr>
      </w:pPr>
      <w:r w:rsidRPr="00F17A21">
        <w:rPr>
          <w:rFonts w:ascii="Times New Roman" w:hAnsi="Times New Roman" w:cs="Times New Roman"/>
          <w:sz w:val="28"/>
          <w:szCs w:val="28"/>
        </w:rPr>
        <w:t>Преобразования в области гражданского судопроизводства начались в начале 90-х гг. прошлого века и продолжаются до настоящего времени.»</w:t>
      </w:r>
      <w:r w:rsidRPr="00F17A21">
        <w:rPr>
          <w:rFonts w:ascii="Times New Roman" w:hAnsi="Times New Roman" w:cs="Times New Roman"/>
          <w:sz w:val="28"/>
          <w:szCs w:val="28"/>
          <w:vertAlign w:val="superscript"/>
        </w:rPr>
        <w:t xml:space="preserve">1 </w:t>
      </w:r>
    </w:p>
    <w:p w:rsidR="00F21655" w:rsidRPr="00F17A21" w:rsidRDefault="00C146E7" w:rsidP="00F21655">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21655">
        <w:rPr>
          <w:rFonts w:ascii="Times New Roman" w:hAnsi="Times New Roman" w:cs="Times New Roman"/>
          <w:sz w:val="28"/>
          <w:szCs w:val="28"/>
        </w:rPr>
        <w:t xml:space="preserve">И в наши дни существует целый ряд факторов, обуславливающих преобразования, или, точнее, реформу гражданского процессуального права. </w:t>
      </w:r>
    </w:p>
    <w:p w:rsidR="00F21655" w:rsidRDefault="00C146E7" w:rsidP="00F2165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1655">
        <w:rPr>
          <w:rFonts w:ascii="Times New Roman" w:hAnsi="Times New Roman" w:cs="Times New Roman"/>
          <w:sz w:val="28"/>
          <w:szCs w:val="28"/>
        </w:rPr>
        <w:t xml:space="preserve">Актом реформы стало принятие в 2002 году Гражданского процессуального кодекса Российской Федерации. Спустя три года после вступления ГПК в силу, т.е. </w:t>
      </w:r>
      <w:r w:rsidR="00F21655" w:rsidRPr="00F17A21">
        <w:rPr>
          <w:rFonts w:ascii="Times New Roman" w:hAnsi="Times New Roman" w:cs="Times New Roman"/>
          <w:sz w:val="28"/>
          <w:szCs w:val="28"/>
        </w:rPr>
        <w:t>8 февраля 2006 года Комитет министров Совета Европы призвал Россию провести дальнейшие реформы гражданско-процессуального права в стране для обеспечения выполнения решений Европейского Суда по правам человека, в которых содержатся указания на нарушения требо</w:t>
      </w:r>
      <w:r>
        <w:rPr>
          <w:rFonts w:ascii="Times New Roman" w:hAnsi="Times New Roman" w:cs="Times New Roman"/>
          <w:sz w:val="28"/>
          <w:szCs w:val="28"/>
        </w:rPr>
        <w:t xml:space="preserve">вания правовой определенности. </w:t>
      </w:r>
      <w:r w:rsidR="00F21655" w:rsidRPr="00F17A21">
        <w:rPr>
          <w:rFonts w:ascii="Times New Roman" w:hAnsi="Times New Roman" w:cs="Times New Roman"/>
          <w:sz w:val="28"/>
          <w:szCs w:val="28"/>
        </w:rPr>
        <w:t xml:space="preserve">Комитет подчеркнул, что в эффективной судебной системе ошибки и недостатки должны в первую очередь корректироваться на этапе до принятия </w:t>
      </w:r>
      <w:proofErr w:type="gramStart"/>
      <w:r w:rsidR="00F21655" w:rsidRPr="00F17A21">
        <w:rPr>
          <w:rFonts w:ascii="Times New Roman" w:hAnsi="Times New Roman" w:cs="Times New Roman"/>
          <w:sz w:val="28"/>
          <w:szCs w:val="28"/>
        </w:rPr>
        <w:t>обязательного к исполнению</w:t>
      </w:r>
      <w:proofErr w:type="gramEnd"/>
      <w:r w:rsidR="00F21655" w:rsidRPr="00F17A21">
        <w:rPr>
          <w:rFonts w:ascii="Times New Roman" w:hAnsi="Times New Roman" w:cs="Times New Roman"/>
          <w:sz w:val="28"/>
          <w:szCs w:val="28"/>
        </w:rPr>
        <w:t xml:space="preserve"> судебного решения с тем, чтобы не подрывать право сторон полностью опираться на эти решения. </w:t>
      </w:r>
      <w:r w:rsidR="00F21655" w:rsidRPr="00F17A21">
        <w:rPr>
          <w:rFonts w:ascii="Times New Roman" w:hAnsi="Times New Roman" w:cs="Times New Roman"/>
          <w:sz w:val="28"/>
          <w:szCs w:val="28"/>
        </w:rPr>
        <w:br/>
        <w:t xml:space="preserve">В соответствии с этим Комитет призвал Россию определить в качестве приоритетной задачу реформирования гражданско-процессуального права, которое должно идти параллельно с улучшением структуры судов и повышения качества правосудия. </w:t>
      </w:r>
    </w:p>
    <w:p w:rsidR="00F21655" w:rsidRDefault="00C146E7" w:rsidP="00F21655">
      <w:pPr>
        <w:spacing w:line="36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w:t>
      </w:r>
      <w:r w:rsidR="00F21655" w:rsidRPr="002C586A">
        <w:rPr>
          <w:rFonts w:ascii="Times New Roman" w:eastAsia="Times New Roman" w:hAnsi="Times New Roman" w:cs="Times New Roman"/>
          <w:sz w:val="28"/>
          <w:szCs w:val="28"/>
          <w:lang w:eastAsia="ru-RU"/>
        </w:rPr>
        <w:t>Распоряжением Правительства Российской Федерации от 20 сентября 2012 г. № 1735-р</w:t>
      </w:r>
      <w:r w:rsidR="00F21655">
        <w:rPr>
          <w:rFonts w:ascii="Times New Roman" w:eastAsia="Times New Roman" w:hAnsi="Times New Roman" w:cs="Times New Roman"/>
          <w:sz w:val="28"/>
          <w:szCs w:val="28"/>
          <w:lang w:eastAsia="ru-RU"/>
        </w:rPr>
        <w:t xml:space="preserve"> была утверждена</w:t>
      </w:r>
      <w:r w:rsidR="00F21655">
        <w:rPr>
          <w:rFonts w:ascii="Times New Roman" w:eastAsia="Calibri" w:hAnsi="Times New Roman" w:cs="Times New Roman"/>
          <w:sz w:val="28"/>
          <w:szCs w:val="28"/>
        </w:rPr>
        <w:t xml:space="preserve">      Концепция</w:t>
      </w:r>
      <w:r w:rsidR="00F21655" w:rsidRPr="00F17A21">
        <w:rPr>
          <w:rFonts w:ascii="Times New Roman" w:eastAsia="Calibri" w:hAnsi="Times New Roman" w:cs="Times New Roman"/>
          <w:sz w:val="28"/>
          <w:szCs w:val="28"/>
        </w:rPr>
        <w:t xml:space="preserve"> федеральной целевой программы «Развитие судебной сист</w:t>
      </w:r>
      <w:r w:rsidR="00F21655">
        <w:rPr>
          <w:rFonts w:ascii="Times New Roman" w:eastAsia="Calibri" w:hAnsi="Times New Roman" w:cs="Times New Roman"/>
          <w:sz w:val="28"/>
          <w:szCs w:val="28"/>
        </w:rPr>
        <w:t>емы России на 2013 – 2020 годы»</w:t>
      </w:r>
      <w:r w:rsidR="00F21655">
        <w:rPr>
          <w:rFonts w:ascii="Times New Roman" w:hAnsi="Times New Roman" w:cs="Times New Roman"/>
          <w:sz w:val="28"/>
          <w:szCs w:val="28"/>
          <w:vertAlign w:val="superscript"/>
        </w:rPr>
        <w:t>2</w:t>
      </w:r>
      <w:r w:rsidR="00F21655">
        <w:rPr>
          <w:rFonts w:ascii="Times New Roman" w:hAnsi="Times New Roman" w:cs="Times New Roman"/>
          <w:sz w:val="28"/>
          <w:szCs w:val="28"/>
        </w:rPr>
        <w:t>.</w:t>
      </w:r>
      <w:r w:rsidR="00F21655">
        <w:rPr>
          <w:rFonts w:ascii="Times New Roman" w:hAnsi="Times New Roman" w:cs="Times New Roman"/>
          <w:sz w:val="28"/>
          <w:szCs w:val="28"/>
          <w:vertAlign w:val="superscript"/>
        </w:rPr>
        <w:t xml:space="preserve"> </w:t>
      </w:r>
      <w:r w:rsidR="00F21655" w:rsidRPr="00F17A21">
        <w:rPr>
          <w:rFonts w:ascii="Times New Roman" w:hAnsi="Times New Roman" w:cs="Times New Roman"/>
          <w:sz w:val="28"/>
          <w:szCs w:val="28"/>
        </w:rPr>
        <w:t xml:space="preserve"> </w:t>
      </w:r>
      <w:r w:rsidR="00F21655">
        <w:rPr>
          <w:rFonts w:ascii="Times New Roman" w:hAnsi="Times New Roman" w:cs="Times New Roman"/>
          <w:sz w:val="28"/>
          <w:szCs w:val="28"/>
        </w:rPr>
        <w:t xml:space="preserve">В Концепции, в частности, отмечалось, что </w:t>
      </w:r>
      <w:r w:rsidR="00F21655" w:rsidRPr="00F17A21">
        <w:rPr>
          <w:rFonts w:ascii="Times New Roman" w:eastAsia="Calibri" w:hAnsi="Times New Roman" w:cs="Times New Roman"/>
          <w:sz w:val="28"/>
          <w:szCs w:val="28"/>
        </w:rPr>
        <w:t xml:space="preserve">«обеспечение доступа граждан к правосудию и обеспечение его максимальной открытости и прозрачности, реализация принципа независимости и объективности при вынесении судебных решений являются основными направлениями дальнейшего развития судебной системы». </w:t>
      </w:r>
      <w:r w:rsidR="00F21655">
        <w:rPr>
          <w:rFonts w:ascii="Times New Roman" w:eastAsia="Calibri" w:hAnsi="Times New Roman" w:cs="Times New Roman"/>
          <w:sz w:val="28"/>
          <w:szCs w:val="28"/>
        </w:rPr>
        <w:t xml:space="preserve">Таким образом, реализация вышеуказанной </w:t>
      </w:r>
      <w:r w:rsidR="00F21655">
        <w:rPr>
          <w:rFonts w:ascii="Times New Roman" w:eastAsia="Calibri" w:hAnsi="Times New Roman" w:cs="Times New Roman"/>
          <w:sz w:val="28"/>
          <w:szCs w:val="28"/>
        </w:rPr>
        <w:lastRenderedPageBreak/>
        <w:t xml:space="preserve">Концепции, также была направлена на преобразования гражданского процессуального права. </w:t>
      </w:r>
    </w:p>
    <w:p w:rsidR="00F21655" w:rsidRDefault="00C146E7" w:rsidP="00F21655">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21655">
        <w:rPr>
          <w:rFonts w:ascii="Times New Roman" w:eastAsia="Calibri" w:hAnsi="Times New Roman" w:cs="Times New Roman"/>
          <w:sz w:val="28"/>
          <w:szCs w:val="28"/>
        </w:rPr>
        <w:t xml:space="preserve">Начатые в 2012 году и пока еще не завершенные весьма значительные преобразования Гражданского кодекса Российской </w:t>
      </w:r>
      <w:proofErr w:type="gramStart"/>
      <w:r w:rsidR="00F21655">
        <w:rPr>
          <w:rFonts w:ascii="Times New Roman" w:eastAsia="Calibri" w:hAnsi="Times New Roman" w:cs="Times New Roman"/>
          <w:sz w:val="28"/>
          <w:szCs w:val="28"/>
        </w:rPr>
        <w:t>Федерации</w:t>
      </w:r>
      <w:proofErr w:type="gramEnd"/>
      <w:r w:rsidR="00F21655">
        <w:rPr>
          <w:rFonts w:ascii="Times New Roman" w:eastAsia="Calibri" w:hAnsi="Times New Roman" w:cs="Times New Roman"/>
          <w:sz w:val="28"/>
          <w:szCs w:val="28"/>
        </w:rPr>
        <w:t xml:space="preserve"> несомненно потребуют внесения изменений в гражданское процессуальное законодательство. </w:t>
      </w:r>
    </w:p>
    <w:p w:rsidR="00F21655" w:rsidRDefault="00C146E7" w:rsidP="00F21655">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21655">
        <w:rPr>
          <w:rFonts w:ascii="Times New Roman" w:eastAsia="Calibri" w:hAnsi="Times New Roman" w:cs="Times New Roman"/>
          <w:sz w:val="28"/>
          <w:szCs w:val="28"/>
        </w:rPr>
        <w:t xml:space="preserve">Гражданское процессуальное право никак  не может оставаться беспристрастным наблюдателем происходящих изменений в законодательстве о нотариате то ли в виде нового федерального закона о нотариальной деятельности, то ли в виде масштабных изменений и дополнений в Основы законодательства о нотариате. </w:t>
      </w:r>
    </w:p>
    <w:p w:rsidR="00F21655" w:rsidRPr="00163256" w:rsidRDefault="00C146E7" w:rsidP="00F21655">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21655">
        <w:rPr>
          <w:rFonts w:ascii="Times New Roman" w:eastAsia="Calibri" w:hAnsi="Times New Roman" w:cs="Times New Roman"/>
          <w:sz w:val="28"/>
          <w:szCs w:val="28"/>
        </w:rPr>
        <w:t>Пристального внимания ученых – процессуалистов и законодателей – реформаторов гражданского процессуального права требует факт внесения в Государственную Думу Федерального Собрания Российской Федерации проекта федерального закона «О судебно-экспертной деятельности в Российской Федерации»</w:t>
      </w:r>
      <w:r w:rsidR="00F21655">
        <w:rPr>
          <w:rFonts w:ascii="Times New Roman" w:eastAsia="Calibri" w:hAnsi="Times New Roman" w:cs="Times New Roman"/>
          <w:sz w:val="28"/>
          <w:szCs w:val="28"/>
          <w:vertAlign w:val="superscript"/>
        </w:rPr>
        <w:t xml:space="preserve">3    </w:t>
      </w:r>
      <w:r w:rsidR="00F21655">
        <w:rPr>
          <w:rFonts w:ascii="Times New Roman" w:eastAsia="Calibri" w:hAnsi="Times New Roman" w:cs="Times New Roman"/>
          <w:sz w:val="28"/>
          <w:szCs w:val="28"/>
        </w:rPr>
        <w:t>и, соответственно, содержание этого проекта.  Т</w:t>
      </w:r>
      <w:r w:rsidR="00300B8C">
        <w:rPr>
          <w:rFonts w:ascii="Times New Roman" w:eastAsia="Calibri" w:hAnsi="Times New Roman" w:cs="Times New Roman"/>
          <w:sz w:val="28"/>
          <w:szCs w:val="28"/>
        </w:rPr>
        <w:t>ем более</w:t>
      </w:r>
      <w:r w:rsidR="00F21655">
        <w:rPr>
          <w:rFonts w:ascii="Times New Roman" w:eastAsia="Calibri" w:hAnsi="Times New Roman" w:cs="Times New Roman"/>
          <w:sz w:val="28"/>
          <w:szCs w:val="28"/>
        </w:rPr>
        <w:t xml:space="preserve"> что совершенно справедливыми являются критические замечания по поводу вышеуказанного проекта, сформулированные С.И. </w:t>
      </w:r>
      <w:proofErr w:type="spellStart"/>
      <w:r w:rsidR="00F21655">
        <w:rPr>
          <w:rFonts w:ascii="Times New Roman" w:eastAsia="Calibri" w:hAnsi="Times New Roman" w:cs="Times New Roman"/>
          <w:sz w:val="28"/>
          <w:szCs w:val="28"/>
        </w:rPr>
        <w:t>Комарицким</w:t>
      </w:r>
      <w:proofErr w:type="spellEnd"/>
      <w:r w:rsidR="00F21655">
        <w:rPr>
          <w:rFonts w:ascii="Times New Roman" w:eastAsia="Calibri" w:hAnsi="Times New Roman" w:cs="Times New Roman"/>
          <w:sz w:val="28"/>
          <w:szCs w:val="28"/>
        </w:rPr>
        <w:t xml:space="preserve"> </w:t>
      </w:r>
      <w:r w:rsidR="00F21655">
        <w:rPr>
          <w:rFonts w:ascii="Times New Roman" w:eastAsia="Calibri" w:hAnsi="Times New Roman" w:cs="Times New Roman"/>
          <w:sz w:val="28"/>
          <w:szCs w:val="28"/>
          <w:vertAlign w:val="superscript"/>
        </w:rPr>
        <w:t xml:space="preserve">4 </w:t>
      </w:r>
    </w:p>
    <w:p w:rsidR="00F21655" w:rsidRPr="00E1146D" w:rsidRDefault="00300B8C" w:rsidP="00F21655">
      <w:pPr>
        <w:widowControl w:val="0"/>
        <w:autoSpaceDE w:val="0"/>
        <w:autoSpaceDN w:val="0"/>
        <w:adjustRightInd w:val="0"/>
        <w:spacing w:after="0" w:line="360" w:lineRule="auto"/>
        <w:ind w:firstLine="540"/>
        <w:jc w:val="both"/>
        <w:rPr>
          <w:rFonts w:ascii="Times New Roman" w:hAnsi="Times New Roman" w:cs="Times New Roman"/>
          <w:i/>
          <w:sz w:val="28"/>
          <w:szCs w:val="28"/>
        </w:rPr>
      </w:pPr>
      <w:r>
        <w:rPr>
          <w:rFonts w:ascii="Times New Roman" w:hAnsi="Times New Roman" w:cs="Times New Roman"/>
          <w:sz w:val="28"/>
          <w:szCs w:val="28"/>
        </w:rPr>
        <w:t xml:space="preserve">   </w:t>
      </w:r>
      <w:r w:rsidR="00F21655" w:rsidRPr="00D60DC8">
        <w:rPr>
          <w:rFonts w:ascii="Times New Roman" w:hAnsi="Times New Roman" w:cs="Times New Roman"/>
          <w:sz w:val="28"/>
          <w:szCs w:val="28"/>
        </w:rPr>
        <w:t xml:space="preserve">21 мая 2013 г. Госдума РФ приняла в первом чтении </w:t>
      </w:r>
      <w:hyperlink r:id="rId9" w:history="1">
        <w:r w:rsidR="00F21655" w:rsidRPr="00363C94">
          <w:rPr>
            <w:rFonts w:ascii="Times New Roman" w:hAnsi="Times New Roman" w:cs="Times New Roman"/>
            <w:sz w:val="28"/>
            <w:szCs w:val="28"/>
          </w:rPr>
          <w:t>проект</w:t>
        </w:r>
      </w:hyperlink>
      <w:r w:rsidR="00F21655" w:rsidRPr="00D60DC8">
        <w:rPr>
          <w:rFonts w:ascii="Times New Roman" w:hAnsi="Times New Roman" w:cs="Times New Roman"/>
          <w:sz w:val="28"/>
          <w:szCs w:val="28"/>
        </w:rPr>
        <w:t xml:space="preserve"> N 246960-6 Кодекса административного судопроизводства Российской Федерации</w:t>
      </w:r>
      <w:r w:rsidR="00F21655">
        <w:rPr>
          <w:rFonts w:ascii="Times New Roman" w:hAnsi="Times New Roman" w:cs="Times New Roman"/>
          <w:sz w:val="28"/>
          <w:szCs w:val="28"/>
          <w:vertAlign w:val="superscript"/>
        </w:rPr>
        <w:t>5</w:t>
      </w:r>
      <w:r>
        <w:rPr>
          <w:rFonts w:ascii="Times New Roman" w:hAnsi="Times New Roman" w:cs="Times New Roman"/>
          <w:sz w:val="28"/>
          <w:szCs w:val="28"/>
        </w:rPr>
        <w:t>.</w:t>
      </w:r>
      <w:r w:rsidR="00F21655">
        <w:rPr>
          <w:rFonts w:ascii="Times New Roman" w:hAnsi="Times New Roman" w:cs="Times New Roman"/>
          <w:sz w:val="28"/>
          <w:szCs w:val="28"/>
          <w:vertAlign w:val="superscript"/>
        </w:rPr>
        <w:t xml:space="preserve"> </w:t>
      </w:r>
      <w:r w:rsidR="00F21655" w:rsidRPr="00D60DC8">
        <w:rPr>
          <w:rFonts w:ascii="Times New Roman" w:hAnsi="Times New Roman" w:cs="Times New Roman"/>
          <w:sz w:val="28"/>
          <w:szCs w:val="28"/>
        </w:rPr>
        <w:t xml:space="preserve"> </w:t>
      </w:r>
    </w:p>
    <w:p w:rsidR="00F21655" w:rsidRDefault="00F21655" w:rsidP="00F21655">
      <w:pPr>
        <w:widowControl w:val="0"/>
        <w:autoSpaceDE w:val="0"/>
        <w:autoSpaceDN w:val="0"/>
        <w:adjustRightInd w:val="0"/>
        <w:spacing w:after="0" w:line="360" w:lineRule="auto"/>
        <w:jc w:val="both"/>
        <w:rPr>
          <w:rFonts w:ascii="Times New Roman" w:eastAsia="Calibri" w:hAnsi="Times New Roman" w:cs="Times New Roman"/>
          <w:sz w:val="28"/>
          <w:szCs w:val="28"/>
          <w:vertAlign w:val="superscript"/>
        </w:rPr>
      </w:pPr>
      <w:r>
        <w:rPr>
          <w:rFonts w:ascii="Times New Roman" w:eastAsia="Calibri" w:hAnsi="Times New Roman" w:cs="Times New Roman"/>
          <w:sz w:val="28"/>
          <w:szCs w:val="28"/>
        </w:rPr>
        <w:t>Недостатки  этого законопроекта  были подвергнуты мотивированной критике в публикациях ученых-процессуалистов</w:t>
      </w:r>
      <w:r>
        <w:rPr>
          <w:rFonts w:ascii="Times New Roman" w:eastAsia="Calibri" w:hAnsi="Times New Roman" w:cs="Times New Roman"/>
          <w:sz w:val="28"/>
          <w:szCs w:val="28"/>
          <w:vertAlign w:val="superscript"/>
        </w:rPr>
        <w:t xml:space="preserve">6 </w:t>
      </w:r>
    </w:p>
    <w:p w:rsidR="00F21655" w:rsidRDefault="00C146E7" w:rsidP="00F21655">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 xml:space="preserve">          </w:t>
      </w:r>
      <w:r w:rsidR="00F21655">
        <w:rPr>
          <w:rFonts w:ascii="Times New Roman" w:eastAsiaTheme="minorEastAsia" w:hAnsi="Times New Roman" w:cs="Times New Roman"/>
          <w:sz w:val="28"/>
          <w:szCs w:val="28"/>
          <w:lang w:eastAsia="ru-RU"/>
        </w:rPr>
        <w:t xml:space="preserve">И, наконец, решением Комитета по гражданскому, уголовному, арбитражному и процессуальному законодательству Государственной Думы Федерального Собрания Российской Федерации от 08 декабря 2014 года №124(1) была одобрена </w:t>
      </w:r>
      <w:r w:rsidR="00F21655" w:rsidRPr="00F17A21">
        <w:rPr>
          <w:rFonts w:ascii="Times New Roman" w:eastAsiaTheme="minorEastAsia" w:hAnsi="Times New Roman" w:cs="Times New Roman"/>
          <w:sz w:val="28"/>
          <w:szCs w:val="28"/>
          <w:lang w:eastAsia="ru-RU"/>
        </w:rPr>
        <w:t>"Концепция единого Гражданского процессуальног</w:t>
      </w:r>
      <w:r w:rsidR="00F21655">
        <w:rPr>
          <w:rFonts w:ascii="Times New Roman" w:eastAsiaTheme="minorEastAsia" w:hAnsi="Times New Roman" w:cs="Times New Roman"/>
          <w:sz w:val="28"/>
          <w:szCs w:val="28"/>
          <w:lang w:eastAsia="ru-RU"/>
        </w:rPr>
        <w:t>о кодекса Российской Федерации". Во Вступительном слове Концепции указано, что: «</w:t>
      </w:r>
      <w:r w:rsidR="00F21655" w:rsidRPr="00F17A21">
        <w:rPr>
          <w:rFonts w:ascii="Times New Roman" w:hAnsi="Times New Roman" w:cs="Times New Roman"/>
          <w:sz w:val="28"/>
          <w:szCs w:val="28"/>
        </w:rPr>
        <w:t xml:space="preserve">Основной целью разработки Концепции является обеспечение </w:t>
      </w:r>
      <w:r w:rsidR="00F21655" w:rsidRPr="00F17A21">
        <w:rPr>
          <w:rFonts w:ascii="Times New Roman" w:hAnsi="Times New Roman" w:cs="Times New Roman"/>
          <w:sz w:val="28"/>
          <w:szCs w:val="28"/>
        </w:rPr>
        <w:lastRenderedPageBreak/>
        <w:t>доступного и справедливого правосудия, осуществляемого в разумные сроки с соблюдением процессуальных норм компетентными и независимыми судьями, гарантированное исполнение судебных актов, что является безусловным условием демократического развития правового государства, основанного на приоритете прав и свобод человека</w:t>
      </w:r>
      <w:r w:rsidR="00F21655">
        <w:rPr>
          <w:rFonts w:ascii="Times New Roman" w:hAnsi="Times New Roman" w:cs="Times New Roman"/>
          <w:sz w:val="28"/>
          <w:szCs w:val="28"/>
        </w:rPr>
        <w:t>»</w:t>
      </w:r>
      <w:r w:rsidR="00F21655" w:rsidRPr="00F17A21">
        <w:rPr>
          <w:rFonts w:ascii="Times New Roman" w:hAnsi="Times New Roman" w:cs="Times New Roman"/>
          <w:sz w:val="28"/>
          <w:szCs w:val="28"/>
        </w:rPr>
        <w:t>.</w:t>
      </w:r>
    </w:p>
    <w:p w:rsidR="00F21655" w:rsidRDefault="00C146E7" w:rsidP="00F21655">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1655">
        <w:rPr>
          <w:rFonts w:ascii="Times New Roman" w:hAnsi="Times New Roman" w:cs="Times New Roman"/>
          <w:sz w:val="28"/>
          <w:szCs w:val="28"/>
        </w:rPr>
        <w:t>Очевидно, что предлагаемый Концепцией «единый Гражданский процессуальный кодекс» будет представлять собой определенный и серьезный результат реформирования гражданского процессуального права.</w:t>
      </w:r>
    </w:p>
    <w:p w:rsidR="00F21655" w:rsidRDefault="00F21655" w:rsidP="00F21655">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В условиях нынешнего этапа реформы подготавливаемые преобразования могут предоставить уникальные возможности для теоретического обоснования и практического осуществления реформы гражданского процессуального права. Для этого должны быть учтены: и опыт создания и применения Устава гражданского судопроизводства Российской Империи; и идея основателя</w:t>
      </w:r>
      <w:r w:rsidRPr="00F17A21">
        <w:rPr>
          <w:rFonts w:ascii="Times New Roman" w:hAnsi="Times New Roman" w:cs="Times New Roman"/>
          <w:sz w:val="28"/>
          <w:szCs w:val="28"/>
        </w:rPr>
        <w:t xml:space="preserve"> широкого подхода к определению предмета гражданского процессуального права профессор</w:t>
      </w:r>
      <w:r>
        <w:rPr>
          <w:rFonts w:ascii="Times New Roman" w:hAnsi="Times New Roman" w:cs="Times New Roman"/>
          <w:sz w:val="28"/>
          <w:szCs w:val="28"/>
        </w:rPr>
        <w:t>а</w:t>
      </w:r>
      <w:r w:rsidRPr="00F17A21">
        <w:rPr>
          <w:rFonts w:ascii="Times New Roman" w:hAnsi="Times New Roman" w:cs="Times New Roman"/>
          <w:sz w:val="28"/>
          <w:szCs w:val="28"/>
        </w:rPr>
        <w:t xml:space="preserve"> </w:t>
      </w:r>
      <w:proofErr w:type="spellStart"/>
      <w:r w:rsidRPr="00F17A21">
        <w:rPr>
          <w:rFonts w:ascii="Times New Roman" w:hAnsi="Times New Roman" w:cs="Times New Roman"/>
          <w:sz w:val="28"/>
          <w:szCs w:val="28"/>
        </w:rPr>
        <w:t>Зейдер</w:t>
      </w:r>
      <w:r>
        <w:rPr>
          <w:rFonts w:ascii="Times New Roman" w:hAnsi="Times New Roman" w:cs="Times New Roman"/>
          <w:sz w:val="28"/>
          <w:szCs w:val="28"/>
        </w:rPr>
        <w:t>а</w:t>
      </w:r>
      <w:proofErr w:type="spellEnd"/>
      <w:r>
        <w:rPr>
          <w:rFonts w:ascii="Times New Roman" w:hAnsi="Times New Roman" w:cs="Times New Roman"/>
          <w:sz w:val="28"/>
          <w:szCs w:val="28"/>
        </w:rPr>
        <w:t xml:space="preserve"> Н.Б. и его последователей</w:t>
      </w:r>
      <w:proofErr w:type="gramStart"/>
      <w:r>
        <w:rPr>
          <w:rFonts w:ascii="Times New Roman" w:hAnsi="Times New Roman" w:cs="Times New Roman"/>
          <w:sz w:val="28"/>
          <w:szCs w:val="28"/>
          <w:vertAlign w:val="superscript"/>
        </w:rPr>
        <w:t>7</w:t>
      </w:r>
      <w:proofErr w:type="gramEnd"/>
      <w:r w:rsidR="00BC3268">
        <w:rPr>
          <w:rFonts w:ascii="Times New Roman" w:hAnsi="Times New Roman" w:cs="Times New Roman"/>
          <w:sz w:val="28"/>
          <w:szCs w:val="28"/>
        </w:rPr>
        <w:t xml:space="preserve">; </w:t>
      </w:r>
      <w:r>
        <w:rPr>
          <w:rFonts w:ascii="Times New Roman" w:hAnsi="Times New Roman" w:cs="Times New Roman"/>
          <w:sz w:val="28"/>
          <w:szCs w:val="28"/>
        </w:rPr>
        <w:t>и целый ряд предложений относительно судебной системы и судопроиз</w:t>
      </w:r>
      <w:r w:rsidR="00BC3268">
        <w:rPr>
          <w:rFonts w:ascii="Times New Roman" w:hAnsi="Times New Roman" w:cs="Times New Roman"/>
          <w:sz w:val="28"/>
          <w:szCs w:val="28"/>
        </w:rPr>
        <w:t>водства профессора Поповой Ю.А.</w:t>
      </w:r>
      <w:r>
        <w:rPr>
          <w:rFonts w:ascii="Times New Roman" w:hAnsi="Times New Roman" w:cs="Times New Roman"/>
          <w:sz w:val="28"/>
          <w:szCs w:val="28"/>
          <w:vertAlign w:val="superscript"/>
        </w:rPr>
        <w:t>8</w:t>
      </w:r>
      <w:r w:rsidR="00BC3268">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При теоретическом обосновании и подготовке «единого ГПК» должен быть также  учтен опыт применения целого ряда хорошо себя зарекомендовавших (и отличающихся в лучшую сторону по сравнению с аналогичными нормами ныне действующего ГПК) норм АПК РФ. Нельзя оставить без внимания и значительное количество научных разработок, содержащих конкретные и весьма дельные предложения относительно норм, статей, глав и разделов ныне действующего ГПК. </w:t>
      </w:r>
    </w:p>
    <w:p w:rsidR="00C146E7" w:rsidRDefault="00C146E7" w:rsidP="00C146E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21655">
        <w:rPr>
          <w:rFonts w:ascii="Times New Roman" w:hAnsi="Times New Roman" w:cs="Times New Roman"/>
          <w:sz w:val="28"/>
          <w:szCs w:val="28"/>
        </w:rPr>
        <w:t>В целом же, с учетом вышеизложенного, выбор</w:t>
      </w:r>
      <w:r w:rsidR="00F21655" w:rsidRPr="00F17A21">
        <w:rPr>
          <w:rFonts w:ascii="Times New Roman" w:hAnsi="Times New Roman" w:cs="Times New Roman"/>
          <w:sz w:val="28"/>
          <w:szCs w:val="28"/>
        </w:rPr>
        <w:t xml:space="preserve"> между «неизбежностью» и «возможностью» </w:t>
      </w:r>
      <w:r w:rsidR="00F21655" w:rsidRPr="003C4388">
        <w:rPr>
          <w:rFonts w:ascii="Times New Roman" w:hAnsi="Times New Roman" w:cs="Times New Roman"/>
          <w:sz w:val="28"/>
          <w:szCs w:val="28"/>
        </w:rPr>
        <w:t>применительно</w:t>
      </w:r>
      <w:r w:rsidR="00F21655" w:rsidRPr="00F17A21">
        <w:rPr>
          <w:rFonts w:ascii="Times New Roman" w:hAnsi="Times New Roman" w:cs="Times New Roman"/>
          <w:sz w:val="28"/>
          <w:szCs w:val="28"/>
        </w:rPr>
        <w:t xml:space="preserve"> к предстоящей реформе гра</w:t>
      </w:r>
      <w:r w:rsidR="00F21655">
        <w:rPr>
          <w:rFonts w:ascii="Times New Roman" w:hAnsi="Times New Roman" w:cs="Times New Roman"/>
          <w:sz w:val="28"/>
          <w:szCs w:val="28"/>
        </w:rPr>
        <w:t>жданского процессуального права очевиден.</w:t>
      </w:r>
      <w:proofErr w:type="gramEnd"/>
      <w:r w:rsidR="00F21655">
        <w:rPr>
          <w:rFonts w:ascii="Times New Roman" w:hAnsi="Times New Roman" w:cs="Times New Roman"/>
          <w:sz w:val="28"/>
          <w:szCs w:val="28"/>
        </w:rPr>
        <w:t xml:space="preserve"> Неизбежность реформы является данностью, опираясь на которую теоретики и практики российского гражданского процесса должны приложить максимум усилий для того, чтобы реформа гражданского процессуального права привела к действительному обеспечению права на судебную защиту,</w:t>
      </w:r>
      <w:r>
        <w:rPr>
          <w:rFonts w:ascii="Times New Roman" w:hAnsi="Times New Roman" w:cs="Times New Roman"/>
          <w:sz w:val="28"/>
          <w:szCs w:val="28"/>
        </w:rPr>
        <w:t xml:space="preserve"> равенству всех перед законом и </w:t>
      </w:r>
      <w:r>
        <w:rPr>
          <w:rFonts w:ascii="Times New Roman" w:hAnsi="Times New Roman" w:cs="Times New Roman"/>
          <w:sz w:val="28"/>
          <w:szCs w:val="28"/>
        </w:rPr>
        <w:lastRenderedPageBreak/>
        <w:t>судом</w:t>
      </w:r>
      <w:r w:rsidR="00F21655">
        <w:rPr>
          <w:rFonts w:ascii="Times New Roman" w:hAnsi="Times New Roman" w:cs="Times New Roman"/>
          <w:sz w:val="28"/>
          <w:szCs w:val="28"/>
        </w:rPr>
        <w:t xml:space="preserve"> укреплению судебной власти и продвижению вперед на пути к правовому государству. </w:t>
      </w:r>
    </w:p>
    <w:p w:rsidR="00C146E7" w:rsidRPr="00C146E7" w:rsidRDefault="00C146E7" w:rsidP="00C146E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F17A21">
        <w:rPr>
          <w:rFonts w:ascii="Times New Roman" w:eastAsia="Calibri" w:hAnsi="Times New Roman" w:cs="Times New Roman"/>
          <w:sz w:val="28"/>
          <w:szCs w:val="28"/>
        </w:rPr>
        <w:t xml:space="preserve">Исследуя тему доступности правосудия, судебной защиты прав человека, Л.Л. </w:t>
      </w:r>
      <w:proofErr w:type="spellStart"/>
      <w:r w:rsidRPr="00F17A21">
        <w:rPr>
          <w:rFonts w:ascii="Times New Roman" w:eastAsia="Calibri" w:hAnsi="Times New Roman" w:cs="Times New Roman"/>
          <w:sz w:val="28"/>
          <w:szCs w:val="28"/>
        </w:rPr>
        <w:t>Шамшурин</w:t>
      </w:r>
      <w:proofErr w:type="spellEnd"/>
      <w:r w:rsidRPr="00F17A21">
        <w:rPr>
          <w:rFonts w:ascii="Times New Roman" w:eastAsia="Calibri" w:hAnsi="Times New Roman" w:cs="Times New Roman"/>
          <w:sz w:val="28"/>
          <w:szCs w:val="28"/>
        </w:rPr>
        <w:t xml:space="preserve"> отметил, что </w:t>
      </w:r>
      <w:r>
        <w:rPr>
          <w:rFonts w:ascii="Times New Roman" w:eastAsia="Calibri" w:hAnsi="Times New Roman" w:cs="Times New Roman"/>
          <w:sz w:val="28"/>
          <w:szCs w:val="28"/>
        </w:rPr>
        <w:t>«</w:t>
      </w:r>
      <w:r w:rsidRPr="00F17A21">
        <w:rPr>
          <w:rFonts w:ascii="Times New Roman" w:eastAsia="Calibri" w:hAnsi="Times New Roman" w:cs="Times New Roman"/>
          <w:sz w:val="28"/>
          <w:szCs w:val="28"/>
        </w:rPr>
        <w:t>безусловное признание и защита естественных прав человека и гражданина, равенство всех перед законом и  правосудием, надежная юридическая защищенность личности лежит в основе любого гражданского общества; доступное правосудие и справедливое разбирательство в разумный срок являются одними из его основных признаков.</w:t>
      </w:r>
      <w:proofErr w:type="gramEnd"/>
      <w:r w:rsidRPr="00F17A21">
        <w:rPr>
          <w:rFonts w:ascii="Times New Roman" w:eastAsia="Calibri" w:hAnsi="Times New Roman" w:cs="Times New Roman"/>
          <w:sz w:val="28"/>
          <w:szCs w:val="28"/>
        </w:rPr>
        <w:t xml:space="preserve"> Без решения этих проблем невозможно полноценное обеспечение прав человека и нормальное функционирование гражданского общества</w:t>
      </w:r>
      <w:r>
        <w:rPr>
          <w:rFonts w:ascii="Times New Roman" w:eastAsia="Calibri" w:hAnsi="Times New Roman" w:cs="Times New Roman"/>
          <w:sz w:val="28"/>
          <w:szCs w:val="28"/>
        </w:rPr>
        <w:t>»</w:t>
      </w:r>
      <w:r>
        <w:rPr>
          <w:rFonts w:ascii="Times New Roman" w:eastAsia="Calibri" w:hAnsi="Times New Roman" w:cs="Times New Roman"/>
          <w:sz w:val="28"/>
          <w:szCs w:val="28"/>
          <w:vertAlign w:val="superscript"/>
        </w:rPr>
        <w:t>9</w:t>
      </w:r>
      <w:r>
        <w:rPr>
          <w:rFonts w:ascii="Times New Roman" w:eastAsia="Calibri" w:hAnsi="Times New Roman" w:cs="Times New Roman"/>
          <w:sz w:val="28"/>
          <w:szCs w:val="28"/>
        </w:rPr>
        <w:t xml:space="preserve">. </w:t>
      </w:r>
    </w:p>
    <w:p w:rsidR="00BC3268" w:rsidRDefault="00BC3268" w:rsidP="00BC3268">
      <w:pPr>
        <w:spacing w:line="360" w:lineRule="auto"/>
        <w:rPr>
          <w:rFonts w:ascii="Times New Roman" w:hAnsi="Times New Roman" w:cs="Times New Roman"/>
          <w:i/>
          <w:sz w:val="28"/>
          <w:szCs w:val="28"/>
        </w:rPr>
      </w:pPr>
      <w:r w:rsidRPr="00F17A21">
        <w:rPr>
          <w:rFonts w:ascii="Times New Roman" w:hAnsi="Times New Roman" w:cs="Times New Roman"/>
          <w:i/>
          <w:sz w:val="28"/>
          <w:szCs w:val="28"/>
        </w:rPr>
        <w:t xml:space="preserve"> </w:t>
      </w:r>
    </w:p>
    <w:p w:rsidR="002B6144" w:rsidRPr="00BC3268" w:rsidRDefault="002B6144" w:rsidP="00BC3268">
      <w:pPr>
        <w:spacing w:line="360" w:lineRule="auto"/>
        <w:rPr>
          <w:rFonts w:ascii="Times New Roman" w:hAnsi="Times New Roman" w:cs="Times New Roman"/>
          <w:sz w:val="24"/>
          <w:szCs w:val="24"/>
        </w:rPr>
      </w:pPr>
      <w:r w:rsidRPr="00BC3268">
        <w:rPr>
          <w:rFonts w:ascii="Times New Roman" w:hAnsi="Times New Roman" w:cs="Times New Roman"/>
          <w:sz w:val="24"/>
          <w:szCs w:val="24"/>
          <w:vertAlign w:val="superscript"/>
        </w:rPr>
        <w:t>1</w:t>
      </w:r>
      <w:r w:rsidRPr="00BC3268">
        <w:rPr>
          <w:rFonts w:ascii="Times New Roman" w:hAnsi="Times New Roman" w:cs="Times New Roman"/>
          <w:sz w:val="24"/>
          <w:szCs w:val="24"/>
        </w:rPr>
        <w:t>Малешин Д.Я. Гражданская процессуальная система России. – М.</w:t>
      </w:r>
      <w:r w:rsidR="00BC3268">
        <w:rPr>
          <w:rFonts w:ascii="Times New Roman" w:hAnsi="Times New Roman" w:cs="Times New Roman"/>
          <w:sz w:val="24"/>
          <w:szCs w:val="24"/>
        </w:rPr>
        <w:t>: Статут, 2011, с.5.</w:t>
      </w:r>
    </w:p>
    <w:p w:rsidR="00C146E7" w:rsidRPr="00300B8C" w:rsidRDefault="002B6144" w:rsidP="00BC3268">
      <w:pPr>
        <w:spacing w:line="360" w:lineRule="auto"/>
        <w:rPr>
          <w:rFonts w:ascii="Times New Roman" w:hAnsi="Times New Roman" w:cs="Times New Roman"/>
          <w:sz w:val="24"/>
          <w:szCs w:val="24"/>
        </w:rPr>
      </w:pPr>
      <w:r w:rsidRPr="00BC3268">
        <w:rPr>
          <w:rFonts w:ascii="Times New Roman" w:hAnsi="Times New Roman" w:cs="Times New Roman"/>
          <w:sz w:val="24"/>
          <w:szCs w:val="24"/>
          <w:vertAlign w:val="superscript"/>
        </w:rPr>
        <w:t>2.</w:t>
      </w:r>
      <w:r w:rsidRPr="00BC3268">
        <w:rPr>
          <w:rFonts w:ascii="Times New Roman" w:hAnsi="Times New Roman" w:cs="Times New Roman"/>
          <w:sz w:val="24"/>
          <w:szCs w:val="24"/>
        </w:rPr>
        <w:t xml:space="preserve">«Российская газета – Бизнес», 2012, №№ 866-868; </w:t>
      </w:r>
      <w:hyperlink r:id="rId10" w:history="1">
        <w:r w:rsidRPr="00300B8C">
          <w:rPr>
            <w:rFonts w:ascii="Times New Roman" w:hAnsi="Times New Roman" w:cs="Times New Roman"/>
            <w:sz w:val="24"/>
            <w:szCs w:val="24"/>
            <w:u w:val="single"/>
          </w:rPr>
          <w:t>http://base.consultant.ru/cons/cgi/online.cgi?req=doc;base=LAW;n=135603</w:t>
        </w:r>
      </w:hyperlink>
      <w:r w:rsidRPr="00300B8C">
        <w:rPr>
          <w:rFonts w:ascii="Times New Roman" w:hAnsi="Times New Roman" w:cs="Times New Roman"/>
          <w:sz w:val="24"/>
          <w:szCs w:val="24"/>
        </w:rPr>
        <w:t xml:space="preserve">.  </w:t>
      </w:r>
    </w:p>
    <w:p w:rsidR="002B6144" w:rsidRPr="00300B8C" w:rsidRDefault="002B6144" w:rsidP="00BC3268">
      <w:pPr>
        <w:spacing w:line="360" w:lineRule="auto"/>
        <w:rPr>
          <w:rFonts w:ascii="Times New Roman" w:eastAsia="Calibri" w:hAnsi="Times New Roman" w:cs="Times New Roman"/>
          <w:sz w:val="24"/>
          <w:szCs w:val="24"/>
        </w:rPr>
      </w:pPr>
      <w:r w:rsidRPr="00BC3268">
        <w:rPr>
          <w:rFonts w:ascii="Times New Roman" w:eastAsia="Calibri" w:hAnsi="Times New Roman" w:cs="Times New Roman"/>
          <w:sz w:val="24"/>
          <w:szCs w:val="24"/>
          <w:vertAlign w:val="superscript"/>
        </w:rPr>
        <w:t>3</w:t>
      </w:r>
      <w:r w:rsidR="00BC3268">
        <w:rPr>
          <w:rFonts w:ascii="Times New Roman" w:hAnsi="Times New Roman" w:cs="Times New Roman"/>
          <w:sz w:val="24"/>
          <w:szCs w:val="24"/>
        </w:rPr>
        <w:t xml:space="preserve">Электронный </w:t>
      </w:r>
      <w:r w:rsidRPr="00BC3268">
        <w:rPr>
          <w:rFonts w:ascii="Times New Roman" w:hAnsi="Times New Roman" w:cs="Times New Roman"/>
          <w:sz w:val="24"/>
          <w:szCs w:val="24"/>
        </w:rPr>
        <w:t xml:space="preserve">ресурс: URL: </w:t>
      </w:r>
      <w:hyperlink r:id="rId11" w:history="1">
        <w:r w:rsidRPr="00300B8C">
          <w:rPr>
            <w:rStyle w:val="a3"/>
            <w:rFonts w:ascii="Times New Roman" w:eastAsia="Calibri" w:hAnsi="Times New Roman" w:cs="Times New Roman"/>
            <w:color w:val="auto"/>
            <w:sz w:val="24"/>
            <w:szCs w:val="24"/>
          </w:rPr>
          <w:t>http://asozd2.duma.gov.ru/main.nsf/%28SpravkaNew%29?OpenAgent&amp;RN=306504-6&amp;02</w:t>
        </w:r>
      </w:hyperlink>
    </w:p>
    <w:p w:rsidR="00BC3268" w:rsidRDefault="002B6144" w:rsidP="00BC3268">
      <w:pPr>
        <w:spacing w:line="360" w:lineRule="auto"/>
        <w:rPr>
          <w:rFonts w:ascii="Times New Roman" w:eastAsia="Calibri" w:hAnsi="Times New Roman" w:cs="Times New Roman"/>
          <w:sz w:val="24"/>
          <w:szCs w:val="24"/>
        </w:rPr>
      </w:pPr>
      <w:r w:rsidRPr="00BC3268">
        <w:rPr>
          <w:rFonts w:ascii="Times New Roman" w:eastAsia="Calibri" w:hAnsi="Times New Roman" w:cs="Times New Roman"/>
          <w:sz w:val="24"/>
          <w:szCs w:val="24"/>
          <w:vertAlign w:val="superscript"/>
        </w:rPr>
        <w:t xml:space="preserve">4 </w:t>
      </w:r>
      <w:proofErr w:type="spellStart"/>
      <w:r w:rsidRPr="00BC3268">
        <w:rPr>
          <w:rFonts w:ascii="Times New Roman" w:eastAsia="Calibri" w:hAnsi="Times New Roman" w:cs="Times New Roman"/>
          <w:sz w:val="24"/>
          <w:szCs w:val="24"/>
        </w:rPr>
        <w:t>Комарицкий</w:t>
      </w:r>
      <w:proofErr w:type="spellEnd"/>
      <w:r w:rsidRPr="00BC3268">
        <w:rPr>
          <w:rFonts w:ascii="Times New Roman" w:eastAsia="Calibri" w:hAnsi="Times New Roman" w:cs="Times New Roman"/>
          <w:sz w:val="24"/>
          <w:szCs w:val="24"/>
        </w:rPr>
        <w:t xml:space="preserve"> С.И. Проект закона о судебно-экспертной деятельности в Российской Федерации и проблема участия в проведении судебной экспертизы негосударственных экспертов. </w:t>
      </w:r>
      <w:r w:rsidR="00BC3268">
        <w:rPr>
          <w:rFonts w:ascii="Times New Roman" w:eastAsia="Calibri" w:hAnsi="Times New Roman" w:cs="Times New Roman"/>
          <w:sz w:val="24"/>
          <w:szCs w:val="24"/>
        </w:rPr>
        <w:t xml:space="preserve">// </w:t>
      </w:r>
      <w:r w:rsidRPr="00BC3268">
        <w:rPr>
          <w:rFonts w:ascii="Times New Roman" w:eastAsia="Calibri" w:hAnsi="Times New Roman" w:cs="Times New Roman"/>
          <w:sz w:val="24"/>
          <w:szCs w:val="24"/>
        </w:rPr>
        <w:t>Юрист,</w:t>
      </w:r>
      <w:r w:rsidR="00BC3268">
        <w:rPr>
          <w:rFonts w:ascii="Times New Roman" w:eastAsia="Calibri" w:hAnsi="Times New Roman" w:cs="Times New Roman"/>
          <w:sz w:val="24"/>
          <w:szCs w:val="24"/>
        </w:rPr>
        <w:t xml:space="preserve"> 2014, №17, с.36-41.</w:t>
      </w:r>
    </w:p>
    <w:p w:rsidR="002B6144" w:rsidRPr="00300B8C" w:rsidRDefault="002B6144" w:rsidP="00BC3268">
      <w:pPr>
        <w:spacing w:line="360" w:lineRule="auto"/>
        <w:rPr>
          <w:rFonts w:ascii="Times New Roman" w:eastAsia="Calibri" w:hAnsi="Times New Roman" w:cs="Times New Roman"/>
          <w:sz w:val="24"/>
          <w:szCs w:val="24"/>
        </w:rPr>
      </w:pPr>
      <w:r w:rsidRPr="00BC3268">
        <w:rPr>
          <w:rFonts w:ascii="Times New Roman" w:hAnsi="Times New Roman" w:cs="Times New Roman"/>
          <w:sz w:val="24"/>
          <w:szCs w:val="24"/>
          <w:vertAlign w:val="superscript"/>
        </w:rPr>
        <w:t xml:space="preserve">5 </w:t>
      </w:r>
      <w:r w:rsidRPr="00BC3268">
        <w:rPr>
          <w:rFonts w:ascii="Times New Roman" w:hAnsi="Times New Roman" w:cs="Times New Roman"/>
          <w:sz w:val="24"/>
          <w:szCs w:val="24"/>
        </w:rPr>
        <w:t xml:space="preserve">Электронный ресурс: URL: </w:t>
      </w:r>
      <w:hyperlink r:id="rId12" w:history="1">
        <w:r w:rsidR="00BC3268" w:rsidRPr="00300B8C">
          <w:rPr>
            <w:rStyle w:val="a3"/>
            <w:rFonts w:ascii="Times New Roman" w:hAnsi="Times New Roman" w:cs="Times New Roman"/>
            <w:color w:val="auto"/>
            <w:sz w:val="24"/>
            <w:szCs w:val="24"/>
          </w:rPr>
          <w:t>http://asozd2.duma.gov.ru/main.nsf/%28SpravkaNew%29?OpenAgent&amp;RN=246960-6&amp;02</w:t>
        </w:r>
      </w:hyperlink>
      <w:r w:rsidR="00BC3268" w:rsidRPr="00300B8C">
        <w:rPr>
          <w:rFonts w:ascii="Times New Roman" w:hAnsi="Times New Roman" w:cs="Times New Roman"/>
          <w:sz w:val="24"/>
          <w:szCs w:val="24"/>
        </w:rPr>
        <w:t>.</w:t>
      </w:r>
    </w:p>
    <w:p w:rsidR="00BC3268" w:rsidRPr="00BC3268" w:rsidRDefault="00BC3268" w:rsidP="00BC3268">
      <w:pPr>
        <w:widowControl w:val="0"/>
        <w:autoSpaceDE w:val="0"/>
        <w:autoSpaceDN w:val="0"/>
        <w:adjustRightInd w:val="0"/>
        <w:spacing w:after="0" w:line="360" w:lineRule="auto"/>
        <w:rPr>
          <w:rFonts w:ascii="Times New Roman" w:hAnsi="Times New Roman" w:cs="Times New Roman"/>
          <w:sz w:val="24"/>
          <w:szCs w:val="24"/>
        </w:rPr>
      </w:pPr>
      <w:r w:rsidRPr="00BC3268">
        <w:rPr>
          <w:rFonts w:ascii="Times New Roman" w:eastAsia="Calibri" w:hAnsi="Times New Roman" w:cs="Times New Roman"/>
          <w:sz w:val="24"/>
          <w:szCs w:val="24"/>
          <w:vertAlign w:val="superscript"/>
        </w:rPr>
        <w:t xml:space="preserve">6 </w:t>
      </w:r>
      <w:r w:rsidRPr="00BC3268">
        <w:rPr>
          <w:rFonts w:ascii="Times New Roman" w:hAnsi="Times New Roman" w:cs="Times New Roman"/>
          <w:sz w:val="24"/>
          <w:szCs w:val="24"/>
        </w:rPr>
        <w:t xml:space="preserve">Дьяконова О.Г. Институт использования специальных знаний в проекте Кодекса административного судопроизводства. </w:t>
      </w:r>
      <w:r>
        <w:rPr>
          <w:rFonts w:ascii="Times New Roman" w:hAnsi="Times New Roman" w:cs="Times New Roman"/>
          <w:sz w:val="24"/>
          <w:szCs w:val="24"/>
        </w:rPr>
        <w:t>//</w:t>
      </w:r>
      <w:r w:rsidRPr="00BC3268">
        <w:rPr>
          <w:rFonts w:ascii="Times New Roman" w:hAnsi="Times New Roman" w:cs="Times New Roman"/>
          <w:sz w:val="24"/>
          <w:szCs w:val="24"/>
        </w:rPr>
        <w:t xml:space="preserve"> Административное право и процесс, 2014, N 2, с.36-39.</w:t>
      </w:r>
    </w:p>
    <w:p w:rsidR="00BC3268" w:rsidRPr="00BC3268" w:rsidRDefault="00BC3268" w:rsidP="00BC3268">
      <w:pPr>
        <w:widowControl w:val="0"/>
        <w:autoSpaceDE w:val="0"/>
        <w:autoSpaceDN w:val="0"/>
        <w:adjustRightInd w:val="0"/>
        <w:spacing w:after="0" w:line="360" w:lineRule="auto"/>
        <w:rPr>
          <w:rFonts w:ascii="Times New Roman" w:hAnsi="Times New Roman" w:cs="Times New Roman"/>
          <w:sz w:val="24"/>
          <w:szCs w:val="24"/>
        </w:rPr>
      </w:pPr>
      <w:r w:rsidRPr="00BC3268">
        <w:rPr>
          <w:rFonts w:ascii="Times New Roman" w:hAnsi="Times New Roman" w:cs="Times New Roman"/>
          <w:sz w:val="24"/>
          <w:szCs w:val="24"/>
          <w:vertAlign w:val="superscript"/>
        </w:rPr>
        <w:t xml:space="preserve">7 </w:t>
      </w:r>
      <w:proofErr w:type="spellStart"/>
      <w:r w:rsidRPr="00BC3268">
        <w:rPr>
          <w:rFonts w:ascii="Times New Roman" w:hAnsi="Times New Roman" w:cs="Times New Roman"/>
          <w:sz w:val="24"/>
          <w:szCs w:val="24"/>
        </w:rPr>
        <w:t>Зейдер</w:t>
      </w:r>
      <w:proofErr w:type="spellEnd"/>
      <w:r w:rsidRPr="00BC3268">
        <w:rPr>
          <w:rFonts w:ascii="Times New Roman" w:hAnsi="Times New Roman" w:cs="Times New Roman"/>
          <w:sz w:val="24"/>
          <w:szCs w:val="24"/>
        </w:rPr>
        <w:t xml:space="preserve"> Н.Б.  Предмет и система советского гражданского процессуального права. </w:t>
      </w:r>
      <w:r>
        <w:rPr>
          <w:rFonts w:ascii="Times New Roman" w:hAnsi="Times New Roman" w:cs="Times New Roman"/>
          <w:sz w:val="24"/>
          <w:szCs w:val="24"/>
        </w:rPr>
        <w:t>//</w:t>
      </w:r>
      <w:r w:rsidRPr="00BC3268">
        <w:rPr>
          <w:rFonts w:ascii="Times New Roman" w:hAnsi="Times New Roman" w:cs="Times New Roman"/>
          <w:sz w:val="24"/>
          <w:szCs w:val="24"/>
        </w:rPr>
        <w:t xml:space="preserve">  Правоведение ,1962</w:t>
      </w:r>
      <w:r>
        <w:rPr>
          <w:rFonts w:ascii="Times New Roman" w:hAnsi="Times New Roman" w:cs="Times New Roman"/>
          <w:sz w:val="24"/>
          <w:szCs w:val="24"/>
        </w:rPr>
        <w:t>, №3.</w:t>
      </w:r>
    </w:p>
    <w:p w:rsidR="00BC3268" w:rsidRPr="00BC3268" w:rsidRDefault="00BC3268" w:rsidP="00BC3268">
      <w:pPr>
        <w:widowControl w:val="0"/>
        <w:autoSpaceDE w:val="0"/>
        <w:autoSpaceDN w:val="0"/>
        <w:adjustRightInd w:val="0"/>
        <w:spacing w:after="0" w:line="360" w:lineRule="auto"/>
        <w:rPr>
          <w:rFonts w:ascii="Times New Roman" w:hAnsi="Times New Roman" w:cs="Times New Roman"/>
          <w:sz w:val="24"/>
          <w:szCs w:val="24"/>
        </w:rPr>
      </w:pPr>
      <w:r w:rsidRPr="00BC3268">
        <w:rPr>
          <w:rFonts w:ascii="Times New Roman" w:hAnsi="Times New Roman" w:cs="Times New Roman"/>
          <w:sz w:val="24"/>
          <w:szCs w:val="24"/>
          <w:vertAlign w:val="superscript"/>
        </w:rPr>
        <w:t xml:space="preserve">8 </w:t>
      </w:r>
      <w:r w:rsidRPr="00BC3268">
        <w:rPr>
          <w:rFonts w:ascii="Times New Roman" w:hAnsi="Times New Roman" w:cs="Times New Roman"/>
          <w:sz w:val="24"/>
          <w:szCs w:val="24"/>
        </w:rPr>
        <w:t xml:space="preserve">Попова Ю.А. Современные проблемы гражданского процессуального (судопроизводственного)  права России. Краснодар: </w:t>
      </w:r>
      <w:proofErr w:type="spellStart"/>
      <w:r w:rsidRPr="00BC3268">
        <w:rPr>
          <w:rFonts w:ascii="Times New Roman" w:hAnsi="Times New Roman" w:cs="Times New Roman"/>
          <w:sz w:val="24"/>
          <w:szCs w:val="24"/>
        </w:rPr>
        <w:t>КубГАУ</w:t>
      </w:r>
      <w:proofErr w:type="spellEnd"/>
      <w:r w:rsidRPr="00BC3268">
        <w:rPr>
          <w:rFonts w:ascii="Times New Roman" w:hAnsi="Times New Roman" w:cs="Times New Roman"/>
          <w:sz w:val="24"/>
          <w:szCs w:val="24"/>
        </w:rPr>
        <w:t>, 2012. – 383с</w:t>
      </w:r>
      <w:proofErr w:type="gramStart"/>
      <w:r>
        <w:rPr>
          <w:rFonts w:ascii="Times New Roman" w:hAnsi="Times New Roman" w:cs="Times New Roman"/>
          <w:sz w:val="24"/>
          <w:szCs w:val="24"/>
        </w:rPr>
        <w:t>.</w:t>
      </w:r>
      <w:r w:rsidRPr="00BC3268">
        <w:rPr>
          <w:rFonts w:ascii="Times New Roman" w:hAnsi="Times New Roman" w:cs="Times New Roman"/>
          <w:sz w:val="24"/>
          <w:szCs w:val="24"/>
        </w:rPr>
        <w:t>.</w:t>
      </w:r>
      <w:proofErr w:type="gramEnd"/>
    </w:p>
    <w:p w:rsidR="00BC3268" w:rsidRPr="00BC3268" w:rsidRDefault="00BC3268" w:rsidP="00BC3268">
      <w:pPr>
        <w:pBdr>
          <w:bottom w:val="single" w:sz="6" w:space="1" w:color="auto"/>
        </w:pBdr>
        <w:spacing w:before="360" w:after="360" w:line="360" w:lineRule="auto"/>
        <w:rPr>
          <w:rFonts w:ascii="Times New Roman" w:eastAsia="Calibri" w:hAnsi="Times New Roman" w:cs="Times New Roman"/>
          <w:sz w:val="24"/>
          <w:szCs w:val="24"/>
        </w:rPr>
      </w:pPr>
      <w:r w:rsidRPr="00BC3268">
        <w:rPr>
          <w:rFonts w:ascii="Times New Roman" w:eastAsia="Calibri" w:hAnsi="Times New Roman" w:cs="Times New Roman"/>
          <w:sz w:val="24"/>
          <w:szCs w:val="24"/>
          <w:vertAlign w:val="superscript"/>
        </w:rPr>
        <w:lastRenderedPageBreak/>
        <w:t xml:space="preserve">9 </w:t>
      </w:r>
      <w:proofErr w:type="spellStart"/>
      <w:r w:rsidRPr="00BC3268">
        <w:rPr>
          <w:rFonts w:ascii="Times New Roman" w:eastAsia="Calibri" w:hAnsi="Times New Roman" w:cs="Times New Roman"/>
          <w:sz w:val="24"/>
          <w:szCs w:val="24"/>
        </w:rPr>
        <w:t>Шамшурин</w:t>
      </w:r>
      <w:proofErr w:type="spellEnd"/>
      <w:r w:rsidRPr="00BC3268">
        <w:rPr>
          <w:rFonts w:ascii="Times New Roman" w:eastAsia="Calibri" w:hAnsi="Times New Roman" w:cs="Times New Roman"/>
          <w:sz w:val="24"/>
          <w:szCs w:val="24"/>
        </w:rPr>
        <w:t xml:space="preserve"> Л.Л. Доступность правосудия как гарантия права на судебную защиту в сфере гражданской юрисдикции // Арбитражный и гражданский процесс, 2011, №1</w:t>
      </w:r>
      <w:r>
        <w:rPr>
          <w:rFonts w:ascii="Times New Roman" w:eastAsia="Calibri" w:hAnsi="Times New Roman" w:cs="Times New Roman"/>
          <w:sz w:val="24"/>
          <w:szCs w:val="24"/>
        </w:rPr>
        <w:t>.</w:t>
      </w:r>
    </w:p>
    <w:p w:rsidR="00BC3268" w:rsidRPr="00BC3268" w:rsidRDefault="00BC3268" w:rsidP="00BC3268">
      <w:pPr>
        <w:widowControl w:val="0"/>
        <w:autoSpaceDE w:val="0"/>
        <w:autoSpaceDN w:val="0"/>
        <w:adjustRightInd w:val="0"/>
        <w:spacing w:after="0" w:line="360" w:lineRule="auto"/>
        <w:rPr>
          <w:rFonts w:ascii="Times New Roman" w:hAnsi="Times New Roman" w:cs="Times New Roman"/>
          <w:sz w:val="24"/>
          <w:szCs w:val="24"/>
        </w:rPr>
      </w:pPr>
    </w:p>
    <w:p w:rsidR="00BC3268" w:rsidRPr="00E1146D" w:rsidRDefault="00BC3268" w:rsidP="002B6144">
      <w:pPr>
        <w:widowControl w:val="0"/>
        <w:autoSpaceDE w:val="0"/>
        <w:autoSpaceDN w:val="0"/>
        <w:adjustRightInd w:val="0"/>
        <w:spacing w:after="0" w:line="360" w:lineRule="auto"/>
        <w:ind w:firstLine="540"/>
        <w:jc w:val="both"/>
        <w:rPr>
          <w:rFonts w:ascii="Times New Roman" w:hAnsi="Times New Roman" w:cs="Times New Roman"/>
          <w:i/>
          <w:sz w:val="28"/>
          <w:szCs w:val="28"/>
        </w:rPr>
      </w:pPr>
    </w:p>
    <w:p w:rsidR="002B6144" w:rsidRPr="00F17A21" w:rsidRDefault="002B6144" w:rsidP="00F21655">
      <w:pPr>
        <w:spacing w:line="360" w:lineRule="auto"/>
        <w:jc w:val="both"/>
        <w:rPr>
          <w:rFonts w:ascii="Times New Roman" w:hAnsi="Times New Roman" w:cs="Times New Roman"/>
          <w:sz w:val="28"/>
          <w:szCs w:val="28"/>
        </w:rPr>
      </w:pPr>
    </w:p>
    <w:p w:rsidR="00F21655" w:rsidRPr="00363C94" w:rsidRDefault="00F21655" w:rsidP="00F21655">
      <w:pPr>
        <w:widowControl w:val="0"/>
        <w:autoSpaceDE w:val="0"/>
        <w:autoSpaceDN w:val="0"/>
        <w:adjustRightInd w:val="0"/>
        <w:spacing w:after="0" w:line="360" w:lineRule="auto"/>
        <w:jc w:val="both"/>
        <w:rPr>
          <w:rFonts w:ascii="Times New Roman" w:hAnsi="Times New Roman" w:cs="Times New Roman"/>
          <w:sz w:val="28"/>
          <w:szCs w:val="28"/>
        </w:rPr>
      </w:pPr>
    </w:p>
    <w:p w:rsidR="00F21655" w:rsidRPr="00F17A21" w:rsidRDefault="00F21655" w:rsidP="00F21655">
      <w:pPr>
        <w:spacing w:line="360" w:lineRule="auto"/>
        <w:rPr>
          <w:rFonts w:ascii="Times New Roman" w:hAnsi="Times New Roman" w:cs="Times New Roman"/>
          <w:sz w:val="28"/>
          <w:szCs w:val="28"/>
        </w:rPr>
      </w:pPr>
    </w:p>
    <w:p w:rsidR="00F21655" w:rsidRDefault="00F21655" w:rsidP="00F21655"/>
    <w:p w:rsidR="00FF5330" w:rsidRDefault="00FF5330"/>
    <w:sectPr w:rsidR="00FF5330">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FC1" w:rsidRDefault="003B4FC1" w:rsidP="00C146E7">
      <w:pPr>
        <w:spacing w:after="0" w:line="240" w:lineRule="auto"/>
      </w:pPr>
      <w:r>
        <w:separator/>
      </w:r>
    </w:p>
  </w:endnote>
  <w:endnote w:type="continuationSeparator" w:id="0">
    <w:p w:rsidR="003B4FC1" w:rsidRDefault="003B4FC1" w:rsidP="00C14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000642"/>
      <w:docPartObj>
        <w:docPartGallery w:val="Page Numbers (Bottom of Page)"/>
        <w:docPartUnique/>
      </w:docPartObj>
    </w:sdtPr>
    <w:sdtEndPr/>
    <w:sdtContent>
      <w:p w:rsidR="00C146E7" w:rsidRDefault="00C146E7">
        <w:pPr>
          <w:pStyle w:val="a6"/>
          <w:jc w:val="right"/>
        </w:pPr>
        <w:r>
          <w:fldChar w:fldCharType="begin"/>
        </w:r>
        <w:r>
          <w:instrText>PAGE   \* MERGEFORMAT</w:instrText>
        </w:r>
        <w:r>
          <w:fldChar w:fldCharType="separate"/>
        </w:r>
        <w:r w:rsidR="00BB5790">
          <w:rPr>
            <w:noProof/>
          </w:rPr>
          <w:t>4</w:t>
        </w:r>
        <w:r>
          <w:fldChar w:fldCharType="end"/>
        </w:r>
      </w:p>
    </w:sdtContent>
  </w:sdt>
  <w:p w:rsidR="00C146E7" w:rsidRDefault="00C146E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FC1" w:rsidRDefault="003B4FC1" w:rsidP="00C146E7">
      <w:pPr>
        <w:spacing w:after="0" w:line="240" w:lineRule="auto"/>
      </w:pPr>
      <w:r>
        <w:separator/>
      </w:r>
    </w:p>
  </w:footnote>
  <w:footnote w:type="continuationSeparator" w:id="0">
    <w:p w:rsidR="003B4FC1" w:rsidRDefault="003B4FC1" w:rsidP="00C146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A4AFB"/>
    <w:multiLevelType w:val="hybridMultilevel"/>
    <w:tmpl w:val="8122931C"/>
    <w:lvl w:ilvl="0" w:tplc="F12A88DA">
      <w:start w:val="7"/>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494CDB"/>
    <w:multiLevelType w:val="hybridMultilevel"/>
    <w:tmpl w:val="255EE62A"/>
    <w:lvl w:ilvl="0" w:tplc="5D2AAA84">
      <w:start w:val="7"/>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655"/>
    <w:rsid w:val="00144227"/>
    <w:rsid w:val="002B6144"/>
    <w:rsid w:val="002D3738"/>
    <w:rsid w:val="00300B8C"/>
    <w:rsid w:val="003B4FC1"/>
    <w:rsid w:val="007C73B3"/>
    <w:rsid w:val="00AE6027"/>
    <w:rsid w:val="00BB5790"/>
    <w:rsid w:val="00BC3268"/>
    <w:rsid w:val="00C146E7"/>
    <w:rsid w:val="00F21655"/>
    <w:rsid w:val="00FF5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6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1655"/>
    <w:rPr>
      <w:color w:val="0000FF"/>
      <w:u w:val="single"/>
    </w:rPr>
  </w:style>
  <w:style w:type="paragraph" w:styleId="a4">
    <w:name w:val="header"/>
    <w:basedOn w:val="a"/>
    <w:link w:val="a5"/>
    <w:uiPriority w:val="99"/>
    <w:unhideWhenUsed/>
    <w:rsid w:val="00C146E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146E7"/>
  </w:style>
  <w:style w:type="paragraph" w:styleId="a6">
    <w:name w:val="footer"/>
    <w:basedOn w:val="a"/>
    <w:link w:val="a7"/>
    <w:uiPriority w:val="99"/>
    <w:unhideWhenUsed/>
    <w:rsid w:val="00C146E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146E7"/>
  </w:style>
  <w:style w:type="paragraph" w:styleId="a8">
    <w:name w:val="footnote text"/>
    <w:basedOn w:val="a"/>
    <w:link w:val="a9"/>
    <w:uiPriority w:val="99"/>
    <w:semiHidden/>
    <w:unhideWhenUsed/>
    <w:rsid w:val="00BC3268"/>
    <w:pPr>
      <w:spacing w:after="0" w:line="240" w:lineRule="auto"/>
    </w:pPr>
    <w:rPr>
      <w:sz w:val="20"/>
      <w:szCs w:val="20"/>
    </w:rPr>
  </w:style>
  <w:style w:type="character" w:customStyle="1" w:styleId="a9">
    <w:name w:val="Текст сноски Знак"/>
    <w:basedOn w:val="a0"/>
    <w:link w:val="a8"/>
    <w:uiPriority w:val="99"/>
    <w:semiHidden/>
    <w:rsid w:val="00BC3268"/>
    <w:rPr>
      <w:sz w:val="20"/>
      <w:szCs w:val="20"/>
    </w:rPr>
  </w:style>
  <w:style w:type="character" w:styleId="aa">
    <w:name w:val="footnote reference"/>
    <w:basedOn w:val="a0"/>
    <w:uiPriority w:val="99"/>
    <w:semiHidden/>
    <w:unhideWhenUsed/>
    <w:rsid w:val="00BC3268"/>
    <w:rPr>
      <w:vertAlign w:val="superscript"/>
    </w:rPr>
  </w:style>
  <w:style w:type="paragraph" w:styleId="ab">
    <w:name w:val="List Paragraph"/>
    <w:basedOn w:val="a"/>
    <w:uiPriority w:val="34"/>
    <w:qFormat/>
    <w:rsid w:val="001442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6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1655"/>
    <w:rPr>
      <w:color w:val="0000FF"/>
      <w:u w:val="single"/>
    </w:rPr>
  </w:style>
  <w:style w:type="paragraph" w:styleId="a4">
    <w:name w:val="header"/>
    <w:basedOn w:val="a"/>
    <w:link w:val="a5"/>
    <w:uiPriority w:val="99"/>
    <w:unhideWhenUsed/>
    <w:rsid w:val="00C146E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146E7"/>
  </w:style>
  <w:style w:type="paragraph" w:styleId="a6">
    <w:name w:val="footer"/>
    <w:basedOn w:val="a"/>
    <w:link w:val="a7"/>
    <w:uiPriority w:val="99"/>
    <w:unhideWhenUsed/>
    <w:rsid w:val="00C146E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146E7"/>
  </w:style>
  <w:style w:type="paragraph" w:styleId="a8">
    <w:name w:val="footnote text"/>
    <w:basedOn w:val="a"/>
    <w:link w:val="a9"/>
    <w:uiPriority w:val="99"/>
    <w:semiHidden/>
    <w:unhideWhenUsed/>
    <w:rsid w:val="00BC3268"/>
    <w:pPr>
      <w:spacing w:after="0" w:line="240" w:lineRule="auto"/>
    </w:pPr>
    <w:rPr>
      <w:sz w:val="20"/>
      <w:szCs w:val="20"/>
    </w:rPr>
  </w:style>
  <w:style w:type="character" w:customStyle="1" w:styleId="a9">
    <w:name w:val="Текст сноски Знак"/>
    <w:basedOn w:val="a0"/>
    <w:link w:val="a8"/>
    <w:uiPriority w:val="99"/>
    <w:semiHidden/>
    <w:rsid w:val="00BC3268"/>
    <w:rPr>
      <w:sz w:val="20"/>
      <w:szCs w:val="20"/>
    </w:rPr>
  </w:style>
  <w:style w:type="character" w:styleId="aa">
    <w:name w:val="footnote reference"/>
    <w:basedOn w:val="a0"/>
    <w:uiPriority w:val="99"/>
    <w:semiHidden/>
    <w:unhideWhenUsed/>
    <w:rsid w:val="00BC3268"/>
    <w:rPr>
      <w:vertAlign w:val="superscript"/>
    </w:rPr>
  </w:style>
  <w:style w:type="paragraph" w:styleId="ab">
    <w:name w:val="List Paragraph"/>
    <w:basedOn w:val="a"/>
    <w:uiPriority w:val="34"/>
    <w:qFormat/>
    <w:rsid w:val="00144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sozd2.duma.gov.ru/main.nsf/%28SpravkaNew%29?OpenAgent&amp;RN=246960-6&amp;0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sozd2.duma.gov.ru/main.nsf/%28SpravkaNew%29?OpenAgent&amp;RN=306504-6&amp;0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base.consultant.ru/cons/cgi/online.cgi?req=doc;base=LAW;n=135603" TargetMode="External"/><Relationship Id="rId4" Type="http://schemas.microsoft.com/office/2007/relationships/stylesWithEffects" Target="stylesWithEffects.xml"/><Relationship Id="rId9" Type="http://schemas.openxmlformats.org/officeDocument/2006/relationships/hyperlink" Target="consultantplus://offline/ref=D9FCC80F56B622753A375EB0D58E18665A3C61CE2FFA9D7452C2E62D24b0qAQ"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10B48-E6F4-4996-9476-BD2AC09F0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1394</Words>
  <Characters>7951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 Бардин</dc:creator>
  <cp:lastModifiedBy>Лев Бардин</cp:lastModifiedBy>
  <cp:revision>5</cp:revision>
  <dcterms:created xsi:type="dcterms:W3CDTF">2015-01-09T15:52:00Z</dcterms:created>
  <dcterms:modified xsi:type="dcterms:W3CDTF">2015-01-12T09:22:00Z</dcterms:modified>
</cp:coreProperties>
</file>