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В. Э. Абелинскайте</w:t>
      </w:r>
    </w:p>
    <w:p w:rsidR="006B1A39" w:rsidRDefault="006B1A39" w:rsidP="00300F85">
      <w:pPr>
        <w:spacing w:after="0" w:line="360" w:lineRule="auto"/>
        <w:ind w:firstLine="709"/>
        <w:jc w:val="both"/>
        <w:rPr>
          <w:rFonts w:ascii="Times New Roman" w:hAnsi="Times New Roman"/>
          <w:b/>
          <w:sz w:val="28"/>
          <w:szCs w:val="28"/>
        </w:rPr>
      </w:pPr>
      <w:r w:rsidRPr="00BF2EC3">
        <w:rPr>
          <w:rFonts w:ascii="Times New Roman" w:hAnsi="Times New Roman"/>
          <w:b/>
          <w:sz w:val="28"/>
          <w:szCs w:val="28"/>
        </w:rPr>
        <w:t xml:space="preserve">Влияние политической элиты на трансформации </w:t>
      </w:r>
      <w:r>
        <w:rPr>
          <w:rFonts w:ascii="Times New Roman" w:hAnsi="Times New Roman"/>
          <w:b/>
          <w:sz w:val="28"/>
          <w:szCs w:val="28"/>
        </w:rPr>
        <w:t>властных институтов современной России</w:t>
      </w:r>
    </w:p>
    <w:p w:rsidR="006B1A39" w:rsidRPr="009F02A0" w:rsidRDefault="006B1A39" w:rsidP="00300F85">
      <w:pPr>
        <w:spacing w:after="0" w:line="360" w:lineRule="auto"/>
        <w:ind w:firstLine="709"/>
        <w:jc w:val="both"/>
        <w:rPr>
          <w:rFonts w:ascii="Times New Roman" w:hAnsi="Times New Roman"/>
          <w:b/>
          <w:sz w:val="28"/>
          <w:szCs w:val="28"/>
        </w:rPr>
      </w:pP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b/>
          <w:sz w:val="28"/>
          <w:szCs w:val="28"/>
        </w:rPr>
        <w:t>Сведения об авторе</w:t>
      </w:r>
      <w:r w:rsidRPr="009F02A0">
        <w:rPr>
          <w:rFonts w:ascii="Times New Roman" w:hAnsi="Times New Roman"/>
          <w:sz w:val="28"/>
          <w:szCs w:val="28"/>
        </w:rPr>
        <w:t>:</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Абелинскайте Вера Эдуардовна, преподаватель Департамента политической науки Факультета социальных наук НИУ «Высшая Школа Экономики»</w:t>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Контактные данные</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b/>
          <w:sz w:val="28"/>
          <w:szCs w:val="28"/>
          <w:lang w:val="en-US"/>
        </w:rPr>
        <w:t>e</w:t>
      </w:r>
      <w:r w:rsidRPr="009F02A0">
        <w:rPr>
          <w:rFonts w:ascii="Times New Roman" w:hAnsi="Times New Roman"/>
          <w:b/>
          <w:sz w:val="28"/>
          <w:szCs w:val="28"/>
        </w:rPr>
        <w:t>-</w:t>
      </w:r>
      <w:r w:rsidRPr="009F02A0">
        <w:rPr>
          <w:rFonts w:ascii="Times New Roman" w:hAnsi="Times New Roman"/>
          <w:b/>
          <w:sz w:val="28"/>
          <w:szCs w:val="28"/>
          <w:lang w:val="en-US"/>
        </w:rPr>
        <w:t>mail</w:t>
      </w:r>
      <w:r w:rsidRPr="009F02A0">
        <w:rPr>
          <w:rFonts w:ascii="Times New Roman" w:hAnsi="Times New Roman"/>
          <w:sz w:val="28"/>
          <w:szCs w:val="28"/>
        </w:rPr>
        <w:t xml:space="preserve">: </w:t>
      </w:r>
      <w:r w:rsidRPr="009F02A0">
        <w:rPr>
          <w:rFonts w:ascii="Times New Roman" w:hAnsi="Times New Roman"/>
          <w:sz w:val="28"/>
          <w:szCs w:val="28"/>
          <w:lang w:val="en-US"/>
        </w:rPr>
        <w:t>abelinskaite</w:t>
      </w:r>
      <w:r w:rsidRPr="009F02A0">
        <w:rPr>
          <w:rFonts w:ascii="Times New Roman" w:hAnsi="Times New Roman"/>
          <w:sz w:val="28"/>
          <w:szCs w:val="28"/>
        </w:rPr>
        <w:t>@</w:t>
      </w:r>
      <w:r w:rsidRPr="009F02A0">
        <w:rPr>
          <w:rFonts w:ascii="Times New Roman" w:hAnsi="Times New Roman"/>
          <w:sz w:val="28"/>
          <w:szCs w:val="28"/>
          <w:lang w:val="en-US"/>
        </w:rPr>
        <w:t>yandex</w:t>
      </w:r>
      <w:r w:rsidRPr="009F02A0">
        <w:rPr>
          <w:rFonts w:ascii="Times New Roman" w:hAnsi="Times New Roman"/>
          <w:sz w:val="28"/>
          <w:szCs w:val="28"/>
        </w:rPr>
        <w:t>.</w:t>
      </w:r>
      <w:r w:rsidRPr="009F02A0">
        <w:rPr>
          <w:rFonts w:ascii="Times New Roman" w:hAnsi="Times New Roman"/>
          <w:sz w:val="28"/>
          <w:szCs w:val="28"/>
          <w:lang w:val="en-US"/>
        </w:rPr>
        <w:t>ru</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b/>
          <w:sz w:val="28"/>
          <w:szCs w:val="28"/>
        </w:rPr>
        <w:t>тел</w:t>
      </w:r>
      <w:r w:rsidRPr="009F02A0">
        <w:rPr>
          <w:rFonts w:ascii="Times New Roman" w:hAnsi="Times New Roman"/>
          <w:sz w:val="28"/>
          <w:szCs w:val="28"/>
        </w:rPr>
        <w:t>. +7 (926) 322 45 38</w:t>
      </w:r>
    </w:p>
    <w:p w:rsidR="006B1A39" w:rsidRPr="009F02A0" w:rsidRDefault="006B1A39" w:rsidP="00300F85">
      <w:pPr>
        <w:spacing w:after="0" w:line="360" w:lineRule="auto"/>
        <w:ind w:firstLine="709"/>
        <w:jc w:val="both"/>
        <w:rPr>
          <w:rFonts w:ascii="Times New Roman" w:hAnsi="Times New Roman"/>
          <w:b/>
          <w:sz w:val="28"/>
          <w:szCs w:val="28"/>
        </w:rPr>
      </w:pPr>
    </w:p>
    <w:p w:rsidR="006B1A39" w:rsidRPr="009F02A0" w:rsidRDefault="006B1A39" w:rsidP="00300F85">
      <w:pPr>
        <w:spacing w:line="360" w:lineRule="auto"/>
        <w:ind w:firstLine="709"/>
        <w:jc w:val="both"/>
        <w:rPr>
          <w:rFonts w:ascii="Times New Roman" w:hAnsi="Times New Roman"/>
          <w:b/>
          <w:sz w:val="28"/>
          <w:szCs w:val="28"/>
        </w:rPr>
      </w:pPr>
      <w:r w:rsidRPr="009F02A0">
        <w:rPr>
          <w:rFonts w:ascii="Times New Roman" w:hAnsi="Times New Roman"/>
          <w:b/>
          <w:sz w:val="28"/>
          <w:szCs w:val="28"/>
        </w:rPr>
        <w:t>Аннотация</w:t>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sz w:val="28"/>
          <w:szCs w:val="28"/>
        </w:rPr>
        <w:t xml:space="preserve">Статья </w:t>
      </w:r>
      <w:r>
        <w:rPr>
          <w:rFonts w:ascii="Times New Roman" w:hAnsi="Times New Roman"/>
          <w:sz w:val="28"/>
          <w:szCs w:val="28"/>
        </w:rPr>
        <w:t xml:space="preserve">представляет результаты исследования </w:t>
      </w:r>
      <w:r w:rsidRPr="009F02A0">
        <w:rPr>
          <w:rFonts w:ascii="Times New Roman" w:hAnsi="Times New Roman"/>
          <w:sz w:val="28"/>
          <w:szCs w:val="28"/>
        </w:rPr>
        <w:t>механизмов консолидации политического режима современной России, важнейшим из которых предлагается считать тенденцию трансформации институтов государственной власти под влиянием политико-административного класса. В ряду процессов изменения властных институтов рассматриваются случаи реформирования Совета Государственной Думы и расширение функций Администрации Президента, произошедшие в 1990-2000-х гг. Обозначенные процессы в связке с недавними изменениями в системе судебной власти подтверждают тезис о «волатильности» российских властных институтов, неявным образом искажённых в интересах политической элиты.</w:t>
      </w:r>
    </w:p>
    <w:p w:rsidR="006B1A39" w:rsidRPr="009F02A0" w:rsidRDefault="006B1A39" w:rsidP="00300F85">
      <w:pPr>
        <w:spacing w:after="0" w:line="360" w:lineRule="auto"/>
        <w:ind w:firstLine="709"/>
        <w:jc w:val="both"/>
        <w:rPr>
          <w:rFonts w:ascii="Times New Roman" w:hAnsi="Times New Roman"/>
          <w:b/>
          <w:sz w:val="28"/>
          <w:szCs w:val="28"/>
        </w:rPr>
      </w:pPr>
    </w:p>
    <w:p w:rsidR="006B1A39" w:rsidRPr="009F02A0" w:rsidRDefault="006B1A39" w:rsidP="00285BEB">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Ключевые слова:</w:t>
      </w:r>
    </w:p>
    <w:p w:rsidR="006B1A39" w:rsidRPr="009F02A0" w:rsidRDefault="006B1A39" w:rsidP="00285BEB">
      <w:pPr>
        <w:spacing w:after="0" w:line="360" w:lineRule="auto"/>
        <w:ind w:firstLine="709"/>
        <w:jc w:val="both"/>
        <w:rPr>
          <w:rFonts w:ascii="Times New Roman" w:hAnsi="Times New Roman"/>
          <w:sz w:val="28"/>
          <w:szCs w:val="28"/>
        </w:rPr>
      </w:pPr>
      <w:r w:rsidRPr="009F02A0">
        <w:rPr>
          <w:rFonts w:ascii="Times New Roman" w:hAnsi="Times New Roman"/>
          <w:sz w:val="28"/>
          <w:szCs w:val="28"/>
        </w:rPr>
        <w:t>политическая элита, властные институты, институциональная трансформация, Россия, неформальные практики.</w:t>
      </w:r>
    </w:p>
    <w:p w:rsidR="006B1A39" w:rsidRDefault="006B1A39" w:rsidP="00300F85">
      <w:pPr>
        <w:spacing w:line="360" w:lineRule="auto"/>
        <w:ind w:firstLine="709"/>
        <w:jc w:val="both"/>
        <w:rPr>
          <w:rFonts w:ascii="Times New Roman" w:hAnsi="Times New Roman"/>
          <w:b/>
          <w:sz w:val="28"/>
          <w:szCs w:val="28"/>
        </w:rPr>
      </w:pPr>
    </w:p>
    <w:p w:rsidR="006B1A39" w:rsidRPr="009F02A0" w:rsidRDefault="006B1A39" w:rsidP="00300F85">
      <w:pPr>
        <w:spacing w:line="360" w:lineRule="auto"/>
        <w:ind w:firstLine="709"/>
        <w:jc w:val="both"/>
        <w:rPr>
          <w:rFonts w:ascii="Times New Roman" w:hAnsi="Times New Roman"/>
          <w:b/>
          <w:sz w:val="28"/>
          <w:szCs w:val="28"/>
          <w:lang w:val="en-US"/>
        </w:rPr>
      </w:pPr>
      <w:r w:rsidRPr="009F02A0">
        <w:rPr>
          <w:rFonts w:ascii="Times New Roman" w:hAnsi="Times New Roman"/>
          <w:b/>
          <w:sz w:val="28"/>
          <w:szCs w:val="28"/>
          <w:lang w:val="en-US"/>
        </w:rPr>
        <w:t>Abstract</w:t>
      </w:r>
    </w:p>
    <w:p w:rsidR="006B1A39" w:rsidRPr="009F02A0" w:rsidRDefault="006B1A39" w:rsidP="00300F85">
      <w:pPr>
        <w:spacing w:after="0" w:line="360" w:lineRule="auto"/>
        <w:ind w:firstLine="709"/>
        <w:jc w:val="both"/>
        <w:rPr>
          <w:rFonts w:ascii="Times New Roman" w:hAnsi="Times New Roman"/>
          <w:b/>
          <w:sz w:val="28"/>
          <w:szCs w:val="28"/>
          <w:lang w:val="en-US"/>
        </w:rPr>
      </w:pPr>
      <w:r w:rsidRPr="009F02A0">
        <w:rPr>
          <w:rFonts w:ascii="Times New Roman" w:hAnsi="Times New Roman"/>
          <w:sz w:val="28"/>
          <w:szCs w:val="28"/>
          <w:lang w:val="en-US"/>
        </w:rPr>
        <w:t>The article analyzes the mechanisms of political regime consolidation in modern Russia. The most important mechanism is the trend of government institutions transformation under the influence of political and administrative class. Among the processes of government institutions change we analyze the cases of the State Duma Council reform and expansion of the Presidential Administration functions that took place in 1990-2000 –ies. These processes with the recent changes in the judiciary power institution confirm the thesis of the "volatility " of the Russian government institutions , implicitly distorted according to the interests of the political elite.</w:t>
      </w:r>
    </w:p>
    <w:p w:rsidR="006B1A39" w:rsidRPr="009F02A0" w:rsidRDefault="006B1A39" w:rsidP="00300F85">
      <w:pPr>
        <w:spacing w:after="0" w:line="360" w:lineRule="auto"/>
        <w:ind w:firstLine="709"/>
        <w:jc w:val="both"/>
        <w:rPr>
          <w:rFonts w:ascii="Times New Roman" w:hAnsi="Times New Roman"/>
          <w:b/>
          <w:sz w:val="28"/>
          <w:szCs w:val="28"/>
          <w:lang w:val="en-US"/>
        </w:rPr>
      </w:pPr>
    </w:p>
    <w:p w:rsidR="006B1A39" w:rsidRPr="009F02A0" w:rsidRDefault="006B1A39" w:rsidP="00300F85">
      <w:pPr>
        <w:spacing w:after="0" w:line="360" w:lineRule="auto"/>
        <w:ind w:firstLine="709"/>
        <w:jc w:val="both"/>
        <w:rPr>
          <w:rFonts w:ascii="Times New Roman" w:hAnsi="Times New Roman"/>
          <w:sz w:val="28"/>
          <w:szCs w:val="28"/>
          <w:lang w:val="en-US"/>
        </w:rPr>
      </w:pPr>
      <w:r w:rsidRPr="009F02A0">
        <w:rPr>
          <w:rFonts w:ascii="Times New Roman" w:hAnsi="Times New Roman"/>
          <w:b/>
          <w:sz w:val="28"/>
          <w:szCs w:val="28"/>
          <w:lang w:val="en-US"/>
        </w:rPr>
        <w:t>Key words</w:t>
      </w:r>
      <w:r w:rsidRPr="009F02A0">
        <w:rPr>
          <w:rFonts w:ascii="Times New Roman" w:hAnsi="Times New Roman"/>
          <w:sz w:val="28"/>
          <w:szCs w:val="28"/>
          <w:lang w:val="en-US"/>
        </w:rPr>
        <w:t>:</w:t>
      </w:r>
    </w:p>
    <w:p w:rsidR="006B1A39" w:rsidRPr="009F02A0" w:rsidRDefault="006B1A39" w:rsidP="00300F85">
      <w:pPr>
        <w:spacing w:after="0" w:line="360" w:lineRule="auto"/>
        <w:ind w:firstLine="709"/>
        <w:jc w:val="both"/>
        <w:rPr>
          <w:rFonts w:ascii="Times New Roman" w:hAnsi="Times New Roman"/>
          <w:sz w:val="28"/>
          <w:szCs w:val="28"/>
          <w:lang w:val="en-US"/>
        </w:rPr>
      </w:pPr>
      <w:r w:rsidRPr="009F02A0">
        <w:rPr>
          <w:rFonts w:ascii="Times New Roman" w:hAnsi="Times New Roman"/>
          <w:sz w:val="28"/>
          <w:szCs w:val="28"/>
          <w:lang w:val="en-US"/>
        </w:rPr>
        <w:t>political elite, power institutions, institutional transformation, Russia, informal practices.</w:t>
      </w:r>
    </w:p>
    <w:p w:rsidR="006B1A39" w:rsidRPr="009F02A0" w:rsidRDefault="006B1A39" w:rsidP="00300F85">
      <w:pPr>
        <w:spacing w:after="0" w:line="360" w:lineRule="auto"/>
        <w:ind w:firstLine="709"/>
        <w:jc w:val="both"/>
        <w:rPr>
          <w:rFonts w:ascii="Times New Roman" w:hAnsi="Times New Roman"/>
          <w:sz w:val="28"/>
          <w:szCs w:val="28"/>
          <w:lang w:val="en-US"/>
        </w:rPr>
      </w:pPr>
    </w:p>
    <w:p w:rsidR="006B1A39" w:rsidRPr="009F02A0" w:rsidRDefault="006B1A39" w:rsidP="00300F85">
      <w:pPr>
        <w:spacing w:after="0" w:line="360" w:lineRule="auto"/>
        <w:rPr>
          <w:rFonts w:ascii="Times New Roman" w:hAnsi="Times New Roman"/>
          <w:b/>
          <w:sz w:val="28"/>
          <w:szCs w:val="28"/>
          <w:lang w:val="en-US"/>
        </w:rPr>
      </w:pPr>
      <w:r w:rsidRPr="009F02A0">
        <w:rPr>
          <w:rFonts w:ascii="Times New Roman" w:hAnsi="Times New Roman"/>
          <w:b/>
          <w:sz w:val="28"/>
          <w:szCs w:val="28"/>
          <w:lang w:val="en-US"/>
        </w:rPr>
        <w:br w:type="page"/>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Введение: общие вопросы и задачи</w:t>
      </w:r>
    </w:p>
    <w:p w:rsidR="006B1A39" w:rsidRDefault="006B1A39" w:rsidP="00300F85">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Исследования траекторий развития политического режима, характерного для современной России, со всей неизбежностью наталкиваются на ряд проблем, одна часть из которых свойственна целому ряду подобных политических систем, другая же специфицирует российский режим со всеми его особенностями и принципами функционирования. Одной из таких общих проблем является механизм институциональной трансформации политической системы в соответствии с теми или иными заданными вводными.</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то время, как условные западные демократии иногда напоминают Нью-Хейвен Роберта Даля</w:t>
      </w:r>
      <w:r>
        <w:rPr>
          <w:rStyle w:val="FootnoteReference"/>
          <w:rFonts w:ascii="Times New Roman" w:hAnsi="Times New Roman"/>
          <w:sz w:val="28"/>
          <w:szCs w:val="28"/>
        </w:rPr>
        <w:footnoteReference w:id="1"/>
      </w:r>
      <w:r w:rsidRPr="009F02A0">
        <w:rPr>
          <w:rFonts w:ascii="Times New Roman" w:hAnsi="Times New Roman"/>
          <w:sz w:val="28"/>
          <w:szCs w:val="28"/>
        </w:rPr>
        <w:t xml:space="preserve"> с его борьбой групп интересов, протекающей в более или менее конкурентной среде, обнаруживающиеся тенденции развития политического поля России причудливым образом сочетают в себе черты политики 1990-х гг., видоизменённые новыми условиями политической конкуренции 2000-х.</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общем виде нашу задачу можно сформулировать как попытку понимания, кто является драйвером трансформации властных институтов в России последних полутора десятилетий, какие тенденции этой трансформации мы можем констатировать и каково место России, развивающейся описанным образом, в современном мировом политическом процессе.</w:t>
      </w:r>
    </w:p>
    <w:p w:rsidR="006B1A39" w:rsidRPr="009F02A0" w:rsidRDefault="006B1A39" w:rsidP="001A2F48">
      <w:pPr>
        <w:spacing w:after="0" w:line="360" w:lineRule="auto"/>
        <w:ind w:firstLine="709"/>
        <w:jc w:val="both"/>
        <w:rPr>
          <w:rFonts w:ascii="Times New Roman" w:hAnsi="Times New Roman"/>
          <w:sz w:val="28"/>
          <w:szCs w:val="28"/>
        </w:rPr>
      </w:pPr>
      <w:r w:rsidRPr="009F02A0">
        <w:rPr>
          <w:rFonts w:ascii="Times New Roman" w:hAnsi="Times New Roman"/>
          <w:sz w:val="28"/>
          <w:szCs w:val="28"/>
        </w:rPr>
        <w:t xml:space="preserve">Наша позиция по обозначенным вопросам однозначна: ключевым (и, собственно, единственным) политическим актором, то есть тем самым драйвером трансформации властных институтов в современной России является политико-административная элита. Специфика этой элиты определяет направление, тренд институциональной трансформации, осуществляемой в виде особого процесса неформальной институционализации. </w:t>
      </w:r>
    </w:p>
    <w:p w:rsidR="006B1A39" w:rsidRPr="009F02A0" w:rsidRDefault="006B1A39" w:rsidP="001A2F48">
      <w:pPr>
        <w:spacing w:after="0" w:line="360" w:lineRule="auto"/>
        <w:ind w:firstLine="709"/>
        <w:jc w:val="both"/>
        <w:rPr>
          <w:rFonts w:ascii="Times New Roman" w:hAnsi="Times New Roman"/>
          <w:b/>
          <w:sz w:val="28"/>
          <w:szCs w:val="28"/>
        </w:rPr>
      </w:pPr>
      <w:r w:rsidRPr="009F02A0">
        <w:rPr>
          <w:rFonts w:ascii="Times New Roman" w:hAnsi="Times New Roman"/>
          <w:sz w:val="28"/>
          <w:szCs w:val="28"/>
        </w:rPr>
        <w:t>Наиболее важной проблемой, выявляемой в ходе нашего пусть и ретроспективного анализа, мы полагаем как само наличие слабых мест в ткани важнейших российских институтов государственной власти, так и выявление самых уязвимых из них. Одной из наших общих целей при этом является переход от пространной дискуссии о судьбах российской демократии к предметному разговору о механизмах консолидации современного политического режима и траекториях его развития.</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b/>
          <w:sz w:val="28"/>
          <w:szCs w:val="28"/>
        </w:rPr>
        <w:t>Методологические допущения</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Необходимо, однако, сделать несколько замечаний методологического характера.</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Мы предлагаем остаться в стороне от многочисленных дискуссий относительно содержания понятия политической элиты и достаточно однозначно определить её как особую социальную группу, представленную сообществом лиц, обладающих позициями власти и принимающими стратегические политико-управленческие решения (что, однако, вовсе не исключает меритократического взгляда на эту группу).</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Кроме того, мы предпринимаем попытку собственного выхода из другого парадигмального противостояния, неизменной актуализирующегося при анализе взаимодействия институтов и акторов: что является первичным? Принимая тезис о первичности институтов как рамок, задающих ограничения деятельности индивида (то есть точку зрения институционализма), мы предлагаем дополнить это взгляд так называемым социально-антропологическим подходом (обычно предлагающим «отказ от универсалистского понимания социальных, культурных или экономических явлений»</w:t>
      </w:r>
      <w:r>
        <w:rPr>
          <w:rStyle w:val="FootnoteReference"/>
          <w:rFonts w:ascii="Times New Roman" w:hAnsi="Times New Roman"/>
          <w:sz w:val="28"/>
          <w:szCs w:val="28"/>
        </w:rPr>
        <w:footnoteReference w:id="2"/>
      </w:r>
      <w:r w:rsidRPr="009F02A0">
        <w:rPr>
          <w:rFonts w:ascii="Times New Roman" w:hAnsi="Times New Roman"/>
          <w:sz w:val="28"/>
          <w:szCs w:val="28"/>
        </w:rPr>
        <w:t>. Подобная точка зрения позволит нам понять, чем руководствуется политическая элита при принятии решения о трансформации того или иного института, и каковы последствия таких решений.</w:t>
      </w:r>
    </w:p>
    <w:p w:rsidR="006B1A39" w:rsidRPr="009F02A0" w:rsidRDefault="006B1A39" w:rsidP="00705911">
      <w:pPr>
        <w:spacing w:after="0" w:line="360" w:lineRule="auto"/>
        <w:ind w:firstLine="709"/>
        <w:jc w:val="both"/>
        <w:rPr>
          <w:rFonts w:ascii="Times New Roman" w:hAnsi="Times New Roman"/>
          <w:b/>
          <w:sz w:val="28"/>
          <w:szCs w:val="28"/>
        </w:rPr>
      </w:pPr>
      <w:r w:rsidRPr="009F02A0">
        <w:rPr>
          <w:rFonts w:ascii="Times New Roman" w:hAnsi="Times New Roman"/>
          <w:sz w:val="28"/>
          <w:szCs w:val="28"/>
        </w:rPr>
        <w:t>Применение социально-антропологического подхода предполагает использование его элементов на каждом этапе анализа ряда факторов институциональной трансформации, среди которых социальный контекст момента формирования института, исторические изменения, но главное - комплекс факторов, связанных с деятельностью ключевого политического актора – политико-административной элиты.</w:t>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Неформальная институционализация: сущность процесса</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Ранее заявленная гипотеза относительно акторов и тенденция развития политического поля современной России требует тщательного пояснения.</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Первая часть нашей идеи связана с особенностями конфигурации российского политического поля, игрок на котором только один – специфическая политико-административная элита. Можно сказать, что Российская элита, как и всё политическое поле, чрезвычайно этатизирована</w:t>
      </w:r>
      <w:r>
        <w:rPr>
          <w:rStyle w:val="FootnoteReference"/>
          <w:rFonts w:ascii="Times New Roman" w:hAnsi="Times New Roman"/>
          <w:sz w:val="28"/>
          <w:szCs w:val="28"/>
        </w:rPr>
        <w:footnoteReference w:id="3"/>
      </w:r>
      <w:r w:rsidRPr="009F02A0">
        <w:rPr>
          <w:rFonts w:ascii="Times New Roman" w:hAnsi="Times New Roman"/>
          <w:sz w:val="28"/>
          <w:szCs w:val="28"/>
        </w:rPr>
        <w:t>, «сращена со структурами, видами и стратегиями власти»</w:t>
      </w:r>
      <w:r>
        <w:rPr>
          <w:rStyle w:val="FootnoteReference"/>
          <w:rFonts w:ascii="Times New Roman" w:hAnsi="Times New Roman"/>
          <w:sz w:val="28"/>
          <w:szCs w:val="28"/>
        </w:rPr>
        <w:footnoteReference w:id="4"/>
      </w:r>
      <w:r w:rsidRPr="009F02A0">
        <w:rPr>
          <w:rFonts w:ascii="Times New Roman" w:hAnsi="Times New Roman"/>
          <w:sz w:val="28"/>
          <w:szCs w:val="28"/>
        </w:rPr>
        <w:t>, это означает доминирование административной элиты на политическом поле и расширение сферы административного влияния на все формы политической деятельности за счёт включённости всех представителей политической элиты в систему государственного управления. Кроме того, это означает вытеснение из процесса принятия решений других социальных и политических акторов (политическая оппозиция, независимый бизнес, группы интересов, структуры гражданского общества) и захват государством всего политического поля.</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Подобная монополия в политическом пространстве была бы крайне недолговечной без непременного условия выстраивания поистине самовоспроизводящейся системы взаимосообщающихся групп ресурсов: от медийного до законодательного, который, по нашему мнению, является ключевым именно потому, что обеспечивает реализацию и воспроизводство практик, формируемых в других властных институциях.</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 xml:space="preserve">Логика существования такой системы неизбежно предъявляет особые требования к институциональному дизайну политического пространства. Тенденции реализации этих требований мы предлагаем зафиксировать в понятии </w:t>
      </w:r>
      <w:r w:rsidRPr="009F02A0">
        <w:rPr>
          <w:rFonts w:ascii="Times New Roman" w:hAnsi="Times New Roman"/>
          <w:i/>
          <w:sz w:val="28"/>
          <w:szCs w:val="28"/>
        </w:rPr>
        <w:t>неформальной институционализации</w:t>
      </w:r>
      <w:r w:rsidRPr="009F02A0">
        <w:rPr>
          <w:rFonts w:ascii="Times New Roman" w:hAnsi="Times New Roman"/>
          <w:sz w:val="28"/>
          <w:szCs w:val="28"/>
        </w:rPr>
        <w:t>, которому мы придаём несколько иное значение, нежели его автор - В. Гельман</w:t>
      </w:r>
      <w:r>
        <w:rPr>
          <w:rStyle w:val="FootnoteReference"/>
          <w:rFonts w:ascii="Times New Roman" w:hAnsi="Times New Roman"/>
          <w:sz w:val="28"/>
          <w:szCs w:val="28"/>
        </w:rPr>
        <w:footnoteReference w:id="5"/>
      </w:r>
      <w:r w:rsidRPr="009F02A0">
        <w:rPr>
          <w:rFonts w:ascii="Times New Roman" w:hAnsi="Times New Roman"/>
          <w:sz w:val="28"/>
          <w:szCs w:val="28"/>
        </w:rPr>
        <w:t>. Мы полагаем, что понимать этот процесс лишь как приведение формальных норм (институтов) в соответствие с неформальными практиками, распространёнными среди представителей элиты, было бы несколько некорректным. Ключевым пунктом наших размышлений является идея о том, что властные институты в современной России претерпевают неявное искажение вследствие присваивания им желаемых функций, причём зачастую этот процесс не формализуется, и искажённая норма не закрепляется формально в виде нормативно-правового акта.</w:t>
      </w:r>
    </w:p>
    <w:p w:rsidR="006B1A39" w:rsidRPr="009F02A0" w:rsidRDefault="006B1A39" w:rsidP="004E2B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Процессы последних полутора десятилетий, связанные с развитием основных властных институтов (среди которых, прежде всего, институты законодательной и исполнительной власти, а также институт президентства), демонстрируют наиболее важную институциональную проблему российской политики – незащищённость институтов от влияния т.н. «человеческого фактора». Подобная проблема может принимать самые различные формы, в частности, своё объяснение этой тенденции в отношении укрепления президентской власти дал М. Краснов</w:t>
      </w:r>
      <w:r>
        <w:rPr>
          <w:rStyle w:val="FootnoteReference"/>
          <w:rFonts w:ascii="Times New Roman" w:hAnsi="Times New Roman"/>
          <w:sz w:val="28"/>
          <w:szCs w:val="28"/>
        </w:rPr>
        <w:footnoteReference w:id="6"/>
      </w:r>
      <w:r w:rsidRPr="009F02A0">
        <w:rPr>
          <w:rFonts w:ascii="Times New Roman" w:hAnsi="Times New Roman"/>
          <w:sz w:val="28"/>
          <w:szCs w:val="28"/>
        </w:rPr>
        <w:t>, в терминах А. Шайо</w:t>
      </w:r>
      <w:r>
        <w:rPr>
          <w:rStyle w:val="FootnoteReference"/>
          <w:rFonts w:ascii="Times New Roman" w:hAnsi="Times New Roman"/>
          <w:sz w:val="28"/>
          <w:szCs w:val="28"/>
        </w:rPr>
        <w:footnoteReference w:id="7"/>
      </w:r>
      <w:r w:rsidRPr="009F02A0">
        <w:rPr>
          <w:rFonts w:ascii="Times New Roman" w:hAnsi="Times New Roman"/>
          <w:sz w:val="28"/>
          <w:szCs w:val="28"/>
        </w:rPr>
        <w:t xml:space="preserve"> описавший «конституционные страхи» в качестве основных факторов, повлиявших на процесс разработки проекта Конституции России. Он выдвигает тезис, что именно предубеждение относительно норм советского конституционного права, декларирующего «полновластие Советов», «создало основание для предоставления Президенту широчайших (в силу их слабой определенности) функций и полномочий. Главным образом, таких, как «определение основных направлений внутренней и внешней политики» и «обеспечение согласованного функционирования и взаимодействия органов государственной власти</w:t>
      </w:r>
      <w:r>
        <w:rPr>
          <w:rFonts w:ascii="Times New Roman" w:hAnsi="Times New Roman"/>
          <w:sz w:val="28"/>
          <w:szCs w:val="28"/>
        </w:rPr>
        <w:t>»</w:t>
      </w:r>
      <w:r>
        <w:rPr>
          <w:rStyle w:val="FootnoteReference"/>
          <w:rFonts w:ascii="Times New Roman" w:hAnsi="Times New Roman"/>
          <w:sz w:val="28"/>
          <w:szCs w:val="28"/>
        </w:rPr>
        <w:footnoteReference w:id="8"/>
      </w:r>
      <w:r w:rsidRPr="009F02A0">
        <w:rPr>
          <w:rFonts w:ascii="Times New Roman" w:hAnsi="Times New Roman"/>
          <w:sz w:val="28"/>
          <w:szCs w:val="28"/>
        </w:rPr>
        <w:t>.</w:t>
      </w:r>
    </w:p>
    <w:p w:rsidR="006B1A39" w:rsidRPr="009F02A0" w:rsidRDefault="006B1A39" w:rsidP="004E2B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Очевидно, что ряд схожих процессов, затрагивающих другие властные институты, позволяет нам подтвердить идею о механизмах консолидации политического режима современной России, подразумевающих неявную, «ползучую» трансформацию институтов власти и искажение конституционной нормативной модели этих институтов.</w:t>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Спрос на институциональную трансформацию: 1990-е vs. 2000-е гг.</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Один из первых возникающих вопросов: можно ли утверждать, что изменения властных институтов последнего десятилетия существенным образом отличаются от особенностей политического процесса 1990-х гг.? Иначе говорят, являются ли эти механизмы и тенденции трансформации политическими изобретениями именно последнего времени? Мы сознательно используем это выражение, принимая очевидность возможностей политических акторов по корректировке институциональных рамок в соответствии с собственной мотивацией концентрации политической власти в обозримой перспективе, признавая, однако, определённую роль случайности и непреднамеренности промежуточных результатов этой деятельности.</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На первый взгляд, схожие тенденции в процессах нового институционального строительства, на самом деле существенно различаются. Эти различия позволяет выявить анализ особенностей политико-административной элиты и пространства политической конкуренции, в котором она существует.</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 xml:space="preserve">Поразительным образом интересующие нас институциональные «перверсии» становятся традиционными в ситуации, когда ещё и сами институты не стали традицией - в 1990-х гг. Для этого периода характерны процесс наполнения новосформированных институтов представителями прежней элиты (так называемыми «крепкими хозяйственниками»). </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то время, как ряд восточноевропейских стран запустил процессы люстрации, Россия представляет собой знаковый пример формирования политико-административного класса без использования механизмов люстрации. Более того, ряд исследователей</w:t>
      </w:r>
      <w:r>
        <w:rPr>
          <w:rStyle w:val="FootnoteReference"/>
          <w:rFonts w:ascii="Times New Roman" w:hAnsi="Times New Roman"/>
          <w:sz w:val="28"/>
          <w:szCs w:val="28"/>
        </w:rPr>
        <w:footnoteReference w:id="9"/>
      </w:r>
      <w:r w:rsidRPr="009F02A0">
        <w:rPr>
          <w:rFonts w:ascii="Times New Roman" w:hAnsi="Times New Roman"/>
          <w:sz w:val="28"/>
          <w:szCs w:val="28"/>
        </w:rPr>
        <w:t xml:space="preserve"> отмечают, что при сравнении России с другими восточноевропейскими государствами (в частности, с Польшей и Венгрией) мы сталкиваемся с фактом сохранения тесной связи между новой политической элитой независимого государства и старой системой советской номенклатуры, т.к. массовой ротации кадров не произошло (порядок значений схож во всех исследованиях, в частности Дж. Хигли и его коллеги  приводят данные о 49% бывших членов КПСС в новой российской политической элите, например, для Польши этот показатель составляет 26%</w:t>
      </w:r>
      <w:r>
        <w:rPr>
          <w:rStyle w:val="FootnoteReference"/>
          <w:rFonts w:ascii="Times New Roman" w:hAnsi="Times New Roman"/>
          <w:sz w:val="28"/>
          <w:szCs w:val="28"/>
        </w:rPr>
        <w:footnoteReference w:id="10"/>
      </w:r>
      <w:r w:rsidRPr="009F02A0">
        <w:rPr>
          <w:rFonts w:ascii="Times New Roman" w:hAnsi="Times New Roman"/>
          <w:sz w:val="28"/>
          <w:szCs w:val="28"/>
        </w:rPr>
        <w:t>). При этом люстрация называется одним из главных принципов формирования новой элиты</w:t>
      </w:r>
      <w:r>
        <w:rPr>
          <w:rStyle w:val="FootnoteReference"/>
          <w:rFonts w:ascii="Times New Roman" w:hAnsi="Times New Roman"/>
          <w:sz w:val="28"/>
          <w:szCs w:val="28"/>
        </w:rPr>
        <w:footnoteReference w:id="11"/>
      </w:r>
      <w:r w:rsidRPr="009F02A0">
        <w:rPr>
          <w:rFonts w:ascii="Times New Roman" w:hAnsi="Times New Roman"/>
          <w:sz w:val="28"/>
          <w:szCs w:val="28"/>
        </w:rPr>
        <w:t>, а её отсутствие объясняет столь значительный приток старых кадров в новые институты.</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значительной степени именно широкое поле возможностей для возвращения в политическую элиту бывших членов советской номенклатуры обусловило возвращение в политический процесс других элементов советской политической и социальной системы: неработающей правовой системы, коррупции, непотизма, в конечном счете, распространение влияния неформальных практик, характерных для этих представителей правящего класса. Этот тезис в значительной степени может опереться на позицию Р. Патнэма</w:t>
      </w:r>
      <w:r>
        <w:rPr>
          <w:rStyle w:val="FootnoteReference"/>
          <w:rFonts w:ascii="Times New Roman" w:hAnsi="Times New Roman"/>
          <w:sz w:val="28"/>
          <w:szCs w:val="28"/>
        </w:rPr>
        <w:footnoteReference w:id="12"/>
      </w:r>
      <w:r w:rsidRPr="009F02A0">
        <w:rPr>
          <w:rFonts w:ascii="Times New Roman" w:hAnsi="Times New Roman"/>
          <w:sz w:val="28"/>
          <w:szCs w:val="28"/>
        </w:rPr>
        <w:t>, полагающего, что сети сотрудничества между акторами являются важной частью социального капитала. Он предположил, что страны, переживающие период демократического транзита, сталкиваются с острой проблемой т.н. «плохого социального капитала», являющейся следствием устоявшихся в прежние времена номенклатурных паттернов организации управленческого и политического процессов. Основными элементами этих паттернов являются стремление к личному обогащению и сохранению социального статуса.</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результате смешения новых институтов и старых неформальных практик возникают так называемые rules-in-use в выражениях Элинор Остром</w:t>
      </w:r>
      <w:r>
        <w:rPr>
          <w:rStyle w:val="FootnoteReference"/>
          <w:rFonts w:ascii="Times New Roman" w:hAnsi="Times New Roman"/>
          <w:sz w:val="28"/>
          <w:szCs w:val="28"/>
        </w:rPr>
        <w:footnoteReference w:id="13"/>
      </w:r>
      <w:r w:rsidRPr="009F02A0">
        <w:rPr>
          <w:rFonts w:ascii="Times New Roman" w:hAnsi="Times New Roman"/>
          <w:sz w:val="28"/>
          <w:szCs w:val="28"/>
        </w:rPr>
        <w:t>, или «действующие правила», находящиеся на стыке формального и практики взаимодействия внутри элиты. Принципиально важно, что на тот момент было достаточно существования этих институтов в форме имплицитного знания, чем в эксплицитной и писаной форме.</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Примечательно (хотя это и укладывается в логику политического развития современного российского государства на том этапе), что для властных институтов уже в тот момент становится характерной «</w:t>
      </w:r>
      <w:r w:rsidRPr="009F02A0">
        <w:rPr>
          <w:rFonts w:ascii="Times New Roman" w:hAnsi="Times New Roman"/>
          <w:i/>
          <w:sz w:val="28"/>
          <w:szCs w:val="28"/>
        </w:rPr>
        <w:t>трансформационная болезнь</w:t>
      </w:r>
      <w:r w:rsidRPr="009F02A0">
        <w:rPr>
          <w:rFonts w:ascii="Times New Roman" w:hAnsi="Times New Roman"/>
          <w:sz w:val="28"/>
          <w:szCs w:val="28"/>
        </w:rPr>
        <w:t>»: исключительная неформальная гибкость, ставшая предметом нашего анализа. Несомненно, важные по своей сути политические события 1990-2000-х гг. не могли бы приобрести столь стойкой характеристики судьбоносности, если бы не оказали того трансформационного влияния на институты политической власти, которое они реализовали. Парафазия принципа парламентаризма, стремительное и экспансивное расширение функций Администрации Президента, политическая дисфункция Правительства стали внятным результатом весьма конкретных шагов на пути к консолидации политического режима.</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Ряд событий, связанных с этими изменениями, произошёл, как было указано ранее, ещё в 1990-х гг., однако именно 2000-е гг. стали периодом наивысшего подъёма неформальной институционализации. Произошедшие изменения связаны как с новыми ограничениями, накладываемыми на представителей политической элиты (и – соответственно - желанием их преодолеть), так и с новыми возможностями, связанными с общей ситуацией укрепления и централизации власти.</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Ряд возникающих ограничений сопряжён с изменением конфигурации политического поля. Электоральная конкуренция (в формате борьбы элиты и контр-элиты, то есть власти и оппозиции, описанной Й. Шумпетером</w:t>
      </w:r>
      <w:r>
        <w:rPr>
          <w:rStyle w:val="FootnoteReference"/>
          <w:rFonts w:ascii="Times New Roman" w:hAnsi="Times New Roman"/>
          <w:sz w:val="28"/>
          <w:szCs w:val="28"/>
        </w:rPr>
        <w:footnoteReference w:id="14"/>
      </w:r>
      <w:r w:rsidRPr="009F02A0">
        <w:rPr>
          <w:rFonts w:ascii="Times New Roman" w:hAnsi="Times New Roman"/>
          <w:sz w:val="28"/>
          <w:szCs w:val="28"/>
        </w:rPr>
        <w:t xml:space="preserve"> в качестве основы всего политического процесса) заменяется конкуренцией внутренней, проходящей внутри политической элиты. </w:t>
      </w:r>
    </w:p>
    <w:p w:rsidR="006B1A39" w:rsidRPr="009F02A0" w:rsidRDefault="006B1A39" w:rsidP="001F40F6">
      <w:pPr>
        <w:spacing w:after="0" w:line="360" w:lineRule="auto"/>
        <w:ind w:firstLine="709"/>
        <w:jc w:val="both"/>
        <w:rPr>
          <w:rFonts w:ascii="Times New Roman" w:hAnsi="Times New Roman"/>
          <w:sz w:val="28"/>
          <w:szCs w:val="28"/>
        </w:rPr>
      </w:pPr>
      <w:r w:rsidRPr="009F02A0">
        <w:rPr>
          <w:rFonts w:ascii="Times New Roman" w:hAnsi="Times New Roman"/>
          <w:sz w:val="28"/>
          <w:szCs w:val="28"/>
        </w:rPr>
        <w:t>Новые возможности по реализации политической воли политико-административного класса связаны с наличием у него широкого спектра ресурсов, среди которых политический, административный, законодательный, финансовый, медийный, каждый из которых увеличивает вес остальных и способствует росту способности политической элиты трансформировать властные институты в соответствии с собственными представлениями об их конфигурации. «Кастовая» закрытость политического класса тем не менее не является препятствием к экспансии влияния в другие сферы, преимущественно экономическую. Это происходит через введение в советы дикторов крупнейших компаний малоизвестных широкому кругу представителей административной элиты или через формирование особых институтов собственности – государственных корпораций.</w:t>
      </w:r>
    </w:p>
    <w:p w:rsidR="006B1A39" w:rsidRPr="009F02A0" w:rsidRDefault="006B1A39" w:rsidP="001F40F6">
      <w:pPr>
        <w:spacing w:after="0" w:line="360" w:lineRule="auto"/>
        <w:ind w:firstLine="709"/>
        <w:jc w:val="both"/>
        <w:rPr>
          <w:rFonts w:ascii="Times New Roman" w:hAnsi="Times New Roman"/>
          <w:sz w:val="28"/>
          <w:szCs w:val="28"/>
        </w:rPr>
      </w:pPr>
      <w:r w:rsidRPr="009F02A0">
        <w:rPr>
          <w:rFonts w:ascii="Times New Roman" w:hAnsi="Times New Roman"/>
          <w:sz w:val="28"/>
          <w:szCs w:val="28"/>
        </w:rPr>
        <w:t>Эти ресурсы делают возможным не просто трансформацию властных институтов, но и формирование общего стиля общения и принятия решения, характерного для силовых ведомств и спецслужб. Эта особенность констатируется и при учёте существования дискуссии относительно масштаба проникновения «силовиков» во властные структуры, одна из позиций в которой представлена исследованиями О. Крыштановской</w:t>
      </w:r>
      <w:r>
        <w:rPr>
          <w:rStyle w:val="FootnoteReference"/>
          <w:rFonts w:ascii="Times New Roman" w:hAnsi="Times New Roman"/>
          <w:sz w:val="28"/>
          <w:szCs w:val="28"/>
        </w:rPr>
        <w:footnoteReference w:id="15"/>
      </w:r>
      <w:r w:rsidRPr="009F02A0">
        <w:rPr>
          <w:rFonts w:ascii="Times New Roman" w:hAnsi="Times New Roman"/>
          <w:sz w:val="28"/>
          <w:szCs w:val="28"/>
        </w:rPr>
        <w:t>, высказывающей тезис о значительности этого проникновения, а вторая – Д. и Ш. Ривера</w:t>
      </w:r>
      <w:r>
        <w:rPr>
          <w:rStyle w:val="FootnoteReference"/>
          <w:rFonts w:ascii="Times New Roman" w:hAnsi="Times New Roman"/>
          <w:sz w:val="28"/>
          <w:szCs w:val="28"/>
        </w:rPr>
        <w:footnoteReference w:id="16"/>
      </w:r>
      <w:r w:rsidRPr="009F02A0">
        <w:rPr>
          <w:rFonts w:ascii="Times New Roman" w:hAnsi="Times New Roman"/>
          <w:sz w:val="28"/>
          <w:szCs w:val="28"/>
        </w:rPr>
        <w:t>, корректирующими эту мысль в сторону снижения общего масштаба, но признания первостепенной важности тех властных институтов, в которых доля «силовиков» увеличилась весьма значительно.</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 xml:space="preserve">Политико-административная элита, монополизировавшая весь политический процесс и ограничившая политическую конкуренцию границами самой себя, столкнулась с рядом задач, важнейшими из которых являются приобретение и сохранение властного ресурса, формирование удобной и «интуитивно понятной» среды взаимодействия и принятия решений, конвертация власти в собственность и легитимация этой собственности в России и за рубежом. </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Применение имеющихся у политико-административной элиты ресурсов, позволяющих реализовать успешное изменение институтов приводит к наращиванию ресурсов, утверждая элиту в качестве доминантного игрока на политическом поле, обладающего способностью менять в терминах Д. Норта</w:t>
      </w:r>
      <w:r>
        <w:rPr>
          <w:rStyle w:val="FootnoteReference"/>
          <w:rFonts w:ascii="Times New Roman" w:hAnsi="Times New Roman"/>
          <w:sz w:val="28"/>
          <w:szCs w:val="28"/>
        </w:rPr>
        <w:footnoteReference w:id="17"/>
      </w:r>
      <w:r w:rsidRPr="009F02A0">
        <w:rPr>
          <w:rFonts w:ascii="Times New Roman" w:hAnsi="Times New Roman"/>
          <w:sz w:val="28"/>
          <w:szCs w:val="28"/>
        </w:rPr>
        <w:t xml:space="preserve"> правила игры во время самой игры, т.е. возможностью преодолевать ограничения, накладываемые на неё формальными институтами</w:t>
      </w:r>
      <w:r>
        <w:rPr>
          <w:rStyle w:val="FootnoteReference"/>
          <w:rFonts w:ascii="Times New Roman" w:hAnsi="Times New Roman"/>
          <w:sz w:val="28"/>
          <w:szCs w:val="28"/>
        </w:rPr>
        <w:footnoteReference w:id="18"/>
      </w:r>
      <w:r w:rsidRPr="009F02A0">
        <w:rPr>
          <w:rFonts w:ascii="Times New Roman" w:hAnsi="Times New Roman"/>
          <w:sz w:val="28"/>
          <w:szCs w:val="28"/>
        </w:rPr>
        <w:t>, так «"победитель" этапа попытается, вероятно, закрепить правила, позволившие ему выиграть, чтобы продолжать выигрывать»</w:t>
      </w:r>
      <w:r>
        <w:rPr>
          <w:rStyle w:val="FootnoteReference"/>
          <w:rFonts w:ascii="Times New Roman" w:hAnsi="Times New Roman"/>
          <w:sz w:val="28"/>
          <w:szCs w:val="28"/>
        </w:rPr>
        <w:footnoteReference w:id="19"/>
      </w:r>
      <w:r w:rsidRPr="009F02A0">
        <w:rPr>
          <w:rFonts w:ascii="Times New Roman" w:hAnsi="Times New Roman"/>
          <w:sz w:val="28"/>
          <w:szCs w:val="28"/>
        </w:rPr>
        <w:t>.</w:t>
      </w:r>
    </w:p>
    <w:p w:rsidR="006B1A39" w:rsidRPr="009F02A0" w:rsidRDefault="006B1A39">
      <w:pPr>
        <w:spacing w:after="0" w:line="240" w:lineRule="auto"/>
        <w:rPr>
          <w:rFonts w:ascii="Times New Roman" w:hAnsi="Times New Roman"/>
          <w:b/>
          <w:sz w:val="28"/>
          <w:szCs w:val="28"/>
        </w:rPr>
      </w:pPr>
      <w:r w:rsidRPr="009F02A0">
        <w:rPr>
          <w:rFonts w:ascii="Times New Roman" w:hAnsi="Times New Roman"/>
          <w:b/>
          <w:sz w:val="28"/>
          <w:szCs w:val="28"/>
        </w:rPr>
        <w:br w:type="page"/>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Неформальная институционализация: трансформации во властных институтах</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 xml:space="preserve">Современный российский политический режим является результатом долгого процесса концентрации политической власти. Для нас очевиден тезис, что основным и важнейшим элементом этого процесса являет трансформация институтов государственной власти, осуществляемая в соответствии с интересами представителей политического класса, основой мотивации которых является сохранение монополии на политическую власть и конвертация власти в собственность. </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ходе этого процесса многие властные институты искажаются в результате осуществления усилий по закреплению желаемых для реализации функций за некоторыми органами власти. Сложная траектория формирования этих институтов, в полной мере отражающая те самые «конституционные страхи», делает их более уязвимыми для влияния персон, эти институты наполняющих.</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Основными механизмами неформальной институциональной трансформации становятся оперирование многочисленными бланкетными нормами российского законодательства и незначительные по форме (но ощутимые по своим последствиям) изменения в регламентах деятельности органов государственной власти.</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последние два десятилетия в наиболее явной форме эти трансформационные процессы протекали в ключевых властных институтах: институте законодательной власти и институте президентства.</w:t>
      </w:r>
    </w:p>
    <w:p w:rsidR="006B1A39" w:rsidRDefault="006B1A39">
      <w:pPr>
        <w:spacing w:after="0" w:line="240" w:lineRule="auto"/>
        <w:rPr>
          <w:rFonts w:ascii="Times New Roman" w:hAnsi="Times New Roman"/>
          <w:b/>
          <w:sz w:val="28"/>
          <w:szCs w:val="28"/>
        </w:rPr>
      </w:pPr>
      <w:r>
        <w:rPr>
          <w:rFonts w:ascii="Times New Roman" w:hAnsi="Times New Roman"/>
          <w:b/>
          <w:sz w:val="28"/>
          <w:szCs w:val="28"/>
        </w:rPr>
        <w:br w:type="page"/>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Совет Государственной Думы и кризис российского парламентаризма</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Специфическая система российского законодательства зачастую подразумевает реализацию значительного влияния административных органов, обеспечивающие функционирование того или иного института и регулирующих организационное сопровождение его деятельности, на сам этот институт.</w:t>
      </w:r>
    </w:p>
    <w:p w:rsidR="006B1A39" w:rsidRPr="009F02A0" w:rsidRDefault="006B1A39" w:rsidP="00E07AF4">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случае трансформации института законодательной власти и неявного отказа от реализации принципа парламентаризма роль такого органа играет Совет Государственной Думы, правовую основу деятельности которого составляет Регламент Государственной Думы ФС РФ. Состав, порядок проведения заседаний, функции, порядок оформления решений Совета регулирует Глава 2 Регламента ГД ФС РФ</w:t>
      </w:r>
      <w:r>
        <w:rPr>
          <w:rStyle w:val="FootnoteReference"/>
          <w:rFonts w:ascii="Times New Roman" w:hAnsi="Times New Roman"/>
          <w:sz w:val="28"/>
          <w:szCs w:val="28"/>
        </w:rPr>
        <w:footnoteReference w:id="20"/>
      </w:r>
      <w:r w:rsidRPr="009F02A0">
        <w:rPr>
          <w:rFonts w:ascii="Times New Roman" w:hAnsi="Times New Roman"/>
          <w:sz w:val="28"/>
          <w:szCs w:val="28"/>
        </w:rPr>
        <w:t>.</w:t>
      </w:r>
    </w:p>
    <w:p w:rsidR="006B1A39" w:rsidRPr="009F02A0" w:rsidRDefault="006B1A39" w:rsidP="00E07AF4">
      <w:pPr>
        <w:spacing w:after="0" w:line="360" w:lineRule="auto"/>
        <w:ind w:firstLine="709"/>
        <w:jc w:val="both"/>
        <w:rPr>
          <w:rFonts w:ascii="Times New Roman" w:hAnsi="Times New Roman"/>
          <w:sz w:val="28"/>
          <w:szCs w:val="28"/>
        </w:rPr>
      </w:pPr>
      <w:r w:rsidRPr="009F02A0">
        <w:rPr>
          <w:rFonts w:ascii="Times New Roman" w:hAnsi="Times New Roman"/>
          <w:sz w:val="28"/>
          <w:szCs w:val="28"/>
        </w:rPr>
        <w:t>Внимание к Совету Государственной Думы также во многом обусловлено широким набором функций, закреплённых в Регламенте Думы и предполагающих монопольное право Совета на организационное сопровождение законодательной деятельности палаты. Практически все редакции Регламента предполагают наделение Совета широким набором функций, важнейшими из которых является формирование повестки заседания Думы и решение о включении того или иного законопроекта в примерную программу законопроектной работы Думы. Это означает, что ключевые функции определяют Совет как орган, устанавливающий повестку дня в законодательной деятельности палаты Парламента. Это в терминологии П. Бахраха и М. Бараца</w:t>
      </w:r>
      <w:r>
        <w:rPr>
          <w:rStyle w:val="FootnoteReference"/>
          <w:rFonts w:ascii="Times New Roman" w:hAnsi="Times New Roman"/>
          <w:sz w:val="28"/>
          <w:szCs w:val="28"/>
        </w:rPr>
        <w:footnoteReference w:id="21"/>
      </w:r>
      <w:r w:rsidRPr="009F02A0">
        <w:rPr>
          <w:rFonts w:ascii="Times New Roman" w:hAnsi="Times New Roman"/>
          <w:sz w:val="28"/>
          <w:szCs w:val="28"/>
        </w:rPr>
        <w:t xml:space="preserve"> является «вторым лицом власти», возникающим в ситуации, когда субъект, обладающий властным ресурсом, реализует свою волю по фильтрации обсуждаемых вопросов, тем самым блокируя возможности других игроков.</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Одним из ключевых изменений в организации деятельности Государственной Думы ФС РФ стала трансформация роли и функции её Совета, произошедшая в 2003 году и нашедшая отражение в изменении ряда статей Главы 2 Регламента Государственной Думы, касающихся состава и функций Совета.</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Это произошло в контексте развития политического поля России, на тот момент предполагающего расширение использования административного ресурса для реализации политической воли, а также стремление политической элиты зафиксировать достигнутое доминирующее положение за счёт развития формальных институтов, находящих своё воплощение в нормативно-правовых актах.</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Изменение Статьи 13 Главы 2 Регламента, определяющей состав Совета, стало способом трансформации ключевых для функционирования органа позиционных правил, которые в соответствии с теорией Э. Остром</w:t>
      </w:r>
      <w:r>
        <w:rPr>
          <w:rStyle w:val="FootnoteReference"/>
          <w:rFonts w:ascii="Times New Roman" w:hAnsi="Times New Roman"/>
          <w:sz w:val="28"/>
          <w:szCs w:val="28"/>
        </w:rPr>
        <w:footnoteReference w:id="22"/>
      </w:r>
      <w:r>
        <w:rPr>
          <w:rFonts w:ascii="Times New Roman" w:hAnsi="Times New Roman"/>
          <w:sz w:val="28"/>
          <w:szCs w:val="28"/>
        </w:rPr>
        <w:t xml:space="preserve"> </w:t>
      </w:r>
      <w:r w:rsidRPr="009F02A0">
        <w:rPr>
          <w:rFonts w:ascii="Times New Roman" w:hAnsi="Times New Roman"/>
          <w:sz w:val="28"/>
          <w:szCs w:val="28"/>
        </w:rPr>
        <w:t>определяют набор позиций, статусов и число людей, которые могут занимать каждую позицию.</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Порядок формирования Совета, характерный для периода деятельности Государственной Думы до 2003 года, содержится в редакции Постановления Государственной Думы N 2134 от 22 января 1998 года</w:t>
      </w:r>
      <w:r>
        <w:rPr>
          <w:rStyle w:val="FootnoteReference"/>
          <w:rFonts w:ascii="Times New Roman" w:hAnsi="Times New Roman"/>
          <w:sz w:val="28"/>
          <w:szCs w:val="28"/>
        </w:rPr>
        <w:footnoteReference w:id="23"/>
      </w:r>
      <w:r w:rsidRPr="009F02A0">
        <w:rPr>
          <w:rFonts w:ascii="Times New Roman" w:hAnsi="Times New Roman"/>
          <w:sz w:val="28"/>
          <w:szCs w:val="28"/>
        </w:rPr>
        <w:t>, определяющего Регламент ГД ФС РФ. Изменения в данный документ были внесены 29 декабря 2003 года.</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Первоначальная редакция определяет в качестве членов Совета Председателя Думы и руководителей думских фракций: «В состав Совета Государственной Думы входят Председатель Государственной Думы, руководители депутатских объединений с правом решающего голоса.</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работе Совета Государственной Думы участвуют с правом совещательного голоса заместители Председателя Государственной Думы и председатели комитетов Государственной Думы.</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случае отсутствия Председателя Государственной Думы председательствующий на заседании Совета Государственной Думы один из его заместителей имеет право решающего голоса. В отсутствие руководителей депутатских объединений и председателей комитетов Государственной Думы по их поручению в заседании Совета Государственной Думы принимают участие их представители из числа депутатов Государственной Думы, при этом представители депутатских объединений имеют право решающего голоса»</w:t>
      </w:r>
      <w:r>
        <w:rPr>
          <w:rStyle w:val="FootnoteReference"/>
          <w:rFonts w:ascii="Times New Roman" w:hAnsi="Times New Roman"/>
          <w:sz w:val="28"/>
          <w:szCs w:val="28"/>
        </w:rPr>
        <w:footnoteReference w:id="24"/>
      </w:r>
      <w:r w:rsidRPr="009F02A0">
        <w:rPr>
          <w:rFonts w:ascii="Times New Roman" w:hAnsi="Times New Roman"/>
          <w:sz w:val="28"/>
          <w:szCs w:val="28"/>
        </w:rPr>
        <w:t>.</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Главной ролью Совета, сформированного по таким принципам, становилась «выработка компромиссных решений и согласование позиций депутатских объединений по вопросам организации, прежде всего, её законодательной деятельности»</w:t>
      </w:r>
      <w:r>
        <w:rPr>
          <w:rStyle w:val="FootnoteReference"/>
          <w:rFonts w:ascii="Times New Roman" w:hAnsi="Times New Roman"/>
          <w:sz w:val="28"/>
          <w:szCs w:val="28"/>
        </w:rPr>
        <w:footnoteReference w:id="25"/>
      </w:r>
      <w:r w:rsidRPr="009F02A0">
        <w:rPr>
          <w:rFonts w:ascii="Times New Roman" w:hAnsi="Times New Roman"/>
          <w:sz w:val="28"/>
          <w:szCs w:val="28"/>
        </w:rPr>
        <w:t>. Принцип коллегиальности в деятельности Совета был специфицирован структурированностью по фракционному признаку и позволял администрировать деятельность Парламента в соответствии с позициями всех фракций и их представителей. Это достигалось за счёт равного представительства крупных и мелких фракций в рамках Совета.</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Изменения в Регламенте выводят из состава Совета руководителей фракций, заменяя их заместителями Председателя Думы: «Членами Совета Государственной Думы с правом решающего голоса являются Председатель Государственной Думы, первые заместители Председателя Государственной Думы и заместители Председателя Государственной Думы.</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Заседание Совета Государственной Думы ведет Председатель Государственной Думы. Председатель Государственной Думы вправе поручить вести заседание Совета Государственной Думы одному из своих заместителей.</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работе Совета Государственной Думы могут принимать участие с правом совещательного голоса председатели комитетов Государственной Думы или по их поручению представители комитетов Государственной Думы»</w:t>
      </w:r>
      <w:r>
        <w:rPr>
          <w:rStyle w:val="FootnoteReference"/>
          <w:rFonts w:ascii="Times New Roman" w:hAnsi="Times New Roman"/>
          <w:sz w:val="28"/>
          <w:szCs w:val="28"/>
        </w:rPr>
        <w:footnoteReference w:id="26"/>
      </w:r>
      <w:r w:rsidRPr="009F02A0">
        <w:rPr>
          <w:rFonts w:ascii="Times New Roman" w:hAnsi="Times New Roman"/>
          <w:sz w:val="28"/>
          <w:szCs w:val="28"/>
        </w:rPr>
        <w:t>.</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Эти изменения проводятся в комплексе с изменением системы постов заместителей Председателя ГД ФС РФ. При анализе состава корпуса заместителей Председателя Думы до 2003 года исследователи</w:t>
      </w:r>
      <w:r>
        <w:rPr>
          <w:rStyle w:val="FootnoteReference"/>
          <w:rFonts w:ascii="Times New Roman" w:hAnsi="Times New Roman"/>
          <w:sz w:val="28"/>
          <w:szCs w:val="28"/>
        </w:rPr>
        <w:footnoteReference w:id="27"/>
      </w:r>
      <w:r w:rsidRPr="009F02A0">
        <w:rPr>
          <w:rFonts w:ascii="Times New Roman" w:hAnsi="Times New Roman"/>
          <w:sz w:val="28"/>
          <w:szCs w:val="28"/>
        </w:rPr>
        <w:t xml:space="preserve"> акцентируют внимание на существовании определённого «пакетного соглашения» между политическими партиями и институтов исполнительной власти в лице Администрации Президента.</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Соглашение подразумевало универсальный порядок формирования корпуса заместителей Председателя ГД ФС РФ, согласно которому Председателем становился глава фракции, обладающей большинством мест в палате Парламента, его первым заместителем – глава второй по численности фракции, главы остальных фракций занимали посты заместителей Председателей. При этом сохранялась традиция негласного запрета на назначение Председателя и его первого заместителя из числа представителей одной фракции.</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Государственной Думе IV созыва, избранной в 2003 году, был введён принципиально новый порядок определения позиционных правил, касающихся постов Председателя и его заместителей. Этот порядок также был реализован в организации деятельности Государственной Думы V созыва. Согласно нему Председатель, первый заместитель Председателя и 5 из 8 заместителей Председателя представляют фракцию «Единая Россия», обладающую большинством мест в палате Парламенте. Представители остальных фракций обладают правом лишь на 3 из 8 постов заместителя Председателя – по одному для каждой фракции.</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Кроме того, изменение принципа занятия должности Председателя Думы, допускающего совмещение данной должности со статусом руководителя фракции, привело к правовым образом закреплённому сращиванию административно-организационных функций и политических целей. Эта трансформация была реализована в изменении Статьи 9 Главы 1 Регламента Государственной Думы ФС РФ, решение было оформлено постановлением № 11 Думы IV созыва</w:t>
      </w:r>
      <w:r>
        <w:rPr>
          <w:rStyle w:val="FootnoteReference"/>
          <w:rFonts w:ascii="Times New Roman" w:hAnsi="Times New Roman"/>
          <w:sz w:val="28"/>
          <w:szCs w:val="28"/>
        </w:rPr>
        <w:footnoteReference w:id="28"/>
      </w:r>
      <w:r w:rsidRPr="009F02A0">
        <w:rPr>
          <w:rFonts w:ascii="Times New Roman" w:hAnsi="Times New Roman"/>
          <w:sz w:val="28"/>
          <w:szCs w:val="28"/>
        </w:rPr>
        <w:t>: «В случае, если на должность Председателя Государственной Думы избран депутат Государственной Думы, являющийся руководителем фракции, он вправе совмещать пребывание на указанной должности и руководство фракцией».</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Итогом описанных процессов реорганизации Совета Государственной Думы и корпуса Председателя и его заместителей становится административная трансформация деятельности парламента как органа, представляющего институт законодательной власти.</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Данные процессы коренным образом изменили принцип «коллегиального контроля со стороны депутатских объединений над организационной и распорядительской деятельностью выборной администрации ГД и работой её аппарата, над возможностью их административного влияния на вход законодательного процесса и деятельности палаты в целом»</w:t>
      </w:r>
      <w:r>
        <w:rPr>
          <w:rStyle w:val="FootnoteReference"/>
          <w:rFonts w:ascii="Times New Roman" w:hAnsi="Times New Roman"/>
          <w:sz w:val="28"/>
          <w:szCs w:val="28"/>
        </w:rPr>
        <w:footnoteReference w:id="29"/>
      </w:r>
      <w:r w:rsidRPr="009F02A0">
        <w:rPr>
          <w:rFonts w:ascii="Times New Roman" w:hAnsi="Times New Roman"/>
          <w:sz w:val="28"/>
          <w:szCs w:val="28"/>
        </w:rPr>
        <w:t>.</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Изменения в административной структуре, тесно связанные с деформацией избирательной системы и принципа политического представительства, в результате обусловили ограничение контроля над организацией деятельности Парламента со стороны других политических сил и общества, а также нарушение принципов парламентаризма.</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Итогом стала ситуация, в которой организационно-распорядительские функции, которые по своей природе и назначению должны реализовываться независимо и объективно, оказались элементом расширения спектра ресурсов политической элиты по оказанию влияния на процесс правовой институционализации определённых норм.</w:t>
      </w:r>
    </w:p>
    <w:p w:rsidR="006B1A39" w:rsidRPr="009F02A0" w:rsidRDefault="006B1A39" w:rsidP="00E750D5">
      <w:pPr>
        <w:spacing w:after="0" w:line="360" w:lineRule="auto"/>
        <w:ind w:firstLine="709"/>
        <w:jc w:val="both"/>
        <w:rPr>
          <w:rFonts w:ascii="Times New Roman" w:hAnsi="Times New Roman"/>
          <w:sz w:val="28"/>
          <w:szCs w:val="28"/>
        </w:rPr>
      </w:pPr>
      <w:r w:rsidRPr="009F02A0">
        <w:rPr>
          <w:rFonts w:ascii="Times New Roman" w:hAnsi="Times New Roman"/>
          <w:sz w:val="28"/>
          <w:szCs w:val="28"/>
        </w:rPr>
        <w:t>Централизация процесса определения повестки дня в деятельности Парламента стала одним из ключевых шагов по обеспечению платформы для дальнейшей реализации политической воли представителей элиты за счёт перемещения законодательного ресурса из поля политической конкуренции в поле административного влияния.</w:t>
      </w:r>
    </w:p>
    <w:p w:rsidR="006B1A39" w:rsidRPr="009F02A0" w:rsidRDefault="006B1A39" w:rsidP="00A45C84">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Администрация Президента: эволюция от Канцелярии к государственному органу с контрольными полномочиями</w:t>
      </w:r>
    </w:p>
    <w:p w:rsidR="006B1A39" w:rsidRPr="009F02A0" w:rsidRDefault="006B1A39" w:rsidP="00A45C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Администрация Президента представляет собой орган, обеспечивающий деятельность основного в современной России института – института президентства. Укрепление данного органа и расширение его функций характерно для всего период развития политического режима с начала 1990-х годов.</w:t>
      </w:r>
    </w:p>
    <w:p w:rsidR="006B1A39" w:rsidRPr="009F02A0" w:rsidRDefault="006B1A39" w:rsidP="00A45C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Одной из особенностей правового статуса Администрации Президента является отсутствие установленного характера данного органа в Конституции РФ, что предоставляет широкие возможности для трансформации органа.</w:t>
      </w:r>
    </w:p>
    <w:p w:rsidR="006B1A39" w:rsidRPr="009F02A0" w:rsidRDefault="006B1A39" w:rsidP="00A45C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Институционализация органа произошла в 1993 году Указом Президента</w:t>
      </w:r>
      <w:r>
        <w:rPr>
          <w:rStyle w:val="FootnoteReference"/>
          <w:rFonts w:ascii="Times New Roman" w:hAnsi="Times New Roman"/>
          <w:sz w:val="28"/>
          <w:szCs w:val="28"/>
        </w:rPr>
        <w:footnoteReference w:id="30"/>
      </w:r>
      <w:r w:rsidRPr="009F02A0">
        <w:rPr>
          <w:rFonts w:ascii="Times New Roman" w:hAnsi="Times New Roman"/>
          <w:sz w:val="28"/>
          <w:szCs w:val="28"/>
        </w:rPr>
        <w:t>. Первоначальная редакция Положения об Администрации определяла её как аппаратный орган, созданный для обеспечения деятельности Президента РФ и реализации его конституционных полномочий. Таким образом, роль Администрации сводилась к осуществлению функций Канцелярии или Секретариата Президента.</w:t>
      </w:r>
    </w:p>
    <w:p w:rsidR="006B1A39" w:rsidRPr="009F02A0" w:rsidRDefault="006B1A39" w:rsidP="00A45C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Контекст политической борьбы следующих лет обусловил необходимость повышения статуса органа и преобразования его в орган государственной власти</w:t>
      </w:r>
      <w:r>
        <w:rPr>
          <w:rStyle w:val="FootnoteReference"/>
          <w:rFonts w:ascii="Times New Roman" w:hAnsi="Times New Roman"/>
          <w:sz w:val="28"/>
          <w:szCs w:val="28"/>
        </w:rPr>
        <w:footnoteReference w:id="31"/>
      </w:r>
      <w:r>
        <w:rPr>
          <w:rFonts w:ascii="Times New Roman" w:hAnsi="Times New Roman"/>
          <w:sz w:val="28"/>
          <w:szCs w:val="28"/>
        </w:rPr>
        <w:t xml:space="preserve"> </w:t>
      </w:r>
      <w:r w:rsidRPr="009F02A0">
        <w:rPr>
          <w:rFonts w:ascii="Times New Roman" w:hAnsi="Times New Roman"/>
          <w:sz w:val="28"/>
          <w:szCs w:val="28"/>
        </w:rPr>
        <w:t xml:space="preserve">при развитии его функционала в рамках обеспечения деятельности Президента РФ. </w:t>
      </w:r>
    </w:p>
    <w:p w:rsidR="006B1A39" w:rsidRPr="009F02A0" w:rsidRDefault="006B1A39" w:rsidP="00A45C84">
      <w:pPr>
        <w:spacing w:after="0" w:line="360" w:lineRule="auto"/>
        <w:ind w:firstLine="709"/>
        <w:jc w:val="both"/>
        <w:rPr>
          <w:rFonts w:ascii="Times New Roman" w:hAnsi="Times New Roman"/>
          <w:sz w:val="28"/>
          <w:szCs w:val="28"/>
        </w:rPr>
      </w:pPr>
      <w:r w:rsidRPr="009F02A0">
        <w:rPr>
          <w:rFonts w:ascii="Times New Roman" w:hAnsi="Times New Roman"/>
          <w:sz w:val="28"/>
          <w:szCs w:val="28"/>
        </w:rPr>
        <w:t>Результаты развития и стабилизации политического режима, произошедшие в конце 1990-х годов - начале 2000-х, актуализировали дальнейшее развитие Администрации Президента как органа, регулирующего развитие политического поля с помощью применения широкого спектра властных ресурсов.</w:t>
      </w:r>
    </w:p>
    <w:p w:rsidR="006B1A39" w:rsidRPr="009F02A0" w:rsidRDefault="006B1A39" w:rsidP="00A45C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Новая редакция Положения об Администрации Президента закрепила статус Администрации как органа, определяющего обеспечение государственной кадровой политики в президентских и исполнительных структурах и реализацию президентского контроля над исполнительной властью, т.е. обладающего контрольными полномочиями.</w:t>
      </w:r>
    </w:p>
    <w:p w:rsidR="006B1A39" w:rsidRPr="009F02A0" w:rsidRDefault="006B1A39" w:rsidP="00A45C84">
      <w:pPr>
        <w:spacing w:after="0" w:line="360" w:lineRule="auto"/>
        <w:ind w:firstLine="709"/>
        <w:jc w:val="both"/>
        <w:rPr>
          <w:rFonts w:ascii="Times New Roman" w:hAnsi="Times New Roman"/>
          <w:sz w:val="28"/>
          <w:szCs w:val="28"/>
        </w:rPr>
      </w:pPr>
      <w:r w:rsidRPr="009F02A0">
        <w:rPr>
          <w:rFonts w:ascii="Times New Roman" w:hAnsi="Times New Roman"/>
          <w:sz w:val="28"/>
          <w:szCs w:val="28"/>
        </w:rPr>
        <w:t>Институционализация сферы влияния органа проходила в рамках расширения функциональной зоны Администрации. В частности, Администрация была наделена рядом полномочий, существенно расширяющих возможности Президента и его аппарата по определению стратегических направлений развития общественных и политических отношений и реализации данных направлений в директивном порядке. Эти изменения касаются регулирования сферы муниципального самоуправления, по реализации государственной политики в области СМИ и борьбы с коррупцией</w:t>
      </w:r>
      <w:r>
        <w:rPr>
          <w:rStyle w:val="FootnoteReference"/>
          <w:rFonts w:ascii="Times New Roman" w:hAnsi="Times New Roman"/>
          <w:sz w:val="28"/>
          <w:szCs w:val="28"/>
        </w:rPr>
        <w:footnoteReference w:id="32"/>
      </w:r>
      <w:r w:rsidRPr="009F02A0">
        <w:rPr>
          <w:rFonts w:ascii="Times New Roman" w:hAnsi="Times New Roman"/>
          <w:sz w:val="28"/>
          <w:szCs w:val="28"/>
        </w:rPr>
        <w:t>.</w:t>
      </w:r>
    </w:p>
    <w:p w:rsidR="006B1A39" w:rsidRDefault="006B1A39">
      <w:pPr>
        <w:spacing w:after="0" w:line="240" w:lineRule="auto"/>
        <w:rPr>
          <w:rFonts w:ascii="Times New Roman" w:hAnsi="Times New Roman"/>
          <w:b/>
          <w:sz w:val="28"/>
          <w:szCs w:val="28"/>
        </w:rPr>
      </w:pPr>
      <w:r>
        <w:rPr>
          <w:rFonts w:ascii="Times New Roman" w:hAnsi="Times New Roman"/>
          <w:b/>
          <w:sz w:val="28"/>
          <w:szCs w:val="28"/>
        </w:rPr>
        <w:br w:type="page"/>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Заключение: последствия, тенденции, прогнозы</w:t>
      </w:r>
    </w:p>
    <w:p w:rsidR="006B1A39" w:rsidRPr="009F02A0" w:rsidRDefault="006B1A39" w:rsidP="00300F85">
      <w:pPr>
        <w:spacing w:after="0" w:line="360" w:lineRule="auto"/>
        <w:ind w:firstLine="709"/>
        <w:jc w:val="both"/>
        <w:rPr>
          <w:rFonts w:ascii="Times New Roman" w:hAnsi="Times New Roman"/>
          <w:sz w:val="28"/>
          <w:szCs w:val="28"/>
        </w:rPr>
      </w:pPr>
      <w:r w:rsidRPr="009F02A0">
        <w:rPr>
          <w:rFonts w:ascii="Times New Roman" w:hAnsi="Times New Roman"/>
          <w:sz w:val="28"/>
          <w:szCs w:val="28"/>
        </w:rPr>
        <w:t>Трансформационные процессы в институтах законодательной и исполнительной власти, ставшие возможными вследствие манипуляций в определении регламента деятельности органов государственной власти и оперирования бланкетными нормами, в значительной степень характерными для российского законодательства, стали ключевыми тенденциями развития политического режима в России последних полутора десятилетий.</w:t>
      </w:r>
    </w:p>
    <w:p w:rsidR="006B1A39" w:rsidRPr="009F02A0" w:rsidRDefault="006B1A39" w:rsidP="00520EC8">
      <w:pPr>
        <w:spacing w:after="0" w:line="360" w:lineRule="auto"/>
        <w:ind w:firstLine="709"/>
        <w:jc w:val="both"/>
        <w:rPr>
          <w:rFonts w:ascii="Times New Roman" w:hAnsi="Times New Roman"/>
          <w:sz w:val="28"/>
          <w:szCs w:val="28"/>
        </w:rPr>
      </w:pPr>
      <w:r w:rsidRPr="009F02A0">
        <w:rPr>
          <w:rFonts w:ascii="Times New Roman" w:hAnsi="Times New Roman"/>
          <w:sz w:val="28"/>
          <w:szCs w:val="28"/>
        </w:rPr>
        <w:t xml:space="preserve">Основными такими процессами стали, на первый взгляд, незначительное изменение порядка формирования Совета ГД, административной структуры, на самом деле являющейся ключевой в функционировании института законодательной власти, и стремительное расширение и углубление сферы деятельности Администрации Президента, реализованное А. Чубайсом. </w:t>
      </w:r>
    </w:p>
    <w:p w:rsidR="006B1A39" w:rsidRPr="009F02A0" w:rsidRDefault="006B1A39" w:rsidP="00520EC8">
      <w:pPr>
        <w:spacing w:after="0" w:line="360" w:lineRule="auto"/>
        <w:ind w:firstLine="709"/>
        <w:jc w:val="both"/>
        <w:rPr>
          <w:rFonts w:ascii="Times New Roman" w:hAnsi="Times New Roman"/>
          <w:sz w:val="28"/>
          <w:szCs w:val="28"/>
        </w:rPr>
      </w:pPr>
      <w:r w:rsidRPr="009F02A0">
        <w:rPr>
          <w:rFonts w:ascii="Times New Roman" w:hAnsi="Times New Roman"/>
          <w:sz w:val="28"/>
          <w:szCs w:val="28"/>
        </w:rPr>
        <w:t>В 2003 году произошли изменения в Регламенте Государственной Думы, среди прочего определяющего порядок формирования Совета Думы, формирующего программу законодательной сессии Палаты и принимающего решение о включении законопроекта в программу законопроектной работы Палаты. Изменения в Регламенте выводят из состава Совета руководителей фракций, заменяя их заместителями Председателя Думы. Кроме того, изменение принципа занятия должности Председателя Думы, допускающего совмещение данной должности со статусом руководителя фракции, привело к правовым образом закреплённому сращиванию административно-организационных функций и политических целей. Данные процессы коренным образом изменили принцип коллегиального контроля со стороны депутатских объединений над организационной и распорядительской деятельностью выборной администрации Думы</w:t>
      </w:r>
      <w:r>
        <w:rPr>
          <w:rStyle w:val="FootnoteReference"/>
          <w:rFonts w:ascii="Times New Roman" w:hAnsi="Times New Roman"/>
          <w:sz w:val="28"/>
          <w:szCs w:val="28"/>
        </w:rPr>
        <w:footnoteReference w:id="33"/>
      </w:r>
      <w:r w:rsidRPr="009F02A0">
        <w:rPr>
          <w:rFonts w:ascii="Times New Roman" w:hAnsi="Times New Roman"/>
          <w:sz w:val="28"/>
          <w:szCs w:val="28"/>
        </w:rPr>
        <w:t>, это стало одним из ключевых шагов по обеспечении платформы для дальнейшей реализации политической воли представителей элиты за счёт перемещения законодательного ресурса из поля политической конкуренции в поле административного влияния.</w:t>
      </w:r>
    </w:p>
    <w:p w:rsidR="006B1A39" w:rsidRPr="009F02A0" w:rsidRDefault="006B1A39" w:rsidP="00520EC8">
      <w:pPr>
        <w:spacing w:after="0" w:line="360" w:lineRule="auto"/>
        <w:ind w:firstLine="709"/>
        <w:jc w:val="both"/>
        <w:rPr>
          <w:rFonts w:ascii="Times New Roman" w:hAnsi="Times New Roman"/>
          <w:sz w:val="28"/>
          <w:szCs w:val="28"/>
        </w:rPr>
      </w:pPr>
      <w:r w:rsidRPr="009F02A0">
        <w:rPr>
          <w:rFonts w:ascii="Times New Roman" w:hAnsi="Times New Roman"/>
          <w:sz w:val="28"/>
          <w:szCs w:val="28"/>
        </w:rPr>
        <w:t>Рост влияния и статуса Администрации Президента связан с изменением её статуса. Это изменение, произошедшее в 1996 г. с приходом на пост главы ведомства А.Чубайса, в отсутствие нормативно-правовых актов, внятно регулирующих её деятельность и определяющих границы этой деятельности, позволило ей выйти из роли своеобразной канцелярии и фактически стать резервным по отношению к правительству «пультом управления» в лице помощников президента и контролируемых ими профильных управлений, которые могут конкурировать с министерствами и департаментами Правительства по скорости прохождения бюрократических процедур.</w:t>
      </w:r>
    </w:p>
    <w:p w:rsidR="006B1A39" w:rsidRPr="009F02A0" w:rsidRDefault="006B1A39" w:rsidP="00520EC8">
      <w:pPr>
        <w:spacing w:after="0" w:line="360" w:lineRule="auto"/>
        <w:ind w:firstLine="709"/>
        <w:jc w:val="both"/>
        <w:rPr>
          <w:rFonts w:ascii="Times New Roman" w:hAnsi="Times New Roman"/>
          <w:sz w:val="28"/>
          <w:szCs w:val="28"/>
        </w:rPr>
      </w:pPr>
      <w:r w:rsidRPr="009F02A0">
        <w:rPr>
          <w:rFonts w:ascii="Times New Roman" w:hAnsi="Times New Roman"/>
          <w:sz w:val="28"/>
          <w:szCs w:val="28"/>
        </w:rPr>
        <w:t>Институциональные изменения последнего времени подтверждают описанную тенденцию: в частности, передача функций Высшего Арбитражного Суда Верховному суду и связанное с этим изменение системы судопроизводства по экономическим вопросам, произошедшие в 2014 г., стали элементами этого процесса относительно ещё одного ключевого института государственной власти.</w:t>
      </w:r>
    </w:p>
    <w:p w:rsidR="006B1A39" w:rsidRPr="009F02A0" w:rsidRDefault="006B1A39" w:rsidP="00520EC8">
      <w:pPr>
        <w:spacing w:after="0" w:line="360" w:lineRule="auto"/>
        <w:ind w:firstLine="709"/>
        <w:jc w:val="both"/>
        <w:rPr>
          <w:rFonts w:ascii="Times New Roman" w:hAnsi="Times New Roman"/>
          <w:sz w:val="28"/>
          <w:szCs w:val="28"/>
        </w:rPr>
      </w:pPr>
      <w:r w:rsidRPr="009F02A0">
        <w:rPr>
          <w:rFonts w:ascii="Times New Roman" w:hAnsi="Times New Roman"/>
          <w:sz w:val="28"/>
          <w:szCs w:val="28"/>
        </w:rPr>
        <w:t>Очевидно, что кроме явных последствий неэффективной практики назначения на ключевые государственные посты в соответствии с принципами непотизма и личной лояльности и связанным с этим низким качеством человеческого капитала политической элиты, существенным является и эффект так называемой «</w:t>
      </w:r>
      <w:r w:rsidRPr="009F02A0">
        <w:rPr>
          <w:rFonts w:ascii="Times New Roman" w:hAnsi="Times New Roman"/>
          <w:i/>
          <w:sz w:val="28"/>
          <w:szCs w:val="28"/>
        </w:rPr>
        <w:t>волатильности институтов</w:t>
      </w:r>
      <w:r w:rsidRPr="009F02A0">
        <w:rPr>
          <w:rFonts w:ascii="Times New Roman" w:hAnsi="Times New Roman"/>
          <w:sz w:val="28"/>
          <w:szCs w:val="28"/>
        </w:rPr>
        <w:t>», их чрезмерной гибкости, неустойчивости, податливости по отношению к политической элите, которая с такой лёгкостью «прогибает» их под свои неформальные практики. В отсутствии сдерживающих механизмов внешнего контроля и эффективного гражданского общества это несёт риск дестабилизации всей политической системы.</w:t>
      </w:r>
    </w:p>
    <w:p w:rsidR="006B1A39" w:rsidRPr="009F02A0" w:rsidRDefault="006B1A39" w:rsidP="00340905">
      <w:pPr>
        <w:spacing w:after="0" w:line="360" w:lineRule="auto"/>
        <w:ind w:firstLine="709"/>
        <w:jc w:val="both"/>
        <w:rPr>
          <w:rFonts w:ascii="Times New Roman" w:hAnsi="Times New Roman"/>
          <w:sz w:val="28"/>
          <w:szCs w:val="28"/>
        </w:rPr>
      </w:pPr>
      <w:r w:rsidRPr="009F02A0">
        <w:rPr>
          <w:rFonts w:ascii="Times New Roman" w:hAnsi="Times New Roman"/>
          <w:sz w:val="28"/>
          <w:szCs w:val="28"/>
        </w:rPr>
        <w:t>Анализ последствий описанных процессов неизбежно приходит к попытке осознания места России в мировом политической процессе. Здесь мы можем прийти к тезису, что хоть и в экономическом и социальном смысле Россия далека от нестабильных стран Ближнего Востока, Северной Африки и в какой степени Восточной Европы, но назвать перспективным государство, самостоятельно расшатывающее собственный каркас в интересах узкой группы лиц, преследующих сугубо личные цели, нельзя ни при каких условиях.</w:t>
      </w:r>
    </w:p>
    <w:p w:rsidR="006B1A39" w:rsidRDefault="006B1A39">
      <w:pPr>
        <w:spacing w:after="0" w:line="240" w:lineRule="auto"/>
        <w:rPr>
          <w:rFonts w:ascii="Times New Roman" w:hAnsi="Times New Roman"/>
          <w:b/>
          <w:sz w:val="28"/>
          <w:szCs w:val="28"/>
        </w:rPr>
      </w:pPr>
      <w:r>
        <w:rPr>
          <w:rFonts w:ascii="Times New Roman" w:hAnsi="Times New Roman"/>
          <w:b/>
          <w:sz w:val="28"/>
          <w:szCs w:val="28"/>
        </w:rPr>
        <w:br w:type="page"/>
      </w:r>
    </w:p>
    <w:p w:rsidR="006B1A39" w:rsidRPr="009F02A0" w:rsidRDefault="006B1A39" w:rsidP="00300F85">
      <w:pPr>
        <w:spacing w:after="0" w:line="360" w:lineRule="auto"/>
        <w:ind w:firstLine="709"/>
        <w:jc w:val="both"/>
        <w:rPr>
          <w:rFonts w:ascii="Times New Roman" w:hAnsi="Times New Roman"/>
          <w:b/>
          <w:sz w:val="28"/>
          <w:szCs w:val="28"/>
        </w:rPr>
      </w:pPr>
      <w:r w:rsidRPr="009F02A0">
        <w:rPr>
          <w:rFonts w:ascii="Times New Roman" w:hAnsi="Times New Roman"/>
          <w:b/>
          <w:sz w:val="28"/>
          <w:szCs w:val="28"/>
        </w:rPr>
        <w:t>Список литературы</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Борьба с ветряными мельницами? Социально-антропологический подход к исследованию коррупции / Сост. И отв.ред. И.Б. Олимпиева, О.В. Паченков. – СПб.: Алетейя, 2007.</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Гельман В. Институциональное строительство и неформальные институты в современной российской политике // Полис. 2004. № 4, с. 6-26</w:t>
      </w:r>
      <w:r w:rsidRPr="009F02A0">
        <w:rPr>
          <w:rFonts w:ascii="Times New Roman" w:hAnsi="Times New Roman"/>
          <w:sz w:val="28"/>
          <w:szCs w:val="28"/>
          <w:lang w:val="en-US"/>
        </w:rPr>
        <w:t>.</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iCs/>
          <w:color w:val="000000"/>
          <w:sz w:val="28"/>
          <w:szCs w:val="28"/>
        </w:rPr>
        <w:t>Григорьев Л. Спрос элит на право: «эффект трамвая» // Вопросы экономики, № 6, Июнь  2012, C. 33-47.</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Гудков Л. Проблема «элиты в сегодняшней России: Размышления над результатами социологического исследования / Л.Д. Гудков, Б.В. Дубин, Ю.А. Левада – М.: Фонд «Либеральная миссия», 2007.</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Краснов М. А. «Конституционные страхи» // Конституционное и муниципальное право. 2014. № 6. С. 3-11.</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Крыштановская О. Современные концепции политической элиты и российская практика // Мир России. 2004. № 4. С. 3-39.</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Нисневич Ю. Аудит политической системы посткоммунистической России. – М.: Материк, 2007.</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Нисневич Ю.А. Государственная власть современной России. М.: Аспект Пресс, 2008.</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Норт Д. Институты, институциональные изменения и функционирование экономики \ Пер. с англ. А.Н. Нестеренко; предисл. и науч. ред. Б.З. Мильнера. — М.: Фонд экономической книги “Начала”, 1997.</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Ривера Ш., Ривера Д. К более точным оценкам трансформации в российской элите // ПОЛИС. Политические исследования, № 5, 2009, C. 149-157.</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Шайо А. Самоограничение власти (краткий курс конституционализма) / Пер. с венг. – М., 2001.</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 xml:space="preserve">Шумпетер Й. Капитализм, социализм и демократия [Электронный документ] </w:t>
      </w:r>
      <w:hyperlink r:id="rId7" w:history="1">
        <w:r w:rsidRPr="009F02A0">
          <w:rPr>
            <w:rStyle w:val="Hyperlink"/>
            <w:rFonts w:ascii="Times New Roman" w:hAnsi="Times New Roman"/>
            <w:sz w:val="28"/>
            <w:szCs w:val="28"/>
          </w:rPr>
          <w:t>http://www.schumpeter.ru/contents.php?book=kapital</w:t>
        </w:r>
      </w:hyperlink>
      <w:r w:rsidRPr="009F02A0">
        <w:rPr>
          <w:rFonts w:ascii="Times New Roman" w:hAnsi="Times New Roman"/>
          <w:sz w:val="28"/>
          <w:szCs w:val="28"/>
        </w:rPr>
        <w:t>.</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lang w:val="en-US"/>
        </w:rPr>
        <w:t>Bachrach P., Baratz M.S. Power and Poverty: Theory and Practice. New York; London; Toronto: Oxford University Press, 1970</w:t>
      </w:r>
      <w:r w:rsidRPr="009F02A0">
        <w:rPr>
          <w:rFonts w:ascii="Times New Roman" w:hAnsi="Times New Roman"/>
          <w:sz w:val="28"/>
          <w:szCs w:val="28"/>
        </w:rPr>
        <w:t>.</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lang w:val="en-US"/>
        </w:rPr>
      </w:pPr>
      <w:r w:rsidRPr="009F02A0">
        <w:rPr>
          <w:rFonts w:ascii="Times New Roman" w:hAnsi="Times New Roman"/>
          <w:sz w:val="28"/>
          <w:szCs w:val="28"/>
          <w:lang w:val="en-US"/>
        </w:rPr>
        <w:t>Dahl R.A. Who Governs? Democracy and Power in the American City Yale University Press; 2 edition, 2005.</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lang w:val="en-US"/>
        </w:rPr>
      </w:pPr>
      <w:r w:rsidRPr="009F02A0">
        <w:rPr>
          <w:rFonts w:ascii="Times New Roman" w:hAnsi="Times New Roman"/>
          <w:sz w:val="28"/>
          <w:szCs w:val="28"/>
          <w:lang w:val="en-US"/>
        </w:rPr>
        <w:t>Higley J., Kullberg J., Pakulski J. The Persistence of Postcommunist Elites // Journal of Democracy, 7, 2, April 1996, pp. 133-147.</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lang w:val="en-US"/>
        </w:rPr>
      </w:pPr>
      <w:r w:rsidRPr="009F02A0">
        <w:rPr>
          <w:rFonts w:ascii="Times New Roman" w:hAnsi="Times New Roman"/>
          <w:sz w:val="28"/>
          <w:szCs w:val="28"/>
          <w:lang w:val="en-US"/>
        </w:rPr>
        <w:t>Knight J. Institutions and Social Conflict.Cambridge, 1992.</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lang w:val="en-US"/>
        </w:rPr>
      </w:pPr>
      <w:r w:rsidRPr="009F02A0">
        <w:rPr>
          <w:rFonts w:ascii="Times New Roman" w:hAnsi="Times New Roman"/>
          <w:sz w:val="28"/>
          <w:szCs w:val="28"/>
          <w:lang w:val="en-US"/>
        </w:rPr>
        <w:t xml:space="preserve">Ostrom E. An Agenda for the Study of Institutions // </w:t>
      </w:r>
      <w:r w:rsidRPr="009F02A0">
        <w:rPr>
          <w:rFonts w:ascii="Times New Roman" w:hAnsi="Times New Roman"/>
          <w:iCs/>
          <w:sz w:val="28"/>
          <w:szCs w:val="28"/>
          <w:lang w:val="en-US"/>
        </w:rPr>
        <w:t xml:space="preserve">Public Choice, </w:t>
      </w:r>
      <w:r w:rsidRPr="009F02A0">
        <w:rPr>
          <w:rFonts w:ascii="Times New Roman" w:hAnsi="Times New Roman"/>
          <w:sz w:val="28"/>
          <w:szCs w:val="28"/>
          <w:lang w:val="en-US"/>
        </w:rPr>
        <w:t>1986, №48.P. 3-25.</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lang w:val="en-US"/>
        </w:rPr>
      </w:pPr>
      <w:r w:rsidRPr="009F02A0">
        <w:rPr>
          <w:rFonts w:ascii="Times New Roman" w:hAnsi="Times New Roman"/>
          <w:sz w:val="28"/>
          <w:szCs w:val="28"/>
          <w:lang w:val="en-US"/>
        </w:rPr>
        <w:t>Putnam R. Bowling Alone. The Collapse and Revival of American Community. New York, Simon &amp; Schuster, 2000.</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lang w:val="en-US"/>
        </w:rPr>
      </w:pPr>
      <w:r w:rsidRPr="009F02A0">
        <w:rPr>
          <w:rFonts w:ascii="Times New Roman" w:hAnsi="Times New Roman"/>
          <w:sz w:val="28"/>
          <w:szCs w:val="28"/>
          <w:lang w:val="en-US"/>
        </w:rPr>
        <w:t>Rivera Sh. Elites in Post-communist Russia: A Changing of the Guard? // Europe-Asia Studies. May 2000, Vol. 52, Issue 3, pp. 413-433.</w:t>
      </w:r>
    </w:p>
    <w:p w:rsidR="006B1A39" w:rsidRPr="009F02A0" w:rsidRDefault="006B1A39" w:rsidP="00031961">
      <w:pPr>
        <w:pStyle w:val="FootnoteText"/>
        <w:spacing w:line="360" w:lineRule="auto"/>
        <w:ind w:firstLine="709"/>
        <w:jc w:val="both"/>
        <w:rPr>
          <w:rFonts w:ascii="Times New Roman" w:hAnsi="Times New Roman"/>
          <w:sz w:val="28"/>
          <w:szCs w:val="28"/>
        </w:rPr>
      </w:pPr>
    </w:p>
    <w:p w:rsidR="006B1A39" w:rsidRPr="009F02A0" w:rsidRDefault="006B1A39" w:rsidP="00031961">
      <w:pPr>
        <w:pStyle w:val="FootnoteText"/>
        <w:spacing w:line="360" w:lineRule="auto"/>
        <w:ind w:firstLine="709"/>
        <w:jc w:val="both"/>
        <w:rPr>
          <w:rFonts w:ascii="Times New Roman" w:hAnsi="Times New Roman"/>
          <w:b/>
          <w:sz w:val="28"/>
          <w:szCs w:val="28"/>
        </w:rPr>
      </w:pPr>
      <w:r w:rsidRPr="009F02A0">
        <w:rPr>
          <w:rFonts w:ascii="Times New Roman" w:hAnsi="Times New Roman"/>
          <w:b/>
          <w:sz w:val="28"/>
          <w:szCs w:val="28"/>
        </w:rPr>
        <w:t>Нормативно-правовые документы:</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 xml:space="preserve">Постановление Государственной Думы Федерального Собрания Российской Федерации N 2134 от 22 января 1998 «О Регламенте». [Электронный документ]. Режим доступа: </w:t>
      </w:r>
      <w:hyperlink r:id="rId8" w:anchor="p208" w:history="1">
        <w:r w:rsidRPr="009F02A0">
          <w:rPr>
            <w:rStyle w:val="Hyperlink"/>
            <w:rFonts w:ascii="Times New Roman" w:hAnsi="Times New Roman"/>
            <w:sz w:val="28"/>
            <w:szCs w:val="28"/>
          </w:rPr>
          <w:t>http://www.consultant.ru/online/base/?req=doc;base=EXP;n=260244;p=1#p208</w:t>
        </w:r>
      </w:hyperlink>
      <w:r w:rsidRPr="009F02A0">
        <w:rPr>
          <w:rFonts w:ascii="Times New Roman" w:hAnsi="Times New Roman"/>
          <w:sz w:val="28"/>
          <w:szCs w:val="28"/>
        </w:rPr>
        <w:t>.</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 xml:space="preserve">Постановление Государственной Думы Федерального Собрания Российской Федерации N 11 от 29.12.2003 года. [Электронный документ]. Режим доступа: </w:t>
      </w:r>
      <w:hyperlink r:id="rId9" w:anchor="p13" w:history="1">
        <w:r w:rsidRPr="009F02A0">
          <w:rPr>
            <w:rStyle w:val="Hyperlink"/>
            <w:rFonts w:ascii="Times New Roman" w:hAnsi="Times New Roman"/>
            <w:sz w:val="28"/>
            <w:szCs w:val="28"/>
          </w:rPr>
          <w:t>http://www.consultant.ru/online/base/?req=doc;base=EXP;n=263537#p13</w:t>
        </w:r>
      </w:hyperlink>
      <w:r w:rsidRPr="009F02A0">
        <w:rPr>
          <w:rFonts w:ascii="Times New Roman" w:hAnsi="Times New Roman"/>
          <w:sz w:val="28"/>
          <w:szCs w:val="28"/>
        </w:rPr>
        <w:t xml:space="preserve">. </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 xml:space="preserve">Регламент Государственной Думы Федерального Собрания Российской Федерации. Редакция от 14.01.2011. [Электронный документ]. Режим доступа: </w:t>
      </w:r>
      <w:hyperlink r:id="rId10" w:history="1">
        <w:r w:rsidRPr="009F02A0">
          <w:rPr>
            <w:rStyle w:val="Hyperlink"/>
            <w:rFonts w:ascii="Times New Roman" w:hAnsi="Times New Roman"/>
            <w:sz w:val="28"/>
            <w:szCs w:val="28"/>
          </w:rPr>
          <w:t>http://www.consultant.ru/law/review/lawmaking/reglduma/</w:t>
        </w:r>
      </w:hyperlink>
      <w:r w:rsidRPr="009F02A0">
        <w:rPr>
          <w:rFonts w:ascii="Times New Roman" w:hAnsi="Times New Roman"/>
          <w:sz w:val="28"/>
          <w:szCs w:val="28"/>
        </w:rPr>
        <w:t xml:space="preserve">. </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 xml:space="preserve">Указ Президента РФ от 2 октября 1996 года №1412.[Электронный документ]. Режим доступа: </w:t>
      </w:r>
      <w:hyperlink r:id="rId11" w:history="1">
        <w:r w:rsidRPr="009F02A0">
          <w:rPr>
            <w:rStyle w:val="Hyperlink"/>
            <w:rFonts w:ascii="Times New Roman" w:hAnsi="Times New Roman"/>
            <w:sz w:val="28"/>
            <w:szCs w:val="28"/>
          </w:rPr>
          <w:t>http://www.referent.ru/1/20050</w:t>
        </w:r>
      </w:hyperlink>
      <w:r w:rsidRPr="009F02A0">
        <w:rPr>
          <w:rFonts w:ascii="Times New Roman" w:hAnsi="Times New Roman"/>
          <w:sz w:val="28"/>
          <w:szCs w:val="28"/>
        </w:rPr>
        <w:t>.</w:t>
      </w:r>
    </w:p>
    <w:p w:rsidR="006B1A39" w:rsidRPr="009F02A0" w:rsidRDefault="006B1A39" w:rsidP="00031961">
      <w:pPr>
        <w:pStyle w:val="FootnoteText"/>
        <w:numPr>
          <w:ilvl w:val="0"/>
          <w:numId w:val="3"/>
        </w:numPr>
        <w:spacing w:line="360" w:lineRule="auto"/>
        <w:ind w:left="0" w:firstLine="709"/>
        <w:jc w:val="both"/>
        <w:rPr>
          <w:rFonts w:ascii="Times New Roman" w:hAnsi="Times New Roman"/>
          <w:sz w:val="28"/>
          <w:szCs w:val="28"/>
        </w:rPr>
      </w:pPr>
      <w:r w:rsidRPr="009F02A0">
        <w:rPr>
          <w:rFonts w:ascii="Times New Roman" w:hAnsi="Times New Roman"/>
          <w:sz w:val="28"/>
          <w:szCs w:val="28"/>
        </w:rPr>
        <w:t xml:space="preserve">Указ Президента РФ от 22 февраля 1993 года №273 «О совершенствовании системы обеспечения деятельности Президента Российской Федерации». [Электронный документ]. Режим доступа: </w:t>
      </w:r>
      <w:hyperlink r:id="rId12" w:history="1">
        <w:r w:rsidRPr="009F02A0">
          <w:rPr>
            <w:rStyle w:val="Hyperlink"/>
            <w:rFonts w:ascii="Times New Roman" w:hAnsi="Times New Roman"/>
            <w:sz w:val="28"/>
            <w:szCs w:val="28"/>
          </w:rPr>
          <w:t>http://www.allbusiness.ru/BPravo/DocumShow_DocumID_55553.html</w:t>
        </w:r>
      </w:hyperlink>
      <w:r w:rsidRPr="009F02A0">
        <w:rPr>
          <w:rFonts w:ascii="Times New Roman" w:hAnsi="Times New Roman"/>
          <w:sz w:val="28"/>
          <w:szCs w:val="28"/>
        </w:rPr>
        <w:t xml:space="preserve">. </w:t>
      </w:r>
    </w:p>
    <w:sectPr w:rsidR="006B1A39" w:rsidRPr="009F02A0" w:rsidSect="0029212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39" w:rsidRDefault="006B1A39" w:rsidP="00EF6118">
      <w:pPr>
        <w:spacing w:after="0" w:line="240" w:lineRule="auto"/>
      </w:pPr>
      <w:r>
        <w:separator/>
      </w:r>
    </w:p>
  </w:endnote>
  <w:endnote w:type="continuationSeparator" w:id="0">
    <w:p w:rsidR="006B1A39" w:rsidRDefault="006B1A39" w:rsidP="00EF6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39" w:rsidRPr="00705911" w:rsidRDefault="006B1A39" w:rsidP="00705911">
    <w:pPr>
      <w:pStyle w:val="Footer"/>
      <w:jc w:val="right"/>
      <w:rPr>
        <w:rFonts w:ascii="Times New Roman" w:hAnsi="Times New Roman"/>
        <w:sz w:val="24"/>
        <w:szCs w:val="24"/>
      </w:rPr>
    </w:pPr>
    <w:r w:rsidRPr="00705911">
      <w:rPr>
        <w:rFonts w:ascii="Times New Roman" w:hAnsi="Times New Roman"/>
        <w:sz w:val="24"/>
        <w:szCs w:val="24"/>
      </w:rPr>
      <w:fldChar w:fldCharType="begin"/>
    </w:r>
    <w:r w:rsidRPr="00705911">
      <w:rPr>
        <w:rFonts w:ascii="Times New Roman" w:hAnsi="Times New Roman"/>
        <w:sz w:val="24"/>
        <w:szCs w:val="24"/>
      </w:rPr>
      <w:instrText xml:space="preserve"> PAGE   \* MERGEFORMAT </w:instrText>
    </w:r>
    <w:r w:rsidRPr="00705911">
      <w:rPr>
        <w:rFonts w:ascii="Times New Roman" w:hAnsi="Times New Roman"/>
        <w:sz w:val="24"/>
        <w:szCs w:val="24"/>
      </w:rPr>
      <w:fldChar w:fldCharType="separate"/>
    </w:r>
    <w:r>
      <w:rPr>
        <w:rFonts w:ascii="Times New Roman" w:hAnsi="Times New Roman"/>
        <w:noProof/>
        <w:sz w:val="24"/>
        <w:szCs w:val="24"/>
      </w:rPr>
      <w:t>1</w:t>
    </w:r>
    <w:r w:rsidRPr="0070591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39" w:rsidRDefault="006B1A39" w:rsidP="00EF6118">
      <w:pPr>
        <w:spacing w:after="0" w:line="240" w:lineRule="auto"/>
      </w:pPr>
      <w:r>
        <w:separator/>
      </w:r>
    </w:p>
  </w:footnote>
  <w:footnote w:type="continuationSeparator" w:id="0">
    <w:p w:rsidR="006B1A39" w:rsidRDefault="006B1A39" w:rsidP="00EF6118">
      <w:pPr>
        <w:spacing w:after="0" w:line="240" w:lineRule="auto"/>
      </w:pPr>
      <w:r>
        <w:continuationSeparator/>
      </w:r>
    </w:p>
  </w:footnote>
  <w:footnote w:id="1">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Dahl R.A. Who Governs? Democracy and Power in the American City Yale University Press; 2 edition, 2005.</w:t>
      </w:r>
    </w:p>
  </w:footnote>
  <w:footnote w:id="2">
    <w:p w:rsidR="006B1A39" w:rsidRDefault="006B1A39" w:rsidP="00D94FAE">
      <w:pPr>
        <w:pStyle w:val="FootnoteText"/>
        <w:ind w:firstLine="709"/>
        <w:jc w:val="both"/>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Борьба с ветряными мельницами? Социально-антропологический подход к исследованию коррупции / Сост. И отв.ред. И.Б. Олимпиева, О.В. Паченков. – СПб.: Алетейя, 2007, с. 6.</w:t>
      </w:r>
    </w:p>
  </w:footnote>
  <w:footnote w:id="3">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Крыштановская О. Современные концепции политической элиты и российская практика // Мир России. 2004. № 4. С. 3-39.</w:t>
      </w:r>
    </w:p>
  </w:footnote>
  <w:footnote w:id="4">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Гудков Л. Проблема «элиты в сегодняшней России: Размышления над результатами социологического исследования / Л.Д. Гудков, Б.В. Дубин, Ю.А. Левада – М.: Фонд «Либеральная миссия», 2007, с. 57.</w:t>
      </w:r>
    </w:p>
  </w:footnote>
  <w:footnote w:id="5">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Гельман В. Институциональное строительство и неформальные институты в современной российской политике // Полис. 2004. № 4, с. 6-26</w:t>
      </w:r>
      <w:r w:rsidRPr="00D94FAE">
        <w:rPr>
          <w:rFonts w:ascii="Times New Roman" w:hAnsi="Times New Roman"/>
          <w:sz w:val="24"/>
          <w:szCs w:val="24"/>
          <w:lang w:val="en-US"/>
        </w:rPr>
        <w:t>.</w:t>
      </w:r>
    </w:p>
  </w:footnote>
  <w:footnote w:id="6">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Краснов М. А. «Конституционные страхи» // Конституционное и муниципальное право. 2014. № 6. С. 3-11.</w:t>
      </w:r>
    </w:p>
  </w:footnote>
  <w:footnote w:id="7">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Шайо А. Самоограничение власти (краткий курс конституционализма) / Пер. с венг. – М., 2001.</w:t>
      </w:r>
    </w:p>
  </w:footnote>
  <w:footnote w:id="8">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Краснов М. А. «Конституционные страхи» // Конституционное и муниципальное право. 2014. № 6. С. 3-11, с. 8.</w:t>
      </w:r>
    </w:p>
  </w:footnote>
  <w:footnote w:id="9">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Rivera Sh. Elites in Post-communist Russia: A Changing of the Guard? // Europe-Asia Studies. May 2000, Vol. 52, Issue 3, pp. 413-433.</w:t>
      </w:r>
    </w:p>
  </w:footnote>
  <w:footnote w:id="10">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Higley J., Kullberg J., Pakulski J. The Persistence of Postcommunist Elites // Journal of Democracy, 7, 2, April 1996, p. 135.</w:t>
      </w:r>
    </w:p>
  </w:footnote>
  <w:footnote w:id="11">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Rivera Sh. Elites in Post-communist Russia: A Changing of the Guard? // Europe-Asia Studies. May 2000, Vol. 52, Issue 3, p. </w:t>
      </w:r>
      <w:r w:rsidRPr="00D94FAE">
        <w:rPr>
          <w:rFonts w:ascii="Times New Roman" w:hAnsi="Times New Roman"/>
          <w:sz w:val="24"/>
          <w:szCs w:val="24"/>
        </w:rPr>
        <w:t>427</w:t>
      </w:r>
      <w:r w:rsidRPr="00D94FAE">
        <w:rPr>
          <w:rFonts w:ascii="Times New Roman" w:hAnsi="Times New Roman"/>
          <w:sz w:val="24"/>
          <w:szCs w:val="24"/>
          <w:lang w:val="en-US"/>
        </w:rPr>
        <w:t>.</w:t>
      </w:r>
    </w:p>
  </w:footnote>
  <w:footnote w:id="12">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Putnam R. Bowling Alone. The Collapse and Revival of American Community. New York, Simon &amp; Schuster, 2000.</w:t>
      </w:r>
    </w:p>
  </w:footnote>
  <w:footnote w:id="13">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Ostrom E. An Agenda for the Study of Institutions // </w:t>
      </w:r>
      <w:r w:rsidRPr="00D94FAE">
        <w:rPr>
          <w:rFonts w:ascii="Times New Roman" w:hAnsi="Times New Roman"/>
          <w:iCs/>
          <w:sz w:val="24"/>
          <w:szCs w:val="24"/>
          <w:lang w:val="en-US"/>
        </w:rPr>
        <w:t xml:space="preserve">Public Choice, </w:t>
      </w:r>
      <w:r w:rsidRPr="00D94FAE">
        <w:rPr>
          <w:rFonts w:ascii="Times New Roman" w:hAnsi="Times New Roman"/>
          <w:sz w:val="24"/>
          <w:szCs w:val="24"/>
          <w:lang w:val="en-US"/>
        </w:rPr>
        <w:t>1986, №48.P. 3-25.</w:t>
      </w:r>
    </w:p>
  </w:footnote>
  <w:footnote w:id="14">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Шумпетер Й. Капитализм, социализм и демократия [Электронный документ] </w:t>
      </w:r>
      <w:hyperlink r:id="rId1" w:history="1">
        <w:r w:rsidRPr="00D94FAE">
          <w:rPr>
            <w:rStyle w:val="Hyperlink"/>
            <w:rFonts w:ascii="Times New Roman" w:hAnsi="Times New Roman"/>
            <w:sz w:val="24"/>
            <w:szCs w:val="24"/>
          </w:rPr>
          <w:t>http://www.schumpeter.ru/contents.php?book=kapital</w:t>
        </w:r>
      </w:hyperlink>
      <w:r w:rsidRPr="00D94FAE">
        <w:rPr>
          <w:rFonts w:ascii="Times New Roman" w:hAnsi="Times New Roman"/>
          <w:sz w:val="24"/>
          <w:szCs w:val="24"/>
        </w:rPr>
        <w:t>.</w:t>
      </w:r>
    </w:p>
  </w:footnote>
  <w:footnote w:id="15">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Крыштановская О. Современные концепции политической элиты и российская практика // Мир России. 2004. № 4. С. 3-39.</w:t>
      </w:r>
    </w:p>
  </w:footnote>
  <w:footnote w:id="16">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Ривера Ш., Ривера Д. К более точным оценкам трансформации в российской элите // ПОЛИС. Политические исследования, № 5, 2009, C. 149-157.</w:t>
      </w:r>
    </w:p>
  </w:footnote>
  <w:footnote w:id="17">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Норт Д. Институты, институциональные изменения и функционирование экономики \ Пер. с англ. А.Н. Нестеренко; предисл. и науч. ред. Б.З. Мильнера. — М.: Фонд экономической книги “Начала”, 1997.</w:t>
      </w:r>
    </w:p>
  </w:footnote>
  <w:footnote w:id="18">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Knight J. Institutions and Social Conflict.Cambridge, 1992.</w:t>
      </w:r>
    </w:p>
  </w:footnote>
  <w:footnote w:id="19">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w:t>
      </w:r>
      <w:r w:rsidRPr="00D94FAE">
        <w:rPr>
          <w:rFonts w:ascii="Times New Roman" w:hAnsi="Times New Roman"/>
          <w:iCs/>
          <w:color w:val="000000"/>
          <w:sz w:val="24"/>
          <w:szCs w:val="24"/>
        </w:rPr>
        <w:t>Григорьев Л. Спрос элит на право: «эффект трамвая» // Вопросы экономики, № 6, Июнь  2012, с. 41.</w:t>
      </w:r>
    </w:p>
  </w:footnote>
  <w:footnote w:id="20">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Регламент Государственной Думы Федерального Собрания Российской Федерации. Редакция от 14.01.2011. [Электронный документ]. Режим доступа: </w:t>
      </w:r>
      <w:hyperlink r:id="rId2" w:history="1">
        <w:r w:rsidRPr="00D94FAE">
          <w:rPr>
            <w:rStyle w:val="Hyperlink"/>
            <w:rFonts w:ascii="Times New Roman" w:hAnsi="Times New Roman"/>
            <w:sz w:val="24"/>
            <w:szCs w:val="24"/>
          </w:rPr>
          <w:t>http://www.consultant.ru/law/review/lawmaking/reglduma/</w:t>
        </w:r>
      </w:hyperlink>
      <w:r w:rsidRPr="00D94FAE">
        <w:rPr>
          <w:rFonts w:ascii="Times New Roman" w:hAnsi="Times New Roman"/>
          <w:sz w:val="24"/>
          <w:szCs w:val="24"/>
        </w:rPr>
        <w:t>.</w:t>
      </w:r>
    </w:p>
  </w:footnote>
  <w:footnote w:id="21">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Bachrach P., Baratz M.S. Power and Poverty: Theory and Practice. New York; London; Toronto: Oxford University Press, 1970</w:t>
      </w:r>
      <w:r w:rsidRPr="00D94FAE">
        <w:rPr>
          <w:rFonts w:ascii="Times New Roman" w:hAnsi="Times New Roman"/>
          <w:sz w:val="24"/>
          <w:szCs w:val="24"/>
        </w:rPr>
        <w:t>.</w:t>
      </w:r>
    </w:p>
  </w:footnote>
  <w:footnote w:id="22">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lang w:val="en-US"/>
        </w:rPr>
        <w:t xml:space="preserve"> Ostrom E. An Agenda for the Study of Institutions // </w:t>
      </w:r>
      <w:r w:rsidRPr="00D94FAE">
        <w:rPr>
          <w:rFonts w:ascii="Times New Roman" w:hAnsi="Times New Roman"/>
          <w:iCs/>
          <w:sz w:val="24"/>
          <w:szCs w:val="24"/>
          <w:lang w:val="en-US"/>
        </w:rPr>
        <w:t xml:space="preserve">Public Choice, </w:t>
      </w:r>
      <w:r w:rsidRPr="00D94FAE">
        <w:rPr>
          <w:rFonts w:ascii="Times New Roman" w:hAnsi="Times New Roman"/>
          <w:sz w:val="24"/>
          <w:szCs w:val="24"/>
          <w:lang w:val="en-US"/>
        </w:rPr>
        <w:t>1986, №48.P. 3-25.</w:t>
      </w:r>
    </w:p>
  </w:footnote>
  <w:footnote w:id="23">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Постановление Государственной Думы Федерального Собрания Российской Федерации N 2134 от 22 января 1998 «О Регламенте». [Электронный документ]. Режим доступа: </w:t>
      </w:r>
      <w:hyperlink r:id="rId3" w:anchor="p208" w:history="1">
        <w:r w:rsidRPr="00D94FAE">
          <w:rPr>
            <w:rStyle w:val="Hyperlink"/>
            <w:rFonts w:ascii="Times New Roman" w:hAnsi="Times New Roman"/>
            <w:sz w:val="24"/>
            <w:szCs w:val="24"/>
          </w:rPr>
          <w:t>http://www.consultant.ru/online/base/?req=doc;base=EXP;n=260244;p=1#p208</w:t>
        </w:r>
      </w:hyperlink>
      <w:r w:rsidRPr="00D94FAE">
        <w:rPr>
          <w:rFonts w:ascii="Times New Roman" w:hAnsi="Times New Roman"/>
          <w:sz w:val="24"/>
          <w:szCs w:val="24"/>
        </w:rPr>
        <w:t>.</w:t>
      </w:r>
    </w:p>
  </w:footnote>
  <w:footnote w:id="24">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Постановление Государственной Думы Федерального Собрания Российской Федерации N 2134 от 22 января 1998 «О Регламенте». [Электронный документ]. Режим доступа: </w:t>
      </w:r>
      <w:hyperlink r:id="rId4" w:anchor="p208" w:history="1">
        <w:r w:rsidRPr="00D94FAE">
          <w:rPr>
            <w:rStyle w:val="Hyperlink"/>
            <w:rFonts w:ascii="Times New Roman" w:hAnsi="Times New Roman"/>
            <w:sz w:val="24"/>
            <w:szCs w:val="24"/>
          </w:rPr>
          <w:t>http://www.consultant.ru/online/base/?req=doc;base=EXP;n=260244;p=1#p208</w:t>
        </w:r>
      </w:hyperlink>
      <w:r w:rsidRPr="00D94FAE">
        <w:rPr>
          <w:rFonts w:ascii="Times New Roman" w:hAnsi="Times New Roman"/>
          <w:sz w:val="24"/>
          <w:szCs w:val="24"/>
        </w:rPr>
        <w:t>.</w:t>
      </w:r>
    </w:p>
  </w:footnote>
  <w:footnote w:id="25">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Нисневич Ю. Аудит политической системы посткоммунистической России. – М.: Материк, 2007.</w:t>
      </w:r>
    </w:p>
  </w:footnote>
  <w:footnote w:id="26">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Регламент Государственной Думы Федерального Собрания Российской Федерации. Редакция от 14.01.2011. [Электронный документ]. Режим доступа: </w:t>
      </w:r>
      <w:hyperlink r:id="rId5" w:history="1">
        <w:r w:rsidRPr="00D94FAE">
          <w:rPr>
            <w:rStyle w:val="Hyperlink"/>
            <w:rFonts w:ascii="Times New Roman" w:hAnsi="Times New Roman"/>
            <w:sz w:val="24"/>
            <w:szCs w:val="24"/>
          </w:rPr>
          <w:t>http://www.consultant.ru/law/review/lawmaking/reglduma/</w:t>
        </w:r>
      </w:hyperlink>
      <w:r w:rsidRPr="00D94FAE">
        <w:rPr>
          <w:rFonts w:ascii="Times New Roman" w:hAnsi="Times New Roman"/>
          <w:sz w:val="24"/>
          <w:szCs w:val="24"/>
        </w:rPr>
        <w:t>.</w:t>
      </w:r>
    </w:p>
  </w:footnote>
  <w:footnote w:id="27">
    <w:p w:rsidR="006B1A39" w:rsidRDefault="006B1A39">
      <w:pPr>
        <w:pStyle w:val="FootnoteText"/>
      </w:pPr>
      <w:r w:rsidRPr="00D94FAE">
        <w:rPr>
          <w:rStyle w:val="FootnoteReference"/>
          <w:sz w:val="24"/>
          <w:szCs w:val="24"/>
        </w:rPr>
        <w:footnoteRef/>
      </w:r>
      <w:r w:rsidRPr="00D94FAE">
        <w:rPr>
          <w:sz w:val="24"/>
          <w:szCs w:val="24"/>
        </w:rPr>
        <w:t xml:space="preserve"> </w:t>
      </w:r>
      <w:r w:rsidRPr="00D94FAE">
        <w:rPr>
          <w:rFonts w:ascii="Times New Roman" w:hAnsi="Times New Roman"/>
          <w:sz w:val="24"/>
          <w:szCs w:val="24"/>
        </w:rPr>
        <w:t>Нисневич Ю. Аудит политической системы посткоммунистической России. – М.: Материк, 2007.</w:t>
      </w:r>
    </w:p>
  </w:footnote>
  <w:footnote w:id="28">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Постановление Государственной Думы Федерального Собрания Российской Федерации N 11 от 29.12.2003 года. [Электронный документ]. Режим доступа: </w:t>
      </w:r>
      <w:hyperlink r:id="rId6" w:anchor="p13" w:history="1">
        <w:r w:rsidRPr="00D94FAE">
          <w:rPr>
            <w:rStyle w:val="Hyperlink"/>
            <w:rFonts w:ascii="Times New Roman" w:hAnsi="Times New Roman"/>
            <w:sz w:val="24"/>
            <w:szCs w:val="24"/>
          </w:rPr>
          <w:t>http://www.consultant.ru/online/base/?req=doc;base=EXP;n=263537#p13</w:t>
        </w:r>
      </w:hyperlink>
      <w:r w:rsidRPr="00D94FAE">
        <w:rPr>
          <w:rFonts w:ascii="Times New Roman" w:hAnsi="Times New Roman"/>
          <w:sz w:val="24"/>
          <w:szCs w:val="24"/>
        </w:rPr>
        <w:t>.</w:t>
      </w:r>
    </w:p>
  </w:footnote>
  <w:footnote w:id="29">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Нисневич Ю. Аудит политической системы посткоммунистической России. – М.: Материк, 2007.</w:t>
      </w:r>
    </w:p>
  </w:footnote>
  <w:footnote w:id="30">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Указ Президента РФ от 22 февраля 1993 года №273 «О совершенствовании системы обеспечения деятельности Президента Российской Федерации». [Электронный документ]. Режим доступа: </w:t>
      </w:r>
      <w:hyperlink r:id="rId7" w:history="1">
        <w:r w:rsidRPr="00D94FAE">
          <w:rPr>
            <w:rStyle w:val="Hyperlink"/>
            <w:rFonts w:ascii="Times New Roman" w:hAnsi="Times New Roman"/>
            <w:sz w:val="24"/>
            <w:szCs w:val="24"/>
          </w:rPr>
          <w:t>http://www.allbusiness.ru/BPravo/DocumShow_DocumID_55553.html</w:t>
        </w:r>
      </w:hyperlink>
      <w:r w:rsidRPr="00D94FAE">
        <w:rPr>
          <w:rFonts w:ascii="Times New Roman" w:hAnsi="Times New Roman"/>
          <w:sz w:val="24"/>
          <w:szCs w:val="24"/>
        </w:rPr>
        <w:t>.</w:t>
      </w:r>
    </w:p>
  </w:footnote>
  <w:footnote w:id="31">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Указ Президента РФ от 2 октября 1996 года №1412.[Электронный документ]. Режим доступа: </w:t>
      </w:r>
      <w:hyperlink r:id="rId8" w:history="1">
        <w:r w:rsidRPr="00D94FAE">
          <w:rPr>
            <w:rStyle w:val="Hyperlink"/>
            <w:rFonts w:ascii="Times New Roman" w:hAnsi="Times New Roman"/>
            <w:sz w:val="24"/>
            <w:szCs w:val="24"/>
          </w:rPr>
          <w:t>http://www.referent.ru/1/20050</w:t>
        </w:r>
      </w:hyperlink>
      <w:r w:rsidRPr="00D94FAE">
        <w:rPr>
          <w:rFonts w:ascii="Times New Roman" w:hAnsi="Times New Roman"/>
          <w:sz w:val="24"/>
          <w:szCs w:val="24"/>
        </w:rPr>
        <w:t>.</w:t>
      </w:r>
    </w:p>
  </w:footnote>
  <w:footnote w:id="32">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Нисневич Ю.А. Государственная власть современной России. М.: Аспект Пресс, 2008.</w:t>
      </w:r>
    </w:p>
  </w:footnote>
  <w:footnote w:id="33">
    <w:p w:rsidR="006B1A39" w:rsidRDefault="006B1A39" w:rsidP="00D94FAE">
      <w:pPr>
        <w:pStyle w:val="FootnoteText"/>
      </w:pPr>
      <w:r w:rsidRPr="00D94FAE">
        <w:rPr>
          <w:rStyle w:val="FootnoteReference"/>
          <w:rFonts w:ascii="Times New Roman" w:hAnsi="Times New Roman"/>
          <w:sz w:val="24"/>
          <w:szCs w:val="24"/>
        </w:rPr>
        <w:footnoteRef/>
      </w:r>
      <w:r w:rsidRPr="00D94FAE">
        <w:rPr>
          <w:rFonts w:ascii="Times New Roman" w:hAnsi="Times New Roman"/>
          <w:sz w:val="24"/>
          <w:szCs w:val="24"/>
        </w:rPr>
        <w:t xml:space="preserve"> Нисневич Ю. Аудит политической системы посткоммунистической России. – М.: Материк,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7A7B"/>
    <w:multiLevelType w:val="hybridMultilevel"/>
    <w:tmpl w:val="12DABD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0A01EDA"/>
    <w:multiLevelType w:val="hybridMultilevel"/>
    <w:tmpl w:val="AF4A5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8763B8"/>
    <w:multiLevelType w:val="hybridMultilevel"/>
    <w:tmpl w:val="F514AC68"/>
    <w:lvl w:ilvl="0" w:tplc="8222E834">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A3C"/>
    <w:rsid w:val="000270D1"/>
    <w:rsid w:val="00031961"/>
    <w:rsid w:val="000709A9"/>
    <w:rsid w:val="0008782F"/>
    <w:rsid w:val="000950A4"/>
    <w:rsid w:val="000D3833"/>
    <w:rsid w:val="000D7A93"/>
    <w:rsid w:val="000E028C"/>
    <w:rsid w:val="000E25BC"/>
    <w:rsid w:val="00106A7C"/>
    <w:rsid w:val="00181665"/>
    <w:rsid w:val="00183F47"/>
    <w:rsid w:val="001A2F48"/>
    <w:rsid w:val="001F40F6"/>
    <w:rsid w:val="00203792"/>
    <w:rsid w:val="00210C3E"/>
    <w:rsid w:val="00217EAE"/>
    <w:rsid w:val="0023529C"/>
    <w:rsid w:val="00276955"/>
    <w:rsid w:val="00285BEB"/>
    <w:rsid w:val="00292127"/>
    <w:rsid w:val="0029552C"/>
    <w:rsid w:val="002B3F27"/>
    <w:rsid w:val="002C3577"/>
    <w:rsid w:val="002D7044"/>
    <w:rsid w:val="002F3C2D"/>
    <w:rsid w:val="00300F85"/>
    <w:rsid w:val="00307712"/>
    <w:rsid w:val="003153EB"/>
    <w:rsid w:val="00327A3C"/>
    <w:rsid w:val="00330339"/>
    <w:rsid w:val="00340905"/>
    <w:rsid w:val="00356550"/>
    <w:rsid w:val="003A79E7"/>
    <w:rsid w:val="003B5B35"/>
    <w:rsid w:val="003D2880"/>
    <w:rsid w:val="003D4133"/>
    <w:rsid w:val="004706D3"/>
    <w:rsid w:val="00477FA1"/>
    <w:rsid w:val="00480FE4"/>
    <w:rsid w:val="00492115"/>
    <w:rsid w:val="004C581F"/>
    <w:rsid w:val="004E2B84"/>
    <w:rsid w:val="005028D3"/>
    <w:rsid w:val="00505A07"/>
    <w:rsid w:val="00520EC8"/>
    <w:rsid w:val="00547046"/>
    <w:rsid w:val="00550203"/>
    <w:rsid w:val="005570CB"/>
    <w:rsid w:val="00577E64"/>
    <w:rsid w:val="00596297"/>
    <w:rsid w:val="005F59E4"/>
    <w:rsid w:val="006006C6"/>
    <w:rsid w:val="006113EE"/>
    <w:rsid w:val="006629DD"/>
    <w:rsid w:val="0067088F"/>
    <w:rsid w:val="006A31A1"/>
    <w:rsid w:val="006B1A39"/>
    <w:rsid w:val="006B36E3"/>
    <w:rsid w:val="006C4C1E"/>
    <w:rsid w:val="006E0946"/>
    <w:rsid w:val="006F144F"/>
    <w:rsid w:val="0070454B"/>
    <w:rsid w:val="00705911"/>
    <w:rsid w:val="007428C6"/>
    <w:rsid w:val="00774AF0"/>
    <w:rsid w:val="007A6796"/>
    <w:rsid w:val="007B267A"/>
    <w:rsid w:val="007D5BA6"/>
    <w:rsid w:val="007E5647"/>
    <w:rsid w:val="007F085D"/>
    <w:rsid w:val="00814C2A"/>
    <w:rsid w:val="008160A4"/>
    <w:rsid w:val="0081659B"/>
    <w:rsid w:val="008456BE"/>
    <w:rsid w:val="0087560F"/>
    <w:rsid w:val="00882A07"/>
    <w:rsid w:val="0088666E"/>
    <w:rsid w:val="008C0386"/>
    <w:rsid w:val="008E34DA"/>
    <w:rsid w:val="00921E14"/>
    <w:rsid w:val="00945649"/>
    <w:rsid w:val="00953464"/>
    <w:rsid w:val="00963FC1"/>
    <w:rsid w:val="009A0CB5"/>
    <w:rsid w:val="009A719E"/>
    <w:rsid w:val="009F02A0"/>
    <w:rsid w:val="00A06BD6"/>
    <w:rsid w:val="00A32C6B"/>
    <w:rsid w:val="00A45C84"/>
    <w:rsid w:val="00A81D87"/>
    <w:rsid w:val="00AA7E2A"/>
    <w:rsid w:val="00B1080C"/>
    <w:rsid w:val="00B60B37"/>
    <w:rsid w:val="00BC3625"/>
    <w:rsid w:val="00BD2061"/>
    <w:rsid w:val="00BF19D3"/>
    <w:rsid w:val="00BF2EC3"/>
    <w:rsid w:val="00C473DC"/>
    <w:rsid w:val="00C546A0"/>
    <w:rsid w:val="00C551A9"/>
    <w:rsid w:val="00C606AD"/>
    <w:rsid w:val="00CD3FB5"/>
    <w:rsid w:val="00D152DE"/>
    <w:rsid w:val="00D37DE5"/>
    <w:rsid w:val="00D80CA1"/>
    <w:rsid w:val="00D94FAE"/>
    <w:rsid w:val="00DE28FF"/>
    <w:rsid w:val="00E07AF4"/>
    <w:rsid w:val="00E32611"/>
    <w:rsid w:val="00E522E0"/>
    <w:rsid w:val="00E66692"/>
    <w:rsid w:val="00E750D5"/>
    <w:rsid w:val="00E87758"/>
    <w:rsid w:val="00E96ABE"/>
    <w:rsid w:val="00EA031D"/>
    <w:rsid w:val="00EC0CBF"/>
    <w:rsid w:val="00EC62F8"/>
    <w:rsid w:val="00ED3F4D"/>
    <w:rsid w:val="00EF6118"/>
    <w:rsid w:val="00F16594"/>
    <w:rsid w:val="00F20936"/>
    <w:rsid w:val="00F26E66"/>
    <w:rsid w:val="00F47C1C"/>
    <w:rsid w:val="00FB627B"/>
    <w:rsid w:val="00FE614C"/>
    <w:rsid w:val="00FF26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3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B1080C"/>
    <w:pPr>
      <w:keepNext/>
      <w:spacing w:line="360" w:lineRule="auto"/>
      <w:outlineLvl w:val="0"/>
    </w:pPr>
    <w:rPr>
      <w:b/>
      <w:bCs/>
      <w:i/>
      <w:iCs/>
      <w:sz w:val="16"/>
    </w:rPr>
  </w:style>
  <w:style w:type="paragraph" w:styleId="Heading2">
    <w:name w:val="heading 2"/>
    <w:basedOn w:val="Normal"/>
    <w:next w:val="Normal"/>
    <w:link w:val="Heading2Char"/>
    <w:uiPriority w:val="99"/>
    <w:qFormat/>
    <w:rsid w:val="00B1080C"/>
    <w:pPr>
      <w:keepNext/>
      <w:jc w:val="center"/>
      <w:outlineLvl w:val="1"/>
    </w:pPr>
    <w:rPr>
      <w:sz w:val="44"/>
    </w:rPr>
  </w:style>
  <w:style w:type="paragraph" w:styleId="Heading3">
    <w:name w:val="heading 3"/>
    <w:basedOn w:val="Normal"/>
    <w:next w:val="Normal"/>
    <w:link w:val="Heading3Char"/>
    <w:uiPriority w:val="99"/>
    <w:qFormat/>
    <w:rsid w:val="00B1080C"/>
    <w:pPr>
      <w:keepNext/>
      <w:jc w:val="center"/>
      <w:outlineLvl w:val="2"/>
    </w:pPr>
    <w:rPr>
      <w:u w:val="single"/>
    </w:rPr>
  </w:style>
  <w:style w:type="paragraph" w:styleId="Heading4">
    <w:name w:val="heading 4"/>
    <w:basedOn w:val="Normal"/>
    <w:next w:val="Normal"/>
    <w:link w:val="Heading4Char"/>
    <w:uiPriority w:val="99"/>
    <w:qFormat/>
    <w:rsid w:val="00B1080C"/>
    <w:pPr>
      <w:keepNext/>
      <w:outlineLvl w:val="3"/>
    </w:pPr>
    <w:rPr>
      <w:b/>
      <w:lang w:val="en-US"/>
    </w:rPr>
  </w:style>
  <w:style w:type="paragraph" w:styleId="Heading5">
    <w:name w:val="heading 5"/>
    <w:basedOn w:val="Normal"/>
    <w:next w:val="Normal"/>
    <w:link w:val="Heading5Char"/>
    <w:uiPriority w:val="99"/>
    <w:qFormat/>
    <w:rsid w:val="00B1080C"/>
    <w:pPr>
      <w:keepNext/>
      <w:spacing w:before="20"/>
      <w:outlineLvl w:val="4"/>
    </w:pPr>
    <w:rPr>
      <w:b/>
      <w:sz w:val="18"/>
      <w:lang w:val="en-US"/>
    </w:rPr>
  </w:style>
  <w:style w:type="paragraph" w:styleId="Heading6">
    <w:name w:val="heading 6"/>
    <w:basedOn w:val="Normal"/>
    <w:next w:val="Normal"/>
    <w:link w:val="Heading6Char"/>
    <w:uiPriority w:val="99"/>
    <w:qFormat/>
    <w:rsid w:val="00B1080C"/>
    <w:pPr>
      <w:keepNext/>
      <w:spacing w:line="360" w:lineRule="auto"/>
      <w:outlineLvl w:val="5"/>
    </w:pPr>
    <w:rPr>
      <w:b/>
      <w:sz w:val="1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80C"/>
    <w:rPr>
      <w:rFonts w:ascii="Arial" w:hAnsi="Arial" w:cs="Times New Roman"/>
      <w:b/>
      <w:bCs/>
      <w:i/>
      <w:iCs/>
      <w:sz w:val="16"/>
      <w:lang w:eastAsia="en-US"/>
    </w:rPr>
  </w:style>
  <w:style w:type="character" w:customStyle="1" w:styleId="Heading2Char">
    <w:name w:val="Heading 2 Char"/>
    <w:basedOn w:val="DefaultParagraphFont"/>
    <w:link w:val="Heading2"/>
    <w:uiPriority w:val="99"/>
    <w:locked/>
    <w:rsid w:val="00B1080C"/>
    <w:rPr>
      <w:rFonts w:ascii="Arial" w:hAnsi="Arial" w:cs="Times New Roman"/>
      <w:sz w:val="44"/>
      <w:lang w:eastAsia="en-US"/>
    </w:rPr>
  </w:style>
  <w:style w:type="character" w:customStyle="1" w:styleId="Heading3Char">
    <w:name w:val="Heading 3 Char"/>
    <w:basedOn w:val="DefaultParagraphFont"/>
    <w:link w:val="Heading3"/>
    <w:uiPriority w:val="99"/>
    <w:locked/>
    <w:rsid w:val="00B1080C"/>
    <w:rPr>
      <w:rFonts w:ascii="Arial" w:hAnsi="Arial" w:cs="Times New Roman"/>
      <w:sz w:val="24"/>
      <w:u w:val="single"/>
      <w:lang w:eastAsia="en-US"/>
    </w:rPr>
  </w:style>
  <w:style w:type="character" w:customStyle="1" w:styleId="Heading4Char">
    <w:name w:val="Heading 4 Char"/>
    <w:basedOn w:val="DefaultParagraphFont"/>
    <w:link w:val="Heading4"/>
    <w:uiPriority w:val="99"/>
    <w:locked/>
    <w:rsid w:val="00B1080C"/>
    <w:rPr>
      <w:rFonts w:ascii="Arial" w:hAnsi="Arial" w:cs="Times New Roman"/>
      <w:b/>
      <w:lang w:val="en-US" w:eastAsia="en-US"/>
    </w:rPr>
  </w:style>
  <w:style w:type="character" w:customStyle="1" w:styleId="Heading5Char">
    <w:name w:val="Heading 5 Char"/>
    <w:basedOn w:val="DefaultParagraphFont"/>
    <w:link w:val="Heading5"/>
    <w:uiPriority w:val="99"/>
    <w:locked/>
    <w:rsid w:val="00B1080C"/>
    <w:rPr>
      <w:rFonts w:ascii="Arial" w:hAnsi="Arial" w:cs="Times New Roman"/>
      <w:b/>
      <w:sz w:val="18"/>
      <w:lang w:val="en-US" w:eastAsia="en-US"/>
    </w:rPr>
  </w:style>
  <w:style w:type="character" w:customStyle="1" w:styleId="Heading6Char">
    <w:name w:val="Heading 6 Char"/>
    <w:basedOn w:val="DefaultParagraphFont"/>
    <w:link w:val="Heading6"/>
    <w:uiPriority w:val="99"/>
    <w:locked/>
    <w:rsid w:val="00B1080C"/>
    <w:rPr>
      <w:rFonts w:ascii="Arial" w:hAnsi="Arial" w:cs="Times New Roman"/>
      <w:b/>
      <w:sz w:val="16"/>
      <w:u w:val="single"/>
      <w:lang w:eastAsia="en-US"/>
    </w:rPr>
  </w:style>
  <w:style w:type="paragraph" w:styleId="Caption">
    <w:name w:val="caption"/>
    <w:basedOn w:val="Normal"/>
    <w:next w:val="Normal"/>
    <w:uiPriority w:val="99"/>
    <w:qFormat/>
    <w:rsid w:val="00B1080C"/>
    <w:pPr>
      <w:jc w:val="center"/>
    </w:pPr>
    <w:rPr>
      <w:position w:val="6"/>
      <w:sz w:val="28"/>
      <w:u w:val="single"/>
    </w:rPr>
  </w:style>
  <w:style w:type="paragraph" w:styleId="Title">
    <w:name w:val="Title"/>
    <w:basedOn w:val="Normal"/>
    <w:link w:val="TitleChar"/>
    <w:uiPriority w:val="99"/>
    <w:qFormat/>
    <w:rsid w:val="00B1080C"/>
    <w:pPr>
      <w:jc w:val="center"/>
    </w:pPr>
    <w:rPr>
      <w:b/>
    </w:rPr>
  </w:style>
  <w:style w:type="character" w:customStyle="1" w:styleId="TitleChar">
    <w:name w:val="Title Char"/>
    <w:basedOn w:val="DefaultParagraphFont"/>
    <w:link w:val="Title"/>
    <w:uiPriority w:val="99"/>
    <w:locked/>
    <w:rsid w:val="00B1080C"/>
    <w:rPr>
      <w:rFonts w:ascii="Arial" w:hAnsi="Arial" w:cs="Times New Roman"/>
      <w:b/>
      <w:sz w:val="22"/>
      <w:lang w:eastAsia="en-US"/>
    </w:rPr>
  </w:style>
  <w:style w:type="character" w:styleId="Emphasis">
    <w:name w:val="Emphasis"/>
    <w:basedOn w:val="DefaultParagraphFont"/>
    <w:uiPriority w:val="99"/>
    <w:qFormat/>
    <w:rsid w:val="00B1080C"/>
    <w:rPr>
      <w:rFonts w:cs="Times New Roman"/>
      <w:i/>
    </w:rPr>
  </w:style>
  <w:style w:type="paragraph" w:styleId="FootnoteText">
    <w:name w:val="footnote text"/>
    <w:basedOn w:val="Normal"/>
    <w:link w:val="FootnoteTextChar"/>
    <w:uiPriority w:val="99"/>
    <w:rsid w:val="00EF6118"/>
    <w:pPr>
      <w:spacing w:after="0" w:line="240" w:lineRule="auto"/>
    </w:pPr>
    <w:rPr>
      <w:sz w:val="20"/>
      <w:szCs w:val="20"/>
    </w:rPr>
  </w:style>
  <w:style w:type="character" w:customStyle="1" w:styleId="FootnoteTextChar">
    <w:name w:val="Footnote Text Char"/>
    <w:basedOn w:val="DefaultParagraphFont"/>
    <w:link w:val="FootnoteText"/>
    <w:uiPriority w:val="99"/>
    <w:locked/>
    <w:rsid w:val="00EF6118"/>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rsid w:val="00EF6118"/>
    <w:rPr>
      <w:rFonts w:cs="Times New Roman"/>
      <w:vertAlign w:val="superscript"/>
    </w:rPr>
  </w:style>
  <w:style w:type="character" w:styleId="Hyperlink">
    <w:name w:val="Hyperlink"/>
    <w:basedOn w:val="DefaultParagraphFont"/>
    <w:uiPriority w:val="99"/>
    <w:rsid w:val="000270D1"/>
    <w:rPr>
      <w:rFonts w:cs="Times New Roman"/>
      <w:color w:val="0000FF"/>
      <w:u w:val="single"/>
    </w:rPr>
  </w:style>
  <w:style w:type="paragraph" w:styleId="ListParagraph">
    <w:name w:val="List Paragraph"/>
    <w:basedOn w:val="Normal"/>
    <w:uiPriority w:val="99"/>
    <w:qFormat/>
    <w:rsid w:val="007D5BA6"/>
    <w:pPr>
      <w:ind w:left="720"/>
      <w:contextualSpacing/>
    </w:pPr>
  </w:style>
  <w:style w:type="paragraph" w:styleId="Header">
    <w:name w:val="header"/>
    <w:basedOn w:val="Normal"/>
    <w:link w:val="HeaderChar"/>
    <w:uiPriority w:val="99"/>
    <w:semiHidden/>
    <w:rsid w:val="0070591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05911"/>
    <w:rPr>
      <w:rFonts w:ascii="Calibri" w:eastAsia="Times New Roman" w:hAnsi="Calibri" w:cs="Times New Roman"/>
      <w:sz w:val="22"/>
      <w:szCs w:val="22"/>
      <w:lang w:eastAsia="en-US"/>
    </w:rPr>
  </w:style>
  <w:style w:type="paragraph" w:styleId="Footer">
    <w:name w:val="footer"/>
    <w:basedOn w:val="Normal"/>
    <w:link w:val="FooterChar"/>
    <w:uiPriority w:val="99"/>
    <w:rsid w:val="0070591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5911"/>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rsid w:val="0008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82F"/>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5959279">
      <w:marLeft w:val="0"/>
      <w:marRight w:val="0"/>
      <w:marTop w:val="0"/>
      <w:marBottom w:val="0"/>
      <w:divBdr>
        <w:top w:val="none" w:sz="0" w:space="0" w:color="auto"/>
        <w:left w:val="none" w:sz="0" w:space="0" w:color="auto"/>
        <w:bottom w:val="none" w:sz="0" w:space="0" w:color="auto"/>
        <w:right w:val="none" w:sz="0" w:space="0" w:color="auto"/>
      </w:divBdr>
    </w:div>
    <w:div w:id="695959280">
      <w:marLeft w:val="0"/>
      <w:marRight w:val="0"/>
      <w:marTop w:val="0"/>
      <w:marBottom w:val="0"/>
      <w:divBdr>
        <w:top w:val="none" w:sz="0" w:space="0" w:color="auto"/>
        <w:left w:val="none" w:sz="0" w:space="0" w:color="auto"/>
        <w:bottom w:val="none" w:sz="0" w:space="0" w:color="auto"/>
        <w:right w:val="none" w:sz="0" w:space="0" w:color="auto"/>
      </w:divBdr>
    </w:div>
    <w:div w:id="695959281">
      <w:marLeft w:val="0"/>
      <w:marRight w:val="0"/>
      <w:marTop w:val="0"/>
      <w:marBottom w:val="0"/>
      <w:divBdr>
        <w:top w:val="none" w:sz="0" w:space="0" w:color="auto"/>
        <w:left w:val="none" w:sz="0" w:space="0" w:color="auto"/>
        <w:bottom w:val="none" w:sz="0" w:space="0" w:color="auto"/>
        <w:right w:val="none" w:sz="0" w:space="0" w:color="auto"/>
      </w:divBdr>
    </w:div>
    <w:div w:id="69595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EXP;n=260244;p=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umpeter.ru/contents.php?book=kapital" TargetMode="External"/><Relationship Id="rId12" Type="http://schemas.openxmlformats.org/officeDocument/2006/relationships/hyperlink" Target="http://www.allbusiness.ru/BPravo/DocumShow_DocumID_555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erent.ru/1/200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law/review/lawmaking/reglduma/" TargetMode="External"/><Relationship Id="rId4" Type="http://schemas.openxmlformats.org/officeDocument/2006/relationships/webSettings" Target="webSettings.xml"/><Relationship Id="rId9" Type="http://schemas.openxmlformats.org/officeDocument/2006/relationships/hyperlink" Target="http://www.consultant.ru/online/base/?req=doc;base=EXP;n=26353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eferent.ru/1/20050" TargetMode="External"/><Relationship Id="rId3" Type="http://schemas.openxmlformats.org/officeDocument/2006/relationships/hyperlink" Target="http://www.consultant.ru/online/base/?req=doc;base=EXP;n=260244;p=1" TargetMode="External"/><Relationship Id="rId7" Type="http://schemas.openxmlformats.org/officeDocument/2006/relationships/hyperlink" Target="http://www.allbusiness.ru/BPravo/DocumShow_DocumID_55553.html" TargetMode="External"/><Relationship Id="rId2" Type="http://schemas.openxmlformats.org/officeDocument/2006/relationships/hyperlink" Target="http://www.consultant.ru/law/review/lawmaking/reglduma/" TargetMode="External"/><Relationship Id="rId1" Type="http://schemas.openxmlformats.org/officeDocument/2006/relationships/hyperlink" Target="http://www.schumpeter.ru/contents.php?book=kapital" TargetMode="External"/><Relationship Id="rId6" Type="http://schemas.openxmlformats.org/officeDocument/2006/relationships/hyperlink" Target="http://www.consultant.ru/online/base/?req=doc;base=EXP;n=263537" TargetMode="External"/><Relationship Id="rId5" Type="http://schemas.openxmlformats.org/officeDocument/2006/relationships/hyperlink" Target="http://www.consultant.ru/law/review/lawmaking/reglduma/" TargetMode="External"/><Relationship Id="rId4" Type="http://schemas.openxmlformats.org/officeDocument/2006/relationships/hyperlink" Target="http://www.consultant.ru/online/base/?req=doc;base=EXP;n=260244;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25</Pages>
  <Words>5454</Words>
  <Characters>31089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USER01</cp:lastModifiedBy>
  <cp:revision>6</cp:revision>
  <dcterms:created xsi:type="dcterms:W3CDTF">2015-03-17T13:39:00Z</dcterms:created>
  <dcterms:modified xsi:type="dcterms:W3CDTF">2015-04-01T11:34:00Z</dcterms:modified>
</cp:coreProperties>
</file>