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30DA7" w14:textId="77777777" w:rsidR="00FD5295" w:rsidRDefault="00FD5295" w:rsidP="00FD5295">
      <w:pPr>
        <w:rPr>
          <w:rFonts w:ascii="Times New Roman" w:eastAsia="Times New Roman" w:hAnsi="Times New Roman" w:cs="Times New Roman"/>
          <w:lang w:eastAsia="ru-RU"/>
        </w:rPr>
      </w:pPr>
    </w:p>
    <w:p w14:paraId="565E1414" w14:textId="1527B88E" w:rsidR="00705CDB" w:rsidRDefault="00705CDB" w:rsidP="00640BE1">
      <w:pPr>
        <w:jc w:val="center"/>
        <w:rPr>
          <w:rFonts w:ascii="Times New Roman" w:hAnsi="Times New Roman" w:cs="Times New Roman"/>
          <w:b/>
          <w:color w:val="000000"/>
          <w:lang w:eastAsia="ru-RU"/>
        </w:rPr>
      </w:pPr>
      <w:r>
        <w:rPr>
          <w:rFonts w:ascii="Times New Roman" w:hAnsi="Times New Roman" w:cs="Times New Roman"/>
          <w:b/>
          <w:color w:val="000000"/>
          <w:lang w:eastAsia="ru-RU"/>
        </w:rPr>
        <w:t>ВЛИЯНИЕ ЗАМЕДЛЕНИЯ РОСТА ЭКОНОМИКИ НА ЕЕ ЭНЕРГОЕМКОСТЬ</w:t>
      </w:r>
    </w:p>
    <w:p w14:paraId="4BA55360" w14:textId="77777777" w:rsidR="0065113A" w:rsidRPr="003362D7" w:rsidRDefault="0065113A" w:rsidP="00640BE1">
      <w:pPr>
        <w:jc w:val="center"/>
        <w:rPr>
          <w:rFonts w:ascii="Times New Roman" w:hAnsi="Times New Roman" w:cs="Times New Roman"/>
          <w:b/>
          <w:color w:val="000000"/>
          <w:lang w:eastAsia="ru-RU"/>
        </w:rPr>
      </w:pPr>
    </w:p>
    <w:p w14:paraId="3A506327" w14:textId="5852DC04" w:rsidR="003952EC" w:rsidRDefault="006C2C48" w:rsidP="00640BE1">
      <w:pPr>
        <w:jc w:val="center"/>
        <w:rPr>
          <w:rFonts w:ascii="Times New Roman" w:hAnsi="Times New Roman" w:cs="Times New Roman"/>
          <w:color w:val="000000"/>
          <w:lang w:eastAsia="ru-RU"/>
        </w:rPr>
      </w:pPr>
      <w:r w:rsidRPr="00785545">
        <w:rPr>
          <w:rFonts w:ascii="Times New Roman" w:hAnsi="Times New Roman" w:cs="Times New Roman"/>
          <w:b/>
          <w:color w:val="000000"/>
          <w:lang w:eastAsia="ru-RU"/>
        </w:rPr>
        <w:t>Власова</w:t>
      </w:r>
      <w:r w:rsidR="003952EC" w:rsidRPr="00785545">
        <w:rPr>
          <w:rFonts w:ascii="Times New Roman" w:hAnsi="Times New Roman" w:cs="Times New Roman"/>
          <w:b/>
          <w:color w:val="000000"/>
          <w:lang w:eastAsia="ru-RU"/>
        </w:rPr>
        <w:t xml:space="preserve"> А.В.</w:t>
      </w:r>
      <w:r w:rsidR="003952EC" w:rsidRPr="003952EC">
        <w:rPr>
          <w:rFonts w:ascii="Times New Roman" w:hAnsi="Times New Roman" w:cs="Times New Roman"/>
          <w:color w:val="000000"/>
          <w:vertAlign w:val="superscript"/>
          <w:lang w:eastAsia="ru-RU"/>
        </w:rPr>
        <w:t>1</w:t>
      </w:r>
    </w:p>
    <w:p w14:paraId="09D54019" w14:textId="7DCF58C5" w:rsidR="0065113A" w:rsidRDefault="00F75855" w:rsidP="00640BE1">
      <w:pPr>
        <w:jc w:val="center"/>
        <w:rPr>
          <w:rFonts w:ascii="Times New Roman" w:hAnsi="Times New Roman" w:cs="Times New Roman"/>
          <w:color w:val="000000"/>
          <w:lang w:eastAsia="ru-RU"/>
        </w:rPr>
      </w:pPr>
      <w:r w:rsidRPr="006C2C48">
        <w:rPr>
          <w:rFonts w:ascii="Times New Roman" w:hAnsi="Times New Roman" w:cs="Times New Roman"/>
          <w:color w:val="000000"/>
          <w:lang w:eastAsia="ru-RU"/>
        </w:rPr>
        <w:t xml:space="preserve"> </w:t>
      </w:r>
      <w:r w:rsidR="003952EC" w:rsidRPr="003952EC">
        <w:rPr>
          <w:rFonts w:ascii="Times New Roman" w:hAnsi="Times New Roman" w:cs="Times New Roman"/>
          <w:color w:val="000000"/>
          <w:vertAlign w:val="superscript"/>
          <w:lang w:eastAsia="ru-RU"/>
        </w:rPr>
        <w:t>1</w:t>
      </w:r>
      <w:r w:rsidRPr="006C2C48">
        <w:rPr>
          <w:rFonts w:ascii="Times New Roman" w:hAnsi="Times New Roman" w:cs="Times New Roman"/>
          <w:color w:val="000000"/>
          <w:lang w:eastAsia="ru-RU"/>
        </w:rPr>
        <w:t>НИУ-ВШЭ</w:t>
      </w:r>
    </w:p>
    <w:p w14:paraId="28913840" w14:textId="1A08A29B" w:rsidR="003952EC" w:rsidRPr="006C2C48" w:rsidRDefault="003952EC" w:rsidP="00640BE1">
      <w:pPr>
        <w:jc w:val="center"/>
        <w:rPr>
          <w:rFonts w:ascii="Times New Roman" w:hAnsi="Times New Roman" w:cs="Times New Roman"/>
          <w:color w:val="000000"/>
          <w:lang w:eastAsia="ru-RU"/>
        </w:rPr>
      </w:pPr>
      <w:r>
        <w:rPr>
          <w:rFonts w:ascii="Times New Roman" w:hAnsi="Times New Roman" w:cs="Times New Roman"/>
          <w:color w:val="000000"/>
          <w:lang w:eastAsia="ru-RU"/>
        </w:rPr>
        <w:t>(</w:t>
      </w:r>
      <w:r w:rsidRPr="00785545">
        <w:rPr>
          <w:rFonts w:ascii="Times New Roman" w:hAnsi="Times New Roman" w:cs="Times New Roman"/>
          <w:i/>
          <w:color w:val="000000"/>
          <w:lang w:eastAsia="ru-RU"/>
        </w:rPr>
        <w:t>119017, Российская Федерация, Москва, ул. Малая Ордынка, д. 17</w:t>
      </w:r>
      <w:r>
        <w:rPr>
          <w:rFonts w:ascii="Times New Roman" w:hAnsi="Times New Roman" w:cs="Times New Roman"/>
          <w:color w:val="000000"/>
          <w:lang w:eastAsia="ru-RU"/>
        </w:rPr>
        <w:t>)</w:t>
      </w:r>
    </w:p>
    <w:p w14:paraId="7D698F76" w14:textId="7E406E2C" w:rsidR="006C2C48" w:rsidRPr="006C2C48" w:rsidRDefault="006C2C48" w:rsidP="00640BE1">
      <w:pPr>
        <w:jc w:val="center"/>
        <w:rPr>
          <w:rFonts w:ascii="Times New Roman" w:hAnsi="Times New Roman" w:cs="Times New Roman"/>
          <w:color w:val="000000"/>
          <w:lang w:val="en-US" w:eastAsia="ru-RU"/>
        </w:rPr>
      </w:pPr>
      <w:r w:rsidRPr="006C2C48">
        <w:rPr>
          <w:rFonts w:ascii="Times New Roman" w:hAnsi="Times New Roman" w:cs="Times New Roman"/>
          <w:color w:val="000000"/>
          <w:lang w:eastAsia="ru-RU"/>
        </w:rPr>
        <w:t xml:space="preserve"> </w:t>
      </w:r>
      <w:r w:rsidR="003952EC">
        <w:rPr>
          <w:rFonts w:ascii="Times New Roman" w:hAnsi="Times New Roman" w:cs="Times New Roman"/>
          <w:color w:val="000000"/>
          <w:lang w:val="en-US" w:eastAsia="ru-RU"/>
        </w:rPr>
        <w:t>*</w:t>
      </w:r>
      <w:r w:rsidRPr="00785545">
        <w:rPr>
          <w:rFonts w:ascii="Times New Roman" w:hAnsi="Times New Roman" w:cs="Times New Roman"/>
          <w:i/>
          <w:color w:val="000000"/>
          <w:lang w:val="en-US" w:eastAsia="ru-RU"/>
        </w:rPr>
        <w:t>stacy7973@gmail.com</w:t>
      </w:r>
    </w:p>
    <w:p w14:paraId="7513CD9B" w14:textId="107C0F69" w:rsidR="009E2CFF" w:rsidRPr="003952EC" w:rsidRDefault="009E2CFF" w:rsidP="003952EC">
      <w:pPr>
        <w:jc w:val="center"/>
        <w:rPr>
          <w:rFonts w:ascii="Calibri" w:hAnsi="Calibri" w:cs="Times New Roman"/>
          <w:color w:val="000000"/>
          <w:lang w:eastAsia="ru-RU"/>
        </w:rPr>
      </w:pPr>
      <w:r w:rsidRPr="009E2CFF">
        <w:rPr>
          <w:rFonts w:ascii="Times New Roman" w:hAnsi="Times New Roman" w:cs="Times New Roman"/>
          <w:color w:val="000000"/>
          <w:lang w:eastAsia="ru-RU"/>
        </w:rPr>
        <w:t> </w:t>
      </w:r>
      <w:r w:rsidR="00220859">
        <w:rPr>
          <w:rFonts w:ascii="Times New Roman" w:hAnsi="Times New Roman" w:cs="Times New Roman"/>
          <w:color w:val="000000"/>
          <w:lang w:eastAsia="ru-RU"/>
        </w:rPr>
        <w:t xml:space="preserve"> </w:t>
      </w:r>
    </w:p>
    <w:tbl>
      <w:tblPr>
        <w:tblStyle w:val="ab"/>
        <w:tblW w:w="0" w:type="auto"/>
        <w:tblInd w:w="1555" w:type="dxa"/>
        <w:tblLook w:val="04A0" w:firstRow="1" w:lastRow="0" w:firstColumn="1" w:lastColumn="0" w:noHBand="0" w:noVBand="1"/>
      </w:tblPr>
      <w:tblGrid>
        <w:gridCol w:w="6662"/>
      </w:tblGrid>
      <w:tr w:rsidR="003245EE" w14:paraId="5E5F1913" w14:textId="77777777" w:rsidTr="003245EE">
        <w:trPr>
          <w:trHeight w:val="1262"/>
        </w:trPr>
        <w:tc>
          <w:tcPr>
            <w:tcW w:w="6662" w:type="dxa"/>
            <w:tcBorders>
              <w:top w:val="nil"/>
              <w:left w:val="nil"/>
              <w:bottom w:val="nil"/>
              <w:right w:val="nil"/>
            </w:tcBorders>
          </w:tcPr>
          <w:p w14:paraId="06891C75" w14:textId="4E116E50" w:rsidR="00FC2AD7" w:rsidRPr="00656609" w:rsidRDefault="00FC2AD7" w:rsidP="00640BE1">
            <w:pPr>
              <w:jc w:val="both"/>
              <w:rPr>
                <w:rFonts w:ascii="Times New Roman" w:hAnsi="Times New Roman" w:cs="Times New Roman"/>
                <w:i/>
                <w:color w:val="000000"/>
                <w:lang w:eastAsia="ru-RU"/>
              </w:rPr>
            </w:pPr>
            <w:r w:rsidRPr="00656609">
              <w:rPr>
                <w:rFonts w:ascii="Times New Roman" w:hAnsi="Times New Roman" w:cs="Times New Roman"/>
                <w:i/>
                <w:color w:val="000000"/>
                <w:lang w:eastAsia="ru-RU"/>
              </w:rPr>
              <w:t xml:space="preserve">Связь между экономическим ростом и энергоемкостью экономики играет важную роль в понимании специфики развития </w:t>
            </w:r>
            <w:r w:rsidR="00331F13" w:rsidRPr="00656609">
              <w:rPr>
                <w:rFonts w:ascii="Times New Roman" w:hAnsi="Times New Roman" w:cs="Times New Roman"/>
                <w:i/>
                <w:color w:val="000000"/>
                <w:lang w:eastAsia="ru-RU"/>
              </w:rPr>
              <w:t xml:space="preserve">различных </w:t>
            </w:r>
            <w:r w:rsidR="003245EE" w:rsidRPr="00656609">
              <w:rPr>
                <w:rFonts w:ascii="Times New Roman" w:hAnsi="Times New Roman" w:cs="Times New Roman"/>
                <w:i/>
                <w:color w:val="000000"/>
                <w:lang w:eastAsia="ru-RU"/>
              </w:rPr>
              <w:t xml:space="preserve">экономик. </w:t>
            </w:r>
            <w:r w:rsidR="006C2C48" w:rsidRPr="00656609">
              <w:rPr>
                <w:rFonts w:ascii="Times New Roman" w:hAnsi="Times New Roman" w:cs="Times New Roman"/>
                <w:i/>
                <w:color w:val="000000"/>
                <w:lang w:eastAsia="ru-RU"/>
              </w:rPr>
              <w:t xml:space="preserve">Общепринятым мнением считается, что при замедлении экономического роста замедляется технологическое развитие  и прогресс технологий производства товаров, снижаются  инвестиции в энергетические проекты. Повышается энергоемкость экономики, снижается ее энергетическая обеспеченность. Наличие условно- постоянных расходов энергии в проектах так же не способствует снижению энергоемкости. Все более негативное влияние на экономики оказывают макрофакторы, которые отодвигают вопрос снижения энергоемкости на второй план. </w:t>
            </w:r>
            <w:r w:rsidR="003245EE" w:rsidRPr="00656609">
              <w:rPr>
                <w:rFonts w:ascii="Times New Roman" w:hAnsi="Times New Roman" w:cs="Times New Roman"/>
                <w:i/>
                <w:color w:val="000000"/>
                <w:lang w:eastAsia="ru-RU"/>
              </w:rPr>
              <w:t xml:space="preserve">В </w:t>
            </w:r>
            <w:r w:rsidRPr="00656609">
              <w:rPr>
                <w:rFonts w:ascii="Times New Roman" w:hAnsi="Times New Roman" w:cs="Times New Roman"/>
                <w:i/>
                <w:color w:val="000000"/>
                <w:lang w:eastAsia="ru-RU"/>
              </w:rPr>
              <w:t>работе рассматриваются противоречия между общепринятыми тенденциями и тенденциями, присущими отдельной экономике (на примере китайской экономики).</w:t>
            </w:r>
            <w:r w:rsidR="00ED2A08" w:rsidRPr="00656609">
              <w:rPr>
                <w:rFonts w:ascii="Times New Roman" w:hAnsi="Times New Roman" w:cs="Times New Roman"/>
                <w:i/>
                <w:color w:val="000000"/>
                <w:lang w:eastAsia="ru-RU"/>
              </w:rPr>
              <w:t xml:space="preserve"> </w:t>
            </w:r>
            <w:r w:rsidR="006A23F2" w:rsidRPr="00656609">
              <w:rPr>
                <w:rFonts w:ascii="Times New Roman" w:hAnsi="Times New Roman" w:cs="Times New Roman"/>
                <w:i/>
                <w:color w:val="000000"/>
                <w:lang w:eastAsia="ru-RU"/>
              </w:rPr>
              <w:t>Несмотря на наличие большого количества исследований этой связи в зарубежной и отечественной литературе, их результаты не позволяют сформировать однозначные выводы.</w:t>
            </w:r>
            <w:r w:rsidR="00803334" w:rsidRPr="00656609">
              <w:rPr>
                <w:rFonts w:ascii="Times New Roman" w:hAnsi="Times New Roman" w:cs="Times New Roman"/>
                <w:i/>
                <w:color w:val="000000"/>
                <w:lang w:eastAsia="ru-RU"/>
              </w:rPr>
              <w:t xml:space="preserve"> </w:t>
            </w:r>
            <w:r w:rsidR="002C687D" w:rsidRPr="00656609">
              <w:rPr>
                <w:rFonts w:ascii="Times New Roman" w:hAnsi="Times New Roman" w:cs="Times New Roman"/>
                <w:i/>
                <w:color w:val="000000"/>
                <w:lang w:eastAsia="ru-RU"/>
              </w:rPr>
              <w:t xml:space="preserve">Автор приходит к выводу о том, что на динамику энергоемкости определяющее влияние оказывает специфика экономического развития. </w:t>
            </w:r>
            <w:r w:rsidR="006C2C48" w:rsidRPr="00656609">
              <w:rPr>
                <w:rFonts w:ascii="Times New Roman" w:hAnsi="Times New Roman" w:cs="Times New Roman"/>
                <w:i/>
                <w:color w:val="000000"/>
                <w:lang w:eastAsia="ru-RU"/>
              </w:rPr>
              <w:t>Политика китайских властей использует скорее адаптационные механизмы для корректировки будущей энергетической политики, что позволяет снижать энергоемкость в период экономического роста и при его замедлении.</w:t>
            </w:r>
          </w:p>
          <w:p w14:paraId="0EE410A4" w14:textId="77777777" w:rsidR="00FC2AD7" w:rsidRPr="003245EE" w:rsidRDefault="00FC2AD7" w:rsidP="00640BE1">
            <w:pPr>
              <w:jc w:val="both"/>
              <w:rPr>
                <w:rFonts w:ascii="Times New Roman" w:hAnsi="Times New Roman" w:cs="Times New Roman"/>
                <w:color w:val="000000"/>
                <w:lang w:eastAsia="ru-RU"/>
              </w:rPr>
            </w:pPr>
          </w:p>
        </w:tc>
      </w:tr>
    </w:tbl>
    <w:p w14:paraId="43F90957" w14:textId="7311A237" w:rsidR="00D82F42" w:rsidRDefault="00D82F42" w:rsidP="00656609">
      <w:pPr>
        <w:rPr>
          <w:rFonts w:ascii="Times New Roman" w:hAnsi="Times New Roman" w:cs="Times New Roman"/>
          <w:b/>
          <w:color w:val="000000"/>
          <w:lang w:eastAsia="ru-RU"/>
        </w:rPr>
      </w:pPr>
    </w:p>
    <w:p w14:paraId="419BE083" w14:textId="4B8FEDF2" w:rsidR="009649C1" w:rsidRPr="009D5913" w:rsidRDefault="00E1413D" w:rsidP="00640BE1">
      <w:pPr>
        <w:jc w:val="both"/>
        <w:rPr>
          <w:rFonts w:ascii="Times New Roman" w:hAnsi="Times New Roman" w:cs="Times New Roman"/>
          <w:i/>
          <w:color w:val="000000"/>
          <w:lang w:eastAsia="ru-RU"/>
        </w:rPr>
      </w:pPr>
      <w:r w:rsidRPr="00821FCE">
        <w:rPr>
          <w:rFonts w:ascii="Times New Roman" w:hAnsi="Times New Roman" w:cs="Times New Roman"/>
          <w:b/>
          <w:i/>
          <w:color w:val="000000"/>
          <w:lang w:eastAsia="ru-RU"/>
        </w:rPr>
        <w:t>Ключевые слова:</w:t>
      </w:r>
      <w:r w:rsidRPr="009D5913">
        <w:rPr>
          <w:rFonts w:ascii="Times New Roman" w:hAnsi="Times New Roman" w:cs="Times New Roman"/>
          <w:i/>
          <w:color w:val="000000"/>
          <w:lang w:eastAsia="ru-RU"/>
        </w:rPr>
        <w:t xml:space="preserve"> </w:t>
      </w:r>
      <w:r w:rsidR="009D5913" w:rsidRPr="009D5913">
        <w:rPr>
          <w:rFonts w:ascii="Times New Roman" w:hAnsi="Times New Roman" w:cs="Times New Roman"/>
          <w:i/>
          <w:color w:val="000000"/>
          <w:lang w:eastAsia="ru-RU"/>
        </w:rPr>
        <w:t xml:space="preserve">экономический рост, </w:t>
      </w:r>
      <w:r w:rsidR="000C5A06">
        <w:rPr>
          <w:rFonts w:ascii="Times New Roman" w:hAnsi="Times New Roman" w:cs="Times New Roman"/>
          <w:i/>
          <w:color w:val="000000"/>
          <w:lang w:eastAsia="ru-RU"/>
        </w:rPr>
        <w:t>энергопотребление, энергоемкость, энергетическая эффективность, национальная экономика, региональные экономики</w:t>
      </w:r>
      <w:r w:rsidR="00EE339D">
        <w:rPr>
          <w:rFonts w:ascii="Times New Roman" w:hAnsi="Times New Roman" w:cs="Times New Roman"/>
          <w:i/>
          <w:color w:val="000000"/>
          <w:lang w:eastAsia="ru-RU"/>
        </w:rPr>
        <w:t>.</w:t>
      </w:r>
    </w:p>
    <w:p w14:paraId="0A3F0DF3" w14:textId="5DD695AC" w:rsidR="00A86FBC" w:rsidRPr="00C41C6D" w:rsidRDefault="00A63BF5" w:rsidP="00640BE1">
      <w:pPr>
        <w:pStyle w:val="a3"/>
        <w:ind w:firstLine="709"/>
        <w:jc w:val="center"/>
        <w:rPr>
          <w:i/>
        </w:rPr>
      </w:pPr>
      <w:r w:rsidRPr="00C41C6D">
        <w:rPr>
          <w:b/>
          <w:i/>
        </w:rPr>
        <w:t>Введение</w:t>
      </w:r>
    </w:p>
    <w:p w14:paraId="0AF3DFDC" w14:textId="52F22258" w:rsidR="00D03595" w:rsidRDefault="00C50B4E" w:rsidP="00640BE1">
      <w:pPr>
        <w:pStyle w:val="a3"/>
        <w:ind w:firstLine="709"/>
        <w:jc w:val="both"/>
      </w:pPr>
      <w:r>
        <w:t>Энергоемкость экономики наряду с энергоэффективностью и энергообеспеченностью являются неотъемлемыми показателями ее устойчивого развития</w:t>
      </w:r>
      <w:r w:rsidR="00D91991">
        <w:t xml:space="preserve"> по интенсивному пути</w:t>
      </w:r>
      <w:r w:rsidR="00D03595">
        <w:t xml:space="preserve"> развития</w:t>
      </w:r>
      <w:r>
        <w:t xml:space="preserve">. </w:t>
      </w:r>
      <w:r w:rsidR="00F70142">
        <w:t xml:space="preserve">В период мирового энергетического </w:t>
      </w:r>
      <w:r w:rsidR="00D91991">
        <w:t xml:space="preserve">перехода как развитые, так и развивающиеся экономики стремятся </w:t>
      </w:r>
      <w:r w:rsidR="00845966">
        <w:t>снизить</w:t>
      </w:r>
      <w:r w:rsidR="00D91991">
        <w:t xml:space="preserve"> энергоемкость </w:t>
      </w:r>
      <w:r w:rsidR="00F70142">
        <w:t>своих экономик</w:t>
      </w:r>
      <w:r w:rsidR="00D91991">
        <w:t xml:space="preserve"> (содействие интенсивн</w:t>
      </w:r>
      <w:r w:rsidR="00F70142">
        <w:t>ой модели развития</w:t>
      </w:r>
      <w:r w:rsidR="00D91991">
        <w:t xml:space="preserve">), </w:t>
      </w:r>
      <w:r w:rsidR="00F70142">
        <w:t>повысить энергоэффективность и энергообеспеченность (содействие интенсивной модели развития параллельно с реструктуризацией ТЭБ с увеличением в нем доли «</w:t>
      </w:r>
      <w:r w:rsidR="00403D6C">
        <w:t>зеленой</w:t>
      </w:r>
      <w:r w:rsidR="00F70142">
        <w:t xml:space="preserve">» </w:t>
      </w:r>
      <w:r w:rsidR="00403D6C">
        <w:t>энергетики</w:t>
      </w:r>
      <w:r w:rsidR="00F70142">
        <w:t xml:space="preserve">).  </w:t>
      </w:r>
      <w:r w:rsidR="00BA606A">
        <w:t>При анализе энергетической составляющей и ее влиянии на экономический рост необходимо учитывать географию, геологию, специфику экономического  развития страны.</w:t>
      </w:r>
      <w:r w:rsidR="004130F4">
        <w:t xml:space="preserve"> Данные </w:t>
      </w:r>
      <w:r w:rsidR="0088142D">
        <w:t xml:space="preserve">внутренние </w:t>
      </w:r>
      <w:r w:rsidR="004130F4">
        <w:t>факторы влияют на энергоемкость экономики.</w:t>
      </w:r>
      <w:r w:rsidR="006F1E83">
        <w:t xml:space="preserve"> </w:t>
      </w:r>
      <w:r w:rsidR="00737F8C">
        <w:t>Пандемия коронавируса</w:t>
      </w:r>
      <w:r w:rsidR="00893D3C">
        <w:t xml:space="preserve"> (внешний </w:t>
      </w:r>
      <w:r w:rsidR="00267B35">
        <w:t xml:space="preserve">психологический </w:t>
      </w:r>
      <w:r w:rsidR="00893D3C">
        <w:t>шок)</w:t>
      </w:r>
      <w:r w:rsidR="004130F4">
        <w:t xml:space="preserve"> </w:t>
      </w:r>
      <w:r w:rsidR="00737F8C">
        <w:t xml:space="preserve">негативно повлияла на мировую экономику и привела к замедлению роста ВВП и ухудшению макроэкономических условий. Снижение темпов роста </w:t>
      </w:r>
      <w:r w:rsidR="00737F8C">
        <w:lastRenderedPageBreak/>
        <w:t xml:space="preserve">промышленного производства </w:t>
      </w:r>
      <w:r w:rsidR="00893D3C">
        <w:t>и снижение инвестиций в модернизацию производств оказали отрицательное влияние на повышение энерго</w:t>
      </w:r>
      <w:r w:rsidR="0088142D">
        <w:t>эффективности и энергосбережения</w:t>
      </w:r>
      <w:r w:rsidR="00893D3C">
        <w:t xml:space="preserve"> и, следовательно, на </w:t>
      </w:r>
      <w:r w:rsidR="00D03595">
        <w:t>снижение</w:t>
      </w:r>
      <w:r w:rsidR="00893D3C">
        <w:t xml:space="preserve"> энергоемкости. </w:t>
      </w:r>
      <w:r w:rsidR="00D03595">
        <w:t xml:space="preserve">В </w:t>
      </w:r>
      <w:r w:rsidR="0088142D">
        <w:t>условиях мирового энергоперехода, замедления мирового ВВП, влияния внешних шоков нефинансового происхождения</w:t>
      </w:r>
      <w:r w:rsidR="00D03595">
        <w:t xml:space="preserve"> интересен опыт Китая как развивающейся экономики со специфическим путем развития в снижении энергоемкости </w:t>
      </w:r>
      <w:r w:rsidR="000259B1">
        <w:t xml:space="preserve">его </w:t>
      </w:r>
      <w:r w:rsidR="00D03595">
        <w:t xml:space="preserve">экономики. </w:t>
      </w:r>
      <w:r w:rsidR="008A5F62">
        <w:t xml:space="preserve">Но можно ли рассматривать экономику Китая с точки зрения общепринятых </w:t>
      </w:r>
      <w:r w:rsidR="00E8478E">
        <w:t xml:space="preserve">экономических </w:t>
      </w:r>
      <w:r w:rsidR="008A5F62">
        <w:t>тенденций?</w:t>
      </w:r>
      <w:r w:rsidR="00BD16E2">
        <w:t xml:space="preserve"> </w:t>
      </w:r>
      <w:r w:rsidR="00D03595">
        <w:t xml:space="preserve">Возможно ли при замедлении экономического роста снижение энергоемкости китайской экономики? </w:t>
      </w:r>
      <w:r w:rsidR="00E8478E">
        <w:t xml:space="preserve">Данные вопросы актуальны в рамках научного и практического интереса как на государственном, так и на корпоративном уровне. </w:t>
      </w:r>
      <w:r w:rsidR="007E66F9">
        <w:t>А</w:t>
      </w:r>
      <w:r w:rsidR="0001012C">
        <w:t xml:space="preserve">нализ связи между экономическим ростом и энергоемкостью китайской экономики </w:t>
      </w:r>
      <w:r w:rsidR="007E66F9">
        <w:t xml:space="preserve">важен для понимания специфики развития Китая на определенном временном этапе, а также для долгосрочного прогнозирования ее развития. Несмотря на наличие большого количества исследований этой связи в зарубежной и отечественной литературе, их результаты не позволяют сформировать однозначные выводы. </w:t>
      </w:r>
      <w:r w:rsidR="00267B35">
        <w:t xml:space="preserve">Общепринятым мнением считается, что при замедлении экономического роста замедляется технологическое </w:t>
      </w:r>
      <w:r w:rsidR="00267B35" w:rsidRPr="00267B35">
        <w:t>развитие  и прогресс технологий производства</w:t>
      </w:r>
      <w:r w:rsidR="00267B35">
        <w:t xml:space="preserve"> товаров</w:t>
      </w:r>
      <w:r w:rsidR="00BC5846">
        <w:t>, снижаются  инвестиции</w:t>
      </w:r>
      <w:r w:rsidR="00A84A55">
        <w:t xml:space="preserve"> в энергетические проекты</w:t>
      </w:r>
      <w:r w:rsidR="00BC5846">
        <w:t>. П</w:t>
      </w:r>
      <w:r w:rsidR="00B36C6F">
        <w:t xml:space="preserve">овышается энергоемкость экономики, снижается ее энергетическая обеспеченность. </w:t>
      </w:r>
    </w:p>
    <w:p w14:paraId="2E1C70FF" w14:textId="4CCFB7B6" w:rsidR="00BC5846" w:rsidRDefault="00A21B4B" w:rsidP="00640BE1">
      <w:pPr>
        <w:pStyle w:val="a3"/>
        <w:ind w:firstLine="709"/>
        <w:jc w:val="both"/>
      </w:pPr>
      <w:r>
        <w:t xml:space="preserve">Данная </w:t>
      </w:r>
      <w:r w:rsidR="00012DB6">
        <w:t>работа</w:t>
      </w:r>
      <w:r>
        <w:t xml:space="preserve"> посвящена взаимосвязи экономического роста и энергоемкости на примере китайской экономики, в том числе и ее региональном</w:t>
      </w:r>
      <w:r w:rsidR="00162B38">
        <w:t xml:space="preserve"> разрезе, </w:t>
      </w:r>
      <w:r w:rsidR="004D27F1">
        <w:t xml:space="preserve">а также </w:t>
      </w:r>
      <w:r w:rsidR="00162B38">
        <w:t xml:space="preserve">поиску </w:t>
      </w:r>
      <w:r w:rsidR="004D27F1">
        <w:t>причинно-следственной связи между экономическим ростом и энергоемкостью.</w:t>
      </w:r>
      <w:r w:rsidR="00162B38">
        <w:t xml:space="preserve"> </w:t>
      </w:r>
    </w:p>
    <w:p w14:paraId="1999868F" w14:textId="31CBE4C8" w:rsidR="000D4E1E" w:rsidRPr="00C41C6D" w:rsidRDefault="000D4E1E" w:rsidP="00640BE1">
      <w:pPr>
        <w:pStyle w:val="a3"/>
        <w:ind w:firstLine="709"/>
        <w:jc w:val="center"/>
        <w:rPr>
          <w:b/>
          <w:i/>
        </w:rPr>
      </w:pPr>
      <w:r w:rsidRPr="00C41C6D">
        <w:rPr>
          <w:b/>
          <w:i/>
        </w:rPr>
        <w:t>Энергоемкость в развитых и развивающихся экономиках</w:t>
      </w:r>
    </w:p>
    <w:p w14:paraId="533B08D9" w14:textId="6311C954" w:rsidR="0013028F" w:rsidRDefault="00D03595" w:rsidP="00640BE1">
      <w:pPr>
        <w:ind w:firstLine="709"/>
        <w:jc w:val="both"/>
        <w:rPr>
          <w:rFonts w:ascii="Times New Roman" w:hAnsi="Times New Roman" w:cs="Times New Roman"/>
        </w:rPr>
      </w:pPr>
      <w:r w:rsidRPr="009F37BA">
        <w:rPr>
          <w:rFonts w:ascii="Times New Roman" w:hAnsi="Times New Roman" w:cs="Times New Roman"/>
        </w:rPr>
        <w:t>Э</w:t>
      </w:r>
      <w:r w:rsidRPr="009F37BA">
        <w:rPr>
          <w:rFonts w:ascii="Times New Roman" w:hAnsi="Times New Roman" w:cs="Times New Roman"/>
          <w:lang w:eastAsia="ru-RU"/>
        </w:rPr>
        <w:t xml:space="preserve">нергоемкость </w:t>
      </w:r>
      <w:r w:rsidR="001930DF">
        <w:rPr>
          <w:rFonts w:ascii="Times New Roman" w:hAnsi="Times New Roman" w:cs="Times New Roman"/>
          <w:lang w:eastAsia="ru-RU"/>
        </w:rPr>
        <w:t xml:space="preserve">экономики страны часто используется в качестве показателя </w:t>
      </w:r>
      <w:r w:rsidR="00767249">
        <w:rPr>
          <w:rFonts w:ascii="Times New Roman" w:hAnsi="Times New Roman" w:cs="Times New Roman"/>
          <w:lang w:eastAsia="ru-RU"/>
        </w:rPr>
        <w:t>энергоэффективности</w:t>
      </w:r>
      <w:r w:rsidR="001930DF">
        <w:rPr>
          <w:rFonts w:ascii="Times New Roman" w:hAnsi="Times New Roman" w:cs="Times New Roman"/>
          <w:lang w:eastAsia="ru-RU"/>
        </w:rPr>
        <w:t xml:space="preserve"> </w:t>
      </w:r>
      <w:r w:rsidR="00767249">
        <w:rPr>
          <w:rFonts w:ascii="Times New Roman" w:hAnsi="Times New Roman" w:cs="Times New Roman"/>
          <w:lang w:eastAsia="ru-RU"/>
        </w:rPr>
        <w:t xml:space="preserve">экономики и </w:t>
      </w:r>
      <w:r w:rsidR="00593969">
        <w:rPr>
          <w:rFonts w:ascii="Times New Roman" w:hAnsi="Times New Roman" w:cs="Times New Roman"/>
          <w:lang w:eastAsia="ru-RU"/>
        </w:rPr>
        <w:t>характеризует</w:t>
      </w:r>
      <w:r w:rsidRPr="009F37BA">
        <w:rPr>
          <w:rFonts w:ascii="Times New Roman" w:hAnsi="Times New Roman" w:cs="Times New Roman"/>
          <w:lang w:eastAsia="ru-RU"/>
        </w:rPr>
        <w:t xml:space="preserve"> </w:t>
      </w:r>
      <w:r w:rsidR="00767249">
        <w:rPr>
          <w:rFonts w:ascii="Times New Roman" w:hAnsi="Times New Roman" w:cs="Times New Roman"/>
          <w:lang w:eastAsia="ru-RU"/>
        </w:rPr>
        <w:t xml:space="preserve">количество затраченной энергии </w:t>
      </w:r>
      <w:r w:rsidRPr="009F37BA">
        <w:rPr>
          <w:rFonts w:ascii="Times New Roman" w:hAnsi="Times New Roman" w:cs="Times New Roman"/>
          <w:lang w:eastAsia="ru-RU"/>
        </w:rPr>
        <w:t xml:space="preserve">на изготовление единицы </w:t>
      </w:r>
      <w:r w:rsidRPr="00E507E7">
        <w:rPr>
          <w:rFonts w:ascii="Times New Roman" w:hAnsi="Times New Roman" w:cs="Times New Roman"/>
          <w:lang w:eastAsia="ru-RU"/>
        </w:rPr>
        <w:t>продукции</w:t>
      </w:r>
      <w:r w:rsidR="00433611" w:rsidRPr="00E507E7">
        <w:rPr>
          <w:rFonts w:ascii="Times New Roman" w:hAnsi="Times New Roman" w:cs="Times New Roman"/>
          <w:lang w:eastAsia="ru-RU"/>
        </w:rPr>
        <w:t xml:space="preserve"> </w:t>
      </w:r>
      <w:r w:rsidR="000216EF" w:rsidRPr="00E507E7">
        <w:rPr>
          <w:rFonts w:ascii="Times New Roman" w:hAnsi="Times New Roman" w:cs="Times New Roman"/>
          <w:lang w:eastAsia="ru-RU"/>
        </w:rPr>
        <w:t>[</w:t>
      </w:r>
      <w:r w:rsidR="00814B8F" w:rsidRPr="00E507E7">
        <w:rPr>
          <w:rFonts w:ascii="Times New Roman" w:hAnsi="Times New Roman" w:cs="Times New Roman"/>
          <w:lang w:eastAsia="ru-RU"/>
        </w:rPr>
        <w:t>1</w:t>
      </w:r>
      <w:r w:rsidR="000216EF" w:rsidRPr="00E507E7">
        <w:rPr>
          <w:rFonts w:ascii="Times New Roman" w:hAnsi="Times New Roman" w:cs="Times New Roman"/>
          <w:lang w:eastAsia="ru-RU"/>
        </w:rPr>
        <w:t>]</w:t>
      </w:r>
      <w:r w:rsidRPr="00E507E7">
        <w:rPr>
          <w:rFonts w:ascii="Times New Roman" w:hAnsi="Times New Roman" w:cs="Times New Roman"/>
          <w:lang w:eastAsia="ru-RU"/>
        </w:rPr>
        <w:t xml:space="preserve">. </w:t>
      </w:r>
      <w:r w:rsidR="000A0072" w:rsidRPr="00E507E7">
        <w:rPr>
          <w:rFonts w:ascii="Times New Roman" w:hAnsi="Times New Roman" w:cs="Times New Roman"/>
          <w:lang w:eastAsia="ru-RU"/>
        </w:rPr>
        <w:t>Однако</w:t>
      </w:r>
      <w:r w:rsidR="000A0072">
        <w:rPr>
          <w:rFonts w:ascii="Times New Roman" w:hAnsi="Times New Roman" w:cs="Times New Roman"/>
          <w:lang w:eastAsia="ru-RU"/>
        </w:rPr>
        <w:t xml:space="preserve"> низкая энергоемкость экономики не означает высокую энергоэффективность данной экономики.</w:t>
      </w:r>
      <w:r w:rsidRPr="009F37BA">
        <w:rPr>
          <w:rFonts w:ascii="Times New Roman" w:hAnsi="Times New Roman" w:cs="Times New Roman"/>
          <w:lang w:eastAsia="ru-RU"/>
        </w:rPr>
        <w:t xml:space="preserve"> </w:t>
      </w:r>
      <w:r w:rsidR="008D7B1C">
        <w:rPr>
          <w:rFonts w:ascii="Times New Roman" w:hAnsi="Times New Roman" w:cs="Times New Roman"/>
          <w:lang w:eastAsia="ru-RU"/>
        </w:rPr>
        <w:t xml:space="preserve">На энергоемкость экономики влияют различные факторы: </w:t>
      </w:r>
      <w:r>
        <w:rPr>
          <w:rFonts w:ascii="Times New Roman" w:hAnsi="Times New Roman" w:cs="Times New Roman"/>
          <w:lang w:eastAsia="ru-RU"/>
        </w:rPr>
        <w:t>природно-климатические, структурные,</w:t>
      </w:r>
      <w:r w:rsidR="008B0CB0">
        <w:rPr>
          <w:rFonts w:ascii="Times New Roman" w:hAnsi="Times New Roman" w:cs="Times New Roman"/>
          <w:lang w:eastAsia="ru-RU"/>
        </w:rPr>
        <w:t xml:space="preserve">  экономические, технологические</w:t>
      </w:r>
      <w:r>
        <w:rPr>
          <w:rFonts w:ascii="Times New Roman" w:hAnsi="Times New Roman" w:cs="Times New Roman"/>
          <w:lang w:eastAsia="ru-RU"/>
        </w:rPr>
        <w:t xml:space="preserve">, социальные </w:t>
      </w:r>
      <w:r w:rsidR="008D7B1C">
        <w:rPr>
          <w:rFonts w:ascii="Times New Roman" w:hAnsi="Times New Roman" w:cs="Times New Roman"/>
          <w:lang w:eastAsia="ru-RU"/>
        </w:rPr>
        <w:t>(</w:t>
      </w:r>
      <w:r>
        <w:rPr>
          <w:rFonts w:ascii="Times New Roman" w:hAnsi="Times New Roman" w:cs="Times New Roman"/>
          <w:lang w:eastAsia="ru-RU"/>
        </w:rPr>
        <w:t>жилищно-коммунальный</w:t>
      </w:r>
      <w:r w:rsidR="000B2225">
        <w:rPr>
          <w:rFonts w:ascii="Times New Roman" w:hAnsi="Times New Roman" w:cs="Times New Roman"/>
          <w:lang w:eastAsia="ru-RU"/>
        </w:rPr>
        <w:t xml:space="preserve"> фактор</w:t>
      </w:r>
      <w:r w:rsidR="008D7B1C">
        <w:rPr>
          <w:rFonts w:ascii="Times New Roman" w:hAnsi="Times New Roman" w:cs="Times New Roman"/>
          <w:lang w:eastAsia="ru-RU"/>
        </w:rPr>
        <w:t>)</w:t>
      </w:r>
      <w:r>
        <w:rPr>
          <w:rFonts w:ascii="Times New Roman" w:hAnsi="Times New Roman" w:cs="Times New Roman"/>
          <w:lang w:eastAsia="ru-RU"/>
        </w:rPr>
        <w:t xml:space="preserve">. </w:t>
      </w:r>
      <w:r w:rsidR="0013028F">
        <w:rPr>
          <w:rFonts w:ascii="Times New Roman" w:hAnsi="Times New Roman" w:cs="Times New Roman"/>
          <w:lang w:eastAsia="ru-RU"/>
        </w:rPr>
        <w:t xml:space="preserve">Как развитые, так и </w:t>
      </w:r>
      <w:r w:rsidR="0013028F">
        <w:rPr>
          <w:rFonts w:ascii="Times New Roman" w:hAnsi="Times New Roman" w:cs="Times New Roman"/>
        </w:rPr>
        <w:t xml:space="preserve">развивающиеся экономики находятся в «своих» географических и природно-климатических реалиях, поэтому данные реалии </w:t>
      </w:r>
      <w:r w:rsidR="00F16D09">
        <w:rPr>
          <w:rFonts w:ascii="Times New Roman" w:hAnsi="Times New Roman" w:cs="Times New Roman"/>
        </w:rPr>
        <w:t>«накладывают</w:t>
      </w:r>
      <w:r w:rsidR="0013028F">
        <w:rPr>
          <w:rFonts w:ascii="Times New Roman" w:hAnsi="Times New Roman" w:cs="Times New Roman"/>
        </w:rPr>
        <w:t xml:space="preserve">ся» на логику их экономического развития. </w:t>
      </w:r>
      <w:r w:rsidR="00C7569B" w:rsidRPr="00B9319A">
        <w:rPr>
          <w:rFonts w:ascii="Times New Roman" w:eastAsia="Times New Roman" w:hAnsi="Times New Roman" w:cs="Times New Roman"/>
        </w:rPr>
        <w:t>При замедлении экономического роста происходит снижение объема инвестиц</w:t>
      </w:r>
      <w:r w:rsidR="00B9319A" w:rsidRPr="00B9319A">
        <w:rPr>
          <w:rFonts w:ascii="Times New Roman" w:eastAsia="Times New Roman" w:hAnsi="Times New Roman" w:cs="Times New Roman"/>
        </w:rPr>
        <w:t>ий в экономику, в частности, в технологический сектор.</w:t>
      </w:r>
      <w:r w:rsidR="00B9319A">
        <w:rPr>
          <w:rFonts w:ascii="Times New Roman" w:eastAsia="Times New Roman" w:hAnsi="Times New Roman" w:cs="Times New Roman"/>
          <w:b/>
        </w:rPr>
        <w:t xml:space="preserve"> </w:t>
      </w:r>
      <w:r w:rsidR="00B9319A" w:rsidRPr="00B9319A">
        <w:rPr>
          <w:rFonts w:ascii="Times New Roman" w:eastAsia="Times New Roman" w:hAnsi="Times New Roman" w:cs="Times New Roman"/>
        </w:rPr>
        <w:t>Э</w:t>
      </w:r>
      <w:r w:rsidR="008245CF" w:rsidRPr="00B9319A">
        <w:rPr>
          <w:rFonts w:ascii="Times New Roman" w:eastAsia="Times New Roman" w:hAnsi="Times New Roman" w:cs="Times New Roman"/>
        </w:rPr>
        <w:t xml:space="preserve">нергоемкость </w:t>
      </w:r>
      <w:r w:rsidR="00172CE2">
        <w:rPr>
          <w:rFonts w:ascii="Times New Roman" w:eastAsia="Times New Roman" w:hAnsi="Times New Roman" w:cs="Times New Roman"/>
        </w:rPr>
        <w:t xml:space="preserve">не </w:t>
      </w:r>
      <w:r w:rsidR="008245CF" w:rsidRPr="00B9319A">
        <w:rPr>
          <w:rFonts w:ascii="Times New Roman" w:eastAsia="Times New Roman" w:hAnsi="Times New Roman" w:cs="Times New Roman"/>
        </w:rPr>
        <w:t xml:space="preserve">будет </w:t>
      </w:r>
      <w:r w:rsidR="00B9319A" w:rsidRPr="00B9319A">
        <w:rPr>
          <w:rFonts w:ascii="Times New Roman" w:eastAsia="Times New Roman" w:hAnsi="Times New Roman" w:cs="Times New Roman"/>
        </w:rPr>
        <w:t>снижаться</w:t>
      </w:r>
      <w:r w:rsidR="00B9319A">
        <w:rPr>
          <w:rFonts w:ascii="Times New Roman" w:eastAsia="Times New Roman" w:hAnsi="Times New Roman" w:cs="Times New Roman"/>
        </w:rPr>
        <w:t xml:space="preserve"> по причине недостатка инвестиций. </w:t>
      </w:r>
      <w:r w:rsidR="001225F7">
        <w:rPr>
          <w:rFonts w:ascii="Times New Roman" w:eastAsia="Times New Roman" w:hAnsi="Times New Roman" w:cs="Times New Roman"/>
        </w:rPr>
        <w:t xml:space="preserve">Согласно оценке ВБ, темпы роста ВВП в России в 2018 г. составили 2,8%. В 2019 году снизились до 2,0%. В 2020 году </w:t>
      </w:r>
      <w:r w:rsidR="00162D5A">
        <w:rPr>
          <w:rFonts w:ascii="Times New Roman" w:eastAsia="Times New Roman" w:hAnsi="Times New Roman" w:cs="Times New Roman"/>
        </w:rPr>
        <w:t xml:space="preserve">снизились </w:t>
      </w:r>
      <w:r w:rsidR="001225F7">
        <w:rPr>
          <w:rFonts w:ascii="Times New Roman" w:eastAsia="Times New Roman" w:hAnsi="Times New Roman" w:cs="Times New Roman"/>
        </w:rPr>
        <w:t xml:space="preserve">до -3%. В 2021 году составили 4,2%. </w:t>
      </w:r>
      <w:r w:rsidR="003C7B65">
        <w:rPr>
          <w:rFonts w:ascii="Times New Roman" w:eastAsia="Times New Roman" w:hAnsi="Times New Roman" w:cs="Times New Roman"/>
        </w:rPr>
        <w:t xml:space="preserve">Объем инвестиций в основной капитал снизился с показателя в 105,4 в 2018 году до 98,6 в 2020 году. Согласно отчету Росстата, </w:t>
      </w:r>
      <w:r w:rsidR="00162D5A">
        <w:rPr>
          <w:rFonts w:ascii="Times New Roman" w:eastAsia="Times New Roman" w:hAnsi="Times New Roman" w:cs="Times New Roman"/>
        </w:rPr>
        <w:t xml:space="preserve">объем ПИИ в РФ с 2018 г. увеличивался, но в 2020 году снизился и составил 9245. </w:t>
      </w:r>
      <w:r w:rsidR="00B9319A" w:rsidRPr="00B9319A">
        <w:rPr>
          <w:rFonts w:ascii="Times New Roman" w:eastAsia="Times New Roman" w:hAnsi="Times New Roman" w:cs="Times New Roman"/>
        </w:rPr>
        <w:t>Учитывая</w:t>
      </w:r>
      <w:r w:rsidR="008245CF" w:rsidRPr="00B9319A">
        <w:rPr>
          <w:rFonts w:ascii="Times New Roman" w:eastAsia="Times New Roman" w:hAnsi="Times New Roman" w:cs="Times New Roman"/>
        </w:rPr>
        <w:t xml:space="preserve"> наличие в </w:t>
      </w:r>
      <w:r w:rsidR="00B9319A" w:rsidRPr="00B9319A">
        <w:rPr>
          <w:rFonts w:ascii="Times New Roman" w:eastAsia="Times New Roman" w:hAnsi="Times New Roman" w:cs="Times New Roman"/>
        </w:rPr>
        <w:t xml:space="preserve">российской </w:t>
      </w:r>
      <w:r w:rsidR="008245CF" w:rsidRPr="00B9319A">
        <w:rPr>
          <w:rFonts w:ascii="Times New Roman" w:eastAsia="Times New Roman" w:hAnsi="Times New Roman" w:cs="Times New Roman"/>
        </w:rPr>
        <w:t xml:space="preserve">экономике </w:t>
      </w:r>
      <w:r w:rsidR="00B9319A" w:rsidRPr="00B9319A">
        <w:rPr>
          <w:rFonts w:ascii="Times New Roman" w:eastAsia="Times New Roman" w:hAnsi="Times New Roman" w:cs="Times New Roman"/>
        </w:rPr>
        <w:t>большого количества</w:t>
      </w:r>
      <w:r w:rsidR="008245CF" w:rsidRPr="00B9319A">
        <w:rPr>
          <w:rFonts w:ascii="Times New Roman" w:eastAsia="Times New Roman" w:hAnsi="Times New Roman" w:cs="Times New Roman"/>
        </w:rPr>
        <w:t xml:space="preserve"> энергоемких отраслей</w:t>
      </w:r>
      <w:r w:rsidR="00D649BD">
        <w:rPr>
          <w:rFonts w:ascii="Times New Roman" w:eastAsia="Times New Roman" w:hAnsi="Times New Roman" w:cs="Times New Roman"/>
        </w:rPr>
        <w:t xml:space="preserve"> (структурный фактор)</w:t>
      </w:r>
      <w:r w:rsidR="008245CF" w:rsidRPr="00B9319A">
        <w:rPr>
          <w:rFonts w:ascii="Times New Roman" w:eastAsia="Times New Roman" w:hAnsi="Times New Roman" w:cs="Times New Roman"/>
        </w:rPr>
        <w:t>, природно-климатический фактор</w:t>
      </w:r>
      <w:r w:rsidR="00B9319A">
        <w:rPr>
          <w:rFonts w:ascii="Times New Roman" w:eastAsia="Times New Roman" w:hAnsi="Times New Roman" w:cs="Times New Roman"/>
        </w:rPr>
        <w:t xml:space="preserve"> (</w:t>
      </w:r>
      <w:r w:rsidR="00172CE2">
        <w:rPr>
          <w:rFonts w:ascii="Times New Roman" w:eastAsia="Times New Roman" w:hAnsi="Times New Roman" w:cs="Times New Roman"/>
        </w:rPr>
        <w:t>холодные снежные зимы, жаркое лето)</w:t>
      </w:r>
      <w:r w:rsidR="008245CF">
        <w:rPr>
          <w:rFonts w:ascii="Times New Roman" w:eastAsia="Times New Roman" w:hAnsi="Times New Roman" w:cs="Times New Roman"/>
          <w:b/>
        </w:rPr>
        <w:t xml:space="preserve"> </w:t>
      </w:r>
      <w:r w:rsidR="00F16D09" w:rsidRPr="00F16D09">
        <w:rPr>
          <w:rFonts w:ascii="Times New Roman" w:eastAsia="Times New Roman" w:hAnsi="Times New Roman" w:cs="Times New Roman"/>
        </w:rPr>
        <w:t>замедление</w:t>
      </w:r>
      <w:r w:rsidR="00F16D09">
        <w:rPr>
          <w:rFonts w:ascii="Times New Roman" w:eastAsia="Times New Roman" w:hAnsi="Times New Roman" w:cs="Times New Roman"/>
          <w:b/>
        </w:rPr>
        <w:t xml:space="preserve"> </w:t>
      </w:r>
      <w:r w:rsidR="00F16D09" w:rsidRPr="00F16D09">
        <w:rPr>
          <w:rFonts w:ascii="Times New Roman" w:eastAsia="Times New Roman" w:hAnsi="Times New Roman" w:cs="Times New Roman"/>
        </w:rPr>
        <w:t>экономического</w:t>
      </w:r>
      <w:r w:rsidR="00F16D09">
        <w:rPr>
          <w:rFonts w:ascii="Times New Roman" w:eastAsia="Times New Roman" w:hAnsi="Times New Roman" w:cs="Times New Roman"/>
          <w:b/>
        </w:rPr>
        <w:t xml:space="preserve"> </w:t>
      </w:r>
      <w:r w:rsidR="00F16D09">
        <w:rPr>
          <w:rFonts w:ascii="Times New Roman" w:eastAsia="Times New Roman" w:hAnsi="Times New Roman" w:cs="Times New Roman"/>
        </w:rPr>
        <w:t xml:space="preserve">роста </w:t>
      </w:r>
      <w:r w:rsidR="008245CF" w:rsidRPr="00172CE2">
        <w:rPr>
          <w:rFonts w:ascii="Times New Roman" w:eastAsia="Times New Roman" w:hAnsi="Times New Roman" w:cs="Times New Roman"/>
        </w:rPr>
        <w:t xml:space="preserve">будет </w:t>
      </w:r>
      <w:r w:rsidR="00F16D09">
        <w:rPr>
          <w:rFonts w:ascii="Times New Roman" w:eastAsia="Times New Roman" w:hAnsi="Times New Roman" w:cs="Times New Roman"/>
        </w:rPr>
        <w:t>оказывать негативное влияние на снижение энергоемкости экономики</w:t>
      </w:r>
      <w:r w:rsidR="008245CF" w:rsidRPr="00172CE2">
        <w:rPr>
          <w:rFonts w:ascii="Times New Roman" w:eastAsia="Times New Roman" w:hAnsi="Times New Roman" w:cs="Times New Roman"/>
        </w:rPr>
        <w:t>.</w:t>
      </w:r>
      <w:r w:rsidR="008245CF">
        <w:rPr>
          <w:rFonts w:ascii="Times New Roman" w:eastAsia="Times New Roman" w:hAnsi="Times New Roman" w:cs="Times New Roman"/>
          <w:b/>
        </w:rPr>
        <w:t xml:space="preserve"> </w:t>
      </w:r>
    </w:p>
    <w:p w14:paraId="248AABC2" w14:textId="6790DD36" w:rsidR="003478AD" w:rsidRDefault="003C593D" w:rsidP="00640BE1">
      <w:pPr>
        <w:ind w:firstLine="709"/>
        <w:jc w:val="both"/>
        <w:rPr>
          <w:rFonts w:ascii="Times New Roman" w:eastAsia="Times New Roman" w:hAnsi="Times New Roman" w:cs="Times New Roman"/>
          <w:color w:val="000000" w:themeColor="text1"/>
          <w:shd w:val="clear" w:color="auto" w:fill="FFFFFF"/>
          <w:lang w:eastAsia="ru-RU"/>
        </w:rPr>
      </w:pPr>
      <w:r w:rsidRPr="003478AD">
        <w:rPr>
          <w:rFonts w:ascii="Times New Roman" w:eastAsia="Times New Roman" w:hAnsi="Times New Roman" w:cs="Times New Roman"/>
          <w:color w:val="000000" w:themeColor="text1"/>
          <w:shd w:val="clear" w:color="auto" w:fill="FFFFFF"/>
          <w:lang w:eastAsia="ru-RU"/>
        </w:rPr>
        <w:t>В с</w:t>
      </w:r>
      <w:r w:rsidR="003478AD" w:rsidRPr="003478AD">
        <w:rPr>
          <w:rFonts w:ascii="Times New Roman" w:eastAsia="Times New Roman" w:hAnsi="Times New Roman" w:cs="Times New Roman"/>
          <w:color w:val="000000" w:themeColor="text1"/>
          <w:shd w:val="clear" w:color="auto" w:fill="FFFFFF"/>
          <w:lang w:eastAsia="ru-RU"/>
        </w:rPr>
        <w:t>нижении</w:t>
      </w:r>
      <w:r w:rsidRPr="003478AD">
        <w:rPr>
          <w:rFonts w:ascii="Times New Roman" w:eastAsia="Times New Roman" w:hAnsi="Times New Roman" w:cs="Times New Roman"/>
          <w:color w:val="000000" w:themeColor="text1"/>
          <w:shd w:val="clear" w:color="auto" w:fill="FFFFFF"/>
          <w:lang w:eastAsia="ru-RU"/>
        </w:rPr>
        <w:t xml:space="preserve"> </w:t>
      </w:r>
      <w:r w:rsidRPr="00E507E7">
        <w:rPr>
          <w:rFonts w:ascii="Times New Roman" w:eastAsia="Times New Roman" w:hAnsi="Times New Roman" w:cs="Times New Roman"/>
          <w:color w:val="000000" w:themeColor="text1"/>
          <w:shd w:val="clear" w:color="auto" w:fill="FFFFFF"/>
          <w:lang w:eastAsia="ru-RU"/>
        </w:rPr>
        <w:t xml:space="preserve">энергоемкости </w:t>
      </w:r>
      <w:r w:rsidR="00F16D09" w:rsidRPr="00E507E7">
        <w:rPr>
          <w:rFonts w:ascii="Times New Roman" w:eastAsia="Times New Roman" w:hAnsi="Times New Roman" w:cs="Times New Roman"/>
          <w:color w:val="000000" w:themeColor="text1"/>
          <w:shd w:val="clear" w:color="auto" w:fill="FFFFFF"/>
          <w:lang w:eastAsia="ru-RU"/>
        </w:rPr>
        <w:t xml:space="preserve">экономики </w:t>
      </w:r>
      <w:r w:rsidR="003478AD" w:rsidRPr="00E507E7">
        <w:rPr>
          <w:rFonts w:ascii="Times New Roman" w:eastAsia="Times New Roman" w:hAnsi="Times New Roman" w:cs="Times New Roman"/>
          <w:color w:val="000000" w:themeColor="text1"/>
          <w:shd w:val="clear" w:color="auto" w:fill="FFFFFF"/>
          <w:lang w:eastAsia="ru-RU"/>
        </w:rPr>
        <w:t>страны заинтересованы как на глобальном, так и на корпоративном уровне</w:t>
      </w:r>
      <w:r w:rsidR="00814B8F" w:rsidRPr="00E507E7">
        <w:rPr>
          <w:rFonts w:ascii="Times New Roman" w:eastAsia="Times New Roman" w:hAnsi="Times New Roman" w:cs="Times New Roman"/>
          <w:color w:val="000000" w:themeColor="text1"/>
          <w:shd w:val="clear" w:color="auto" w:fill="FFFFFF"/>
          <w:lang w:eastAsia="ru-RU"/>
        </w:rPr>
        <w:t xml:space="preserve"> [2]</w:t>
      </w:r>
      <w:r w:rsidR="003478AD" w:rsidRPr="00E507E7">
        <w:rPr>
          <w:rFonts w:ascii="Times New Roman" w:eastAsia="Times New Roman" w:hAnsi="Times New Roman" w:cs="Times New Roman"/>
          <w:color w:val="000000" w:themeColor="text1"/>
          <w:shd w:val="clear" w:color="auto" w:fill="FFFFFF"/>
          <w:lang w:eastAsia="ru-RU"/>
        </w:rPr>
        <w:t xml:space="preserve">. </w:t>
      </w:r>
      <w:r w:rsidR="00A512CF" w:rsidRPr="00E507E7">
        <w:rPr>
          <w:rFonts w:ascii="Times New Roman" w:eastAsia="Times New Roman" w:hAnsi="Times New Roman" w:cs="Times New Roman"/>
          <w:color w:val="000000" w:themeColor="text1"/>
          <w:shd w:val="clear" w:color="auto" w:fill="FFFFFF"/>
          <w:lang w:eastAsia="ru-RU"/>
        </w:rPr>
        <w:t>Энергоэффективной</w:t>
      </w:r>
      <w:r w:rsidR="00A512CF">
        <w:rPr>
          <w:rFonts w:ascii="Times New Roman" w:eastAsia="Times New Roman" w:hAnsi="Times New Roman" w:cs="Times New Roman"/>
          <w:color w:val="000000" w:themeColor="text1"/>
          <w:shd w:val="clear" w:color="auto" w:fill="FFFFFF"/>
          <w:lang w:eastAsia="ru-RU"/>
        </w:rPr>
        <w:t xml:space="preserve"> экономике характерен низкий уровень энергоемкости</w:t>
      </w:r>
      <w:r w:rsidR="003478AD">
        <w:rPr>
          <w:rFonts w:ascii="Times New Roman" w:eastAsia="Times New Roman" w:hAnsi="Times New Roman" w:cs="Times New Roman"/>
          <w:color w:val="000000" w:themeColor="text1"/>
          <w:shd w:val="clear" w:color="auto" w:fill="FFFFFF"/>
          <w:lang w:eastAsia="ru-RU"/>
        </w:rPr>
        <w:t xml:space="preserve">, или снижение энергоемкости экономики приводит к повышению ее энергетической эффективности.  Энергетическая </w:t>
      </w:r>
      <w:r w:rsidR="00A512CF">
        <w:rPr>
          <w:rFonts w:ascii="Times New Roman" w:eastAsia="Times New Roman" w:hAnsi="Times New Roman" w:cs="Times New Roman"/>
          <w:color w:val="000000" w:themeColor="text1"/>
          <w:shd w:val="clear" w:color="auto" w:fill="FFFFFF"/>
          <w:lang w:eastAsia="ru-RU"/>
        </w:rPr>
        <w:t xml:space="preserve">эффективность, в свою очередь, </w:t>
      </w:r>
      <w:r w:rsidR="003478AD">
        <w:rPr>
          <w:rFonts w:ascii="Times New Roman" w:eastAsia="Times New Roman" w:hAnsi="Times New Roman" w:cs="Times New Roman"/>
          <w:color w:val="000000" w:themeColor="text1"/>
          <w:shd w:val="clear" w:color="auto" w:fill="FFFFFF"/>
          <w:lang w:eastAsia="ru-RU"/>
        </w:rPr>
        <w:t xml:space="preserve">может выступить в качестве дополнительного источника ресурсов для внутреннего потребления в качестве дополнительных экспортных и внутренних поставок энергоресурсов. Сознательное ограничение экстенсивного использования природных ресурсов в целях повышения энергоэффективности экономики (разработка новых месторождений, </w:t>
      </w:r>
      <w:r w:rsidR="003478AD">
        <w:rPr>
          <w:rFonts w:ascii="Times New Roman" w:eastAsia="Times New Roman" w:hAnsi="Times New Roman" w:cs="Times New Roman"/>
          <w:color w:val="000000" w:themeColor="text1"/>
          <w:shd w:val="clear" w:color="auto" w:fill="FFFFFF"/>
          <w:lang w:eastAsia="ru-RU"/>
        </w:rPr>
        <w:lastRenderedPageBreak/>
        <w:t xml:space="preserve">строительство ТЭЦ и т.д.) должно служить альтернативой, а не дополнением к разработке природных </w:t>
      </w:r>
      <w:r w:rsidR="003478AD" w:rsidRPr="00E507E7">
        <w:rPr>
          <w:rFonts w:ascii="Times New Roman" w:eastAsia="Times New Roman" w:hAnsi="Times New Roman" w:cs="Times New Roman"/>
          <w:color w:val="000000" w:themeColor="text1"/>
          <w:shd w:val="clear" w:color="auto" w:fill="FFFFFF"/>
          <w:lang w:eastAsia="ru-RU"/>
        </w:rPr>
        <w:t>ресурсов</w:t>
      </w:r>
      <w:r w:rsidR="00262E25" w:rsidRPr="00E507E7">
        <w:rPr>
          <w:rFonts w:ascii="Times New Roman" w:eastAsia="Times New Roman" w:hAnsi="Times New Roman" w:cs="Times New Roman"/>
          <w:color w:val="000000" w:themeColor="text1"/>
          <w:shd w:val="clear" w:color="auto" w:fill="FFFFFF"/>
          <w:lang w:eastAsia="ru-RU"/>
        </w:rPr>
        <w:t xml:space="preserve"> [</w:t>
      </w:r>
      <w:r w:rsidR="00814B8F" w:rsidRPr="00E507E7">
        <w:rPr>
          <w:rFonts w:ascii="Times New Roman" w:eastAsia="Times New Roman" w:hAnsi="Times New Roman" w:cs="Times New Roman"/>
          <w:color w:val="000000" w:themeColor="text1"/>
          <w:shd w:val="clear" w:color="auto" w:fill="FFFFFF"/>
          <w:lang w:eastAsia="ru-RU"/>
        </w:rPr>
        <w:t>3</w:t>
      </w:r>
      <w:r w:rsidR="00262E25" w:rsidRPr="00E507E7">
        <w:rPr>
          <w:rFonts w:ascii="Times New Roman" w:eastAsia="Times New Roman" w:hAnsi="Times New Roman" w:cs="Times New Roman"/>
          <w:color w:val="000000" w:themeColor="text1"/>
          <w:shd w:val="clear" w:color="auto" w:fill="FFFFFF"/>
          <w:lang w:eastAsia="ru-RU"/>
        </w:rPr>
        <w:t>]</w:t>
      </w:r>
      <w:r w:rsidR="003478AD" w:rsidRPr="00E507E7">
        <w:rPr>
          <w:rFonts w:ascii="Times New Roman" w:eastAsia="Times New Roman" w:hAnsi="Times New Roman" w:cs="Times New Roman"/>
          <w:color w:val="000000" w:themeColor="text1"/>
          <w:shd w:val="clear" w:color="auto" w:fill="FFFFFF"/>
          <w:lang w:eastAsia="ru-RU"/>
        </w:rPr>
        <w:t>.</w:t>
      </w:r>
      <w:r w:rsidR="003478AD">
        <w:rPr>
          <w:rFonts w:ascii="Times New Roman" w:eastAsia="Times New Roman" w:hAnsi="Times New Roman" w:cs="Times New Roman"/>
          <w:color w:val="000000" w:themeColor="text1"/>
          <w:shd w:val="clear" w:color="auto" w:fill="FFFFFF"/>
          <w:lang w:eastAsia="ru-RU"/>
        </w:rPr>
        <w:t xml:space="preserve">   </w:t>
      </w:r>
    </w:p>
    <w:p w14:paraId="25585657" w14:textId="45978A8F" w:rsidR="00887A51" w:rsidRDefault="00764026" w:rsidP="00640BE1">
      <w:pPr>
        <w:ind w:firstLine="709"/>
        <w:jc w:val="both"/>
        <w:rPr>
          <w:rFonts w:ascii="Times New Roman" w:eastAsia="Times New Roman" w:hAnsi="Times New Roman" w:cs="Times New Roman"/>
          <w:color w:val="202122"/>
          <w:lang w:eastAsia="ru-RU"/>
        </w:rPr>
      </w:pPr>
      <w:r w:rsidRPr="00737B2C">
        <w:rPr>
          <w:rFonts w:ascii="Times New Roman" w:hAnsi="Times New Roman" w:cs="Times New Roman"/>
          <w:color w:val="000000"/>
          <w:lang w:eastAsia="ru-RU"/>
        </w:rPr>
        <w:t xml:space="preserve">Энергоемкость для развитых и развивающих стран не является унификационным понятием. </w:t>
      </w:r>
      <w:r w:rsidR="00DB2253" w:rsidRPr="00737B2C">
        <w:rPr>
          <w:rFonts w:ascii="Times New Roman" w:hAnsi="Times New Roman" w:cs="Times New Roman"/>
          <w:color w:val="000000"/>
          <w:lang w:eastAsia="ru-RU"/>
        </w:rPr>
        <w:t xml:space="preserve">Для развитых стран результаты хозяйственной деятельности не должны приносить вред окружающей среде. Низкая энергоемкость экономики одна из важных составляющих «зеленой» </w:t>
      </w:r>
      <w:r w:rsidR="00AC7406">
        <w:rPr>
          <w:rFonts w:ascii="Times New Roman" w:hAnsi="Times New Roman" w:cs="Times New Roman"/>
          <w:color w:val="000000"/>
          <w:lang w:eastAsia="ru-RU"/>
        </w:rPr>
        <w:t>политики</w:t>
      </w:r>
      <w:r w:rsidR="00DB2253" w:rsidRPr="00737B2C">
        <w:rPr>
          <w:rFonts w:ascii="Times New Roman" w:hAnsi="Times New Roman" w:cs="Times New Roman"/>
          <w:color w:val="000000"/>
          <w:lang w:eastAsia="ru-RU"/>
        </w:rPr>
        <w:t xml:space="preserve">, продвигаемой западным миром. </w:t>
      </w:r>
      <w:r w:rsidR="001E4B86" w:rsidRPr="00737B2C">
        <w:rPr>
          <w:rFonts w:ascii="Times New Roman" w:hAnsi="Times New Roman" w:cs="Times New Roman"/>
          <w:color w:val="000000"/>
          <w:lang w:eastAsia="ru-RU"/>
        </w:rPr>
        <w:t>В развивающихся странах</w:t>
      </w:r>
      <w:r w:rsidR="005A73B1" w:rsidRPr="00737B2C">
        <w:rPr>
          <w:rFonts w:ascii="Times New Roman" w:hAnsi="Times New Roman" w:cs="Times New Roman"/>
          <w:color w:val="000000"/>
          <w:lang w:eastAsia="ru-RU"/>
        </w:rPr>
        <w:t xml:space="preserve"> </w:t>
      </w:r>
      <w:r w:rsidR="00737B2C">
        <w:rPr>
          <w:rFonts w:ascii="Times New Roman" w:hAnsi="Times New Roman" w:cs="Times New Roman"/>
          <w:color w:val="000000"/>
          <w:lang w:eastAsia="ru-RU"/>
        </w:rPr>
        <w:t xml:space="preserve">основная задача </w:t>
      </w:r>
      <w:r w:rsidR="00C3205E">
        <w:rPr>
          <w:rFonts w:ascii="Times New Roman" w:hAnsi="Times New Roman" w:cs="Times New Roman"/>
          <w:color w:val="000000"/>
          <w:lang w:eastAsia="ru-RU"/>
        </w:rPr>
        <w:t>состоит в обеспечении</w:t>
      </w:r>
      <w:r w:rsidR="005A73B1" w:rsidRPr="00737B2C">
        <w:rPr>
          <w:rFonts w:ascii="Times New Roman" w:hAnsi="Times New Roman" w:cs="Times New Roman"/>
          <w:color w:val="000000"/>
          <w:lang w:eastAsia="ru-RU"/>
        </w:rPr>
        <w:t xml:space="preserve"> </w:t>
      </w:r>
      <w:r w:rsidR="00C3205E">
        <w:rPr>
          <w:rFonts w:ascii="Times New Roman" w:hAnsi="Times New Roman" w:cs="Times New Roman"/>
          <w:color w:val="000000"/>
          <w:lang w:eastAsia="ru-RU"/>
        </w:rPr>
        <w:t xml:space="preserve">населения </w:t>
      </w:r>
      <w:r w:rsidR="005A73B1" w:rsidRPr="00737B2C">
        <w:rPr>
          <w:rFonts w:ascii="Times New Roman" w:hAnsi="Times New Roman" w:cs="Times New Roman"/>
          <w:color w:val="000000"/>
          <w:lang w:eastAsia="ru-RU"/>
        </w:rPr>
        <w:t>ресурсами развития и</w:t>
      </w:r>
      <w:r w:rsidR="00E17131">
        <w:rPr>
          <w:rFonts w:ascii="Times New Roman" w:hAnsi="Times New Roman" w:cs="Times New Roman"/>
          <w:color w:val="000000"/>
          <w:lang w:eastAsia="ru-RU"/>
        </w:rPr>
        <w:t xml:space="preserve">ли даже </w:t>
      </w:r>
      <w:r w:rsidR="008F4CE0">
        <w:rPr>
          <w:rFonts w:ascii="Times New Roman" w:hAnsi="Times New Roman" w:cs="Times New Roman"/>
          <w:color w:val="000000"/>
          <w:lang w:eastAsia="ru-RU"/>
        </w:rPr>
        <w:t xml:space="preserve">в </w:t>
      </w:r>
      <w:r w:rsidR="00E17131">
        <w:rPr>
          <w:rFonts w:ascii="Times New Roman" w:hAnsi="Times New Roman" w:cs="Times New Roman"/>
          <w:color w:val="000000"/>
          <w:lang w:eastAsia="ru-RU"/>
        </w:rPr>
        <w:t>обеспечении</w:t>
      </w:r>
      <w:r w:rsidR="005A73B1" w:rsidRPr="00737B2C">
        <w:rPr>
          <w:rFonts w:ascii="Times New Roman" w:hAnsi="Times New Roman" w:cs="Times New Roman"/>
          <w:color w:val="000000"/>
          <w:lang w:eastAsia="ru-RU"/>
        </w:rPr>
        <w:t xml:space="preserve"> </w:t>
      </w:r>
      <w:r w:rsidR="00E17131">
        <w:rPr>
          <w:rFonts w:ascii="Times New Roman" w:hAnsi="Times New Roman" w:cs="Times New Roman"/>
          <w:color w:val="000000"/>
          <w:lang w:eastAsia="ru-RU"/>
        </w:rPr>
        <w:t>населения</w:t>
      </w:r>
      <w:r w:rsidR="00737B2C">
        <w:rPr>
          <w:rFonts w:ascii="Times New Roman" w:hAnsi="Times New Roman" w:cs="Times New Roman"/>
          <w:color w:val="000000"/>
          <w:lang w:eastAsia="ru-RU"/>
        </w:rPr>
        <w:t xml:space="preserve"> </w:t>
      </w:r>
      <w:r w:rsidR="005A73B1" w:rsidRPr="00737B2C">
        <w:rPr>
          <w:rFonts w:ascii="Times New Roman" w:hAnsi="Times New Roman" w:cs="Times New Roman"/>
          <w:color w:val="000000"/>
          <w:lang w:eastAsia="ru-RU"/>
        </w:rPr>
        <w:t>нужд</w:t>
      </w:r>
      <w:r w:rsidR="00737B2C">
        <w:rPr>
          <w:rFonts w:ascii="Times New Roman" w:hAnsi="Times New Roman" w:cs="Times New Roman"/>
          <w:color w:val="000000"/>
          <w:lang w:eastAsia="ru-RU"/>
        </w:rPr>
        <w:t>ами</w:t>
      </w:r>
      <w:r w:rsidR="005A73B1" w:rsidRPr="00737B2C">
        <w:rPr>
          <w:rFonts w:ascii="Times New Roman" w:hAnsi="Times New Roman" w:cs="Times New Roman"/>
          <w:color w:val="000000"/>
          <w:lang w:eastAsia="ru-RU"/>
        </w:rPr>
        <w:t xml:space="preserve"> первого уровня </w:t>
      </w:r>
      <w:r w:rsidR="00737B2C">
        <w:rPr>
          <w:rFonts w:ascii="Times New Roman" w:hAnsi="Times New Roman" w:cs="Times New Roman"/>
          <w:color w:val="000000"/>
          <w:lang w:eastAsia="ru-RU"/>
        </w:rPr>
        <w:t>(доступ к теплу)</w:t>
      </w:r>
      <w:r w:rsidR="00AA6018">
        <w:rPr>
          <w:rFonts w:ascii="Times New Roman" w:hAnsi="Times New Roman" w:cs="Times New Roman"/>
          <w:color w:val="000000"/>
          <w:lang w:eastAsia="ru-RU"/>
        </w:rPr>
        <w:t xml:space="preserve"> – одна из </w:t>
      </w:r>
      <w:r w:rsidR="00AA6018">
        <w:rPr>
          <w:rFonts w:ascii="Times New Roman" w:eastAsia="Times New Roman" w:hAnsi="Times New Roman" w:cs="Times New Roman"/>
          <w:color w:val="202122"/>
          <w:lang w:eastAsia="ru-RU"/>
        </w:rPr>
        <w:t>целей устойчивого развития ООН (ЦУР) - обеспечение</w:t>
      </w:r>
      <w:r w:rsidR="00AA6018" w:rsidRPr="00406B30">
        <w:rPr>
          <w:rFonts w:ascii="Times New Roman" w:eastAsia="Times New Roman" w:hAnsi="Times New Roman" w:cs="Times New Roman"/>
          <w:color w:val="202122"/>
          <w:lang w:eastAsia="ru-RU"/>
        </w:rPr>
        <w:t xml:space="preserve"> доступа к недорогостоящим, надежным, устойчивым и современным источникам энергии для всех</w:t>
      </w:r>
      <w:r w:rsidR="00AC7406">
        <w:rPr>
          <w:rFonts w:ascii="Times New Roman" w:eastAsia="Times New Roman" w:hAnsi="Times New Roman" w:cs="Times New Roman"/>
          <w:color w:val="202122"/>
          <w:lang w:eastAsia="ru-RU"/>
        </w:rPr>
        <w:t xml:space="preserve">. </w:t>
      </w:r>
    </w:p>
    <w:p w14:paraId="60512DD6" w14:textId="5F442D45" w:rsidR="00887A51" w:rsidRDefault="00727702" w:rsidP="00640BE1">
      <w:pPr>
        <w:ind w:firstLine="709"/>
        <w:jc w:val="both"/>
        <w:rPr>
          <w:rFonts w:ascii="Times New Roman" w:hAnsi="Times New Roman" w:cs="Times New Roman"/>
          <w:color w:val="000000"/>
          <w:lang w:eastAsia="ru-RU"/>
        </w:rPr>
      </w:pPr>
      <w:r>
        <w:rPr>
          <w:rFonts w:ascii="Times New Roman" w:hAnsi="Times New Roman" w:cs="Times New Roman"/>
          <w:color w:val="000000"/>
          <w:lang w:eastAsia="ru-RU"/>
        </w:rPr>
        <w:t xml:space="preserve">Макроусловия </w:t>
      </w:r>
      <w:r w:rsidR="00C318B4">
        <w:rPr>
          <w:rFonts w:ascii="Times New Roman" w:hAnsi="Times New Roman" w:cs="Times New Roman"/>
          <w:color w:val="000000"/>
          <w:lang w:eastAsia="ru-RU"/>
        </w:rPr>
        <w:t>определенного</w:t>
      </w:r>
      <w:r>
        <w:rPr>
          <w:rFonts w:ascii="Times New Roman" w:hAnsi="Times New Roman" w:cs="Times New Roman"/>
          <w:color w:val="000000"/>
          <w:lang w:eastAsia="ru-RU"/>
        </w:rPr>
        <w:t xml:space="preserve"> региона </w:t>
      </w:r>
      <w:r w:rsidR="00AE6D05">
        <w:rPr>
          <w:rFonts w:ascii="Times New Roman" w:hAnsi="Times New Roman" w:cs="Times New Roman"/>
          <w:color w:val="000000"/>
          <w:lang w:eastAsia="ru-RU"/>
        </w:rPr>
        <w:t>оказывают</w:t>
      </w:r>
      <w:r>
        <w:rPr>
          <w:rFonts w:ascii="Times New Roman" w:hAnsi="Times New Roman" w:cs="Times New Roman"/>
          <w:color w:val="000000"/>
          <w:lang w:eastAsia="ru-RU"/>
        </w:rPr>
        <w:t xml:space="preserve"> </w:t>
      </w:r>
      <w:r w:rsidR="00AE6D05">
        <w:rPr>
          <w:rFonts w:ascii="Times New Roman" w:hAnsi="Times New Roman" w:cs="Times New Roman"/>
          <w:color w:val="000000"/>
          <w:lang w:eastAsia="ru-RU"/>
        </w:rPr>
        <w:t>значительное</w:t>
      </w:r>
      <w:r>
        <w:rPr>
          <w:rFonts w:ascii="Times New Roman" w:hAnsi="Times New Roman" w:cs="Times New Roman"/>
          <w:color w:val="000000"/>
          <w:lang w:eastAsia="ru-RU"/>
        </w:rPr>
        <w:t xml:space="preserve"> </w:t>
      </w:r>
      <w:r w:rsidR="00AE6D05">
        <w:rPr>
          <w:rFonts w:ascii="Times New Roman" w:hAnsi="Times New Roman" w:cs="Times New Roman"/>
          <w:color w:val="000000"/>
          <w:lang w:eastAsia="ru-RU"/>
        </w:rPr>
        <w:t>влияние</w:t>
      </w:r>
      <w:r>
        <w:rPr>
          <w:rFonts w:ascii="Times New Roman" w:hAnsi="Times New Roman" w:cs="Times New Roman"/>
          <w:color w:val="000000"/>
          <w:lang w:eastAsia="ru-RU"/>
        </w:rPr>
        <w:t xml:space="preserve"> </w:t>
      </w:r>
      <w:r w:rsidR="00AE6D05">
        <w:rPr>
          <w:rFonts w:ascii="Times New Roman" w:hAnsi="Times New Roman" w:cs="Times New Roman"/>
          <w:color w:val="000000"/>
          <w:lang w:eastAsia="ru-RU"/>
        </w:rPr>
        <w:t>на формирование</w:t>
      </w:r>
      <w:r>
        <w:rPr>
          <w:rFonts w:ascii="Times New Roman" w:hAnsi="Times New Roman" w:cs="Times New Roman"/>
          <w:color w:val="000000"/>
          <w:lang w:eastAsia="ru-RU"/>
        </w:rPr>
        <w:t xml:space="preserve"> энергетической политики</w:t>
      </w:r>
      <w:r w:rsidR="00887A51">
        <w:rPr>
          <w:rFonts w:ascii="Times New Roman" w:hAnsi="Times New Roman" w:cs="Times New Roman"/>
          <w:color w:val="000000"/>
          <w:lang w:eastAsia="ru-RU"/>
        </w:rPr>
        <w:t xml:space="preserve">. </w:t>
      </w:r>
    </w:p>
    <w:p w14:paraId="314A5274" w14:textId="4CEE259E" w:rsidR="00AA6018" w:rsidRDefault="005B2366" w:rsidP="00640BE1">
      <w:pPr>
        <w:ind w:firstLine="709"/>
        <w:jc w:val="both"/>
        <w:rPr>
          <w:rFonts w:ascii="Times New Roman" w:eastAsia="Times New Roman" w:hAnsi="Times New Roman" w:cs="Times New Roman"/>
          <w:color w:val="202122"/>
          <w:lang w:eastAsia="ru-RU"/>
        </w:rPr>
      </w:pPr>
      <w:r>
        <w:rPr>
          <w:rFonts w:ascii="Times New Roman" w:eastAsia="Times New Roman" w:hAnsi="Times New Roman" w:cs="Times New Roman"/>
          <w:color w:val="202122"/>
          <w:lang w:eastAsia="ru-RU"/>
        </w:rPr>
        <w:t xml:space="preserve">Нигерия является одной из крупных экономик Африки с обилием полезных ископаемых. Экономика Нигерии имеет большой потенциал благодаря наличию запасов нефти (входит в ОПЕК). Тем не менее, страну можно назвать энергетически «бедной» ввиду отсутствия доступа более половины населения к национальной энергосистеме. </w:t>
      </w:r>
      <w:r w:rsidR="003F487E">
        <w:rPr>
          <w:rFonts w:ascii="Times New Roman" w:eastAsia="Times New Roman" w:hAnsi="Times New Roman" w:cs="Times New Roman"/>
          <w:color w:val="202122"/>
          <w:lang w:eastAsia="ru-RU"/>
        </w:rPr>
        <w:t xml:space="preserve">В ТЭК </w:t>
      </w:r>
      <w:r w:rsidR="0013316C">
        <w:rPr>
          <w:rFonts w:ascii="Times New Roman" w:eastAsia="Times New Roman" w:hAnsi="Times New Roman" w:cs="Times New Roman"/>
          <w:color w:val="202122"/>
          <w:lang w:eastAsia="ru-RU"/>
        </w:rPr>
        <w:t xml:space="preserve">страны </w:t>
      </w:r>
      <w:r w:rsidR="003F487E">
        <w:rPr>
          <w:rFonts w:ascii="Times New Roman" w:eastAsia="Times New Roman" w:hAnsi="Times New Roman" w:cs="Times New Roman"/>
          <w:color w:val="202122"/>
          <w:lang w:eastAsia="ru-RU"/>
        </w:rPr>
        <w:t xml:space="preserve">входит древесина как источник тепла. </w:t>
      </w:r>
      <w:r w:rsidR="007D1AE1">
        <w:rPr>
          <w:rFonts w:ascii="Times New Roman" w:eastAsia="Times New Roman" w:hAnsi="Times New Roman" w:cs="Times New Roman"/>
          <w:color w:val="202122"/>
          <w:lang w:eastAsia="ru-RU"/>
        </w:rPr>
        <w:t xml:space="preserve">Для иностранных инвестиций </w:t>
      </w:r>
      <w:r w:rsidR="007E4F5C">
        <w:rPr>
          <w:rFonts w:ascii="Times New Roman" w:eastAsia="Times New Roman" w:hAnsi="Times New Roman" w:cs="Times New Roman"/>
          <w:color w:val="202122"/>
          <w:lang w:eastAsia="ru-RU"/>
        </w:rPr>
        <w:t>макро</w:t>
      </w:r>
      <w:r w:rsidR="0013316C">
        <w:rPr>
          <w:rFonts w:ascii="Times New Roman" w:eastAsia="Times New Roman" w:hAnsi="Times New Roman" w:cs="Times New Roman"/>
          <w:color w:val="202122"/>
          <w:lang w:eastAsia="ru-RU"/>
        </w:rPr>
        <w:t>фактор – наличие террористической угрозы – играет решающую роль, несмотря на положительные темпы экономического роста</w:t>
      </w:r>
      <w:r w:rsidR="00887A51">
        <w:rPr>
          <w:rFonts w:ascii="Times New Roman" w:eastAsia="Times New Roman" w:hAnsi="Times New Roman" w:cs="Times New Roman"/>
          <w:color w:val="202122"/>
          <w:lang w:eastAsia="ru-RU"/>
        </w:rPr>
        <w:t xml:space="preserve"> Нигерии</w:t>
      </w:r>
      <w:r w:rsidR="0013316C">
        <w:rPr>
          <w:rFonts w:ascii="Times New Roman" w:eastAsia="Times New Roman" w:hAnsi="Times New Roman" w:cs="Times New Roman"/>
          <w:color w:val="202122"/>
          <w:lang w:eastAsia="ru-RU"/>
        </w:rPr>
        <w:t xml:space="preserve"> (в 2021 году темпы роста ВВП составили 3,4%</w:t>
      </w:r>
      <w:r w:rsidR="00887A51">
        <w:rPr>
          <w:rFonts w:ascii="Times New Roman" w:eastAsia="Times New Roman" w:hAnsi="Times New Roman" w:cs="Times New Roman"/>
          <w:color w:val="202122"/>
          <w:lang w:eastAsia="ru-RU"/>
        </w:rPr>
        <w:t xml:space="preserve"> несмотря на </w:t>
      </w:r>
      <w:r w:rsidR="007A44B0">
        <w:rPr>
          <w:rFonts w:ascii="Times New Roman" w:eastAsia="Times New Roman" w:hAnsi="Times New Roman" w:cs="Times New Roman"/>
          <w:color w:val="202122"/>
          <w:lang w:eastAsia="ru-RU"/>
        </w:rPr>
        <w:t xml:space="preserve">их </w:t>
      </w:r>
      <w:r w:rsidR="00887A51">
        <w:rPr>
          <w:rFonts w:ascii="Times New Roman" w:eastAsia="Times New Roman" w:hAnsi="Times New Roman" w:cs="Times New Roman"/>
          <w:color w:val="202122"/>
          <w:lang w:eastAsia="ru-RU"/>
        </w:rPr>
        <w:t>снижение в 2020 г.</w:t>
      </w:r>
      <w:r w:rsidR="0013316C">
        <w:rPr>
          <w:rFonts w:ascii="Times New Roman" w:eastAsia="Times New Roman" w:hAnsi="Times New Roman" w:cs="Times New Roman"/>
          <w:color w:val="202122"/>
          <w:lang w:eastAsia="ru-RU"/>
        </w:rPr>
        <w:t xml:space="preserve">). </w:t>
      </w:r>
      <w:r w:rsidR="007D1AE1">
        <w:rPr>
          <w:rFonts w:ascii="Times New Roman" w:eastAsia="Times New Roman" w:hAnsi="Times New Roman" w:cs="Times New Roman"/>
          <w:color w:val="202122"/>
          <w:lang w:eastAsia="ru-RU"/>
        </w:rPr>
        <w:t xml:space="preserve">Остается открытым вопрос государственных инвестиций в экономику при наличии высокого уровня коррупции. </w:t>
      </w:r>
    </w:p>
    <w:p w14:paraId="28B41A94" w14:textId="40E760F6" w:rsidR="0013130E" w:rsidRDefault="0085513A" w:rsidP="00640BE1">
      <w:pPr>
        <w:ind w:firstLine="709"/>
        <w:jc w:val="both"/>
        <w:rPr>
          <w:rFonts w:ascii="Times New Roman" w:eastAsia="Times New Roman" w:hAnsi="Times New Roman" w:cs="Times New Roman"/>
          <w:color w:val="202122"/>
          <w:lang w:eastAsia="ru-RU"/>
        </w:rPr>
      </w:pPr>
      <w:r>
        <w:rPr>
          <w:rFonts w:ascii="Times New Roman" w:eastAsia="Times New Roman" w:hAnsi="Times New Roman" w:cs="Times New Roman"/>
          <w:color w:val="202122"/>
          <w:lang w:eastAsia="ru-RU"/>
        </w:rPr>
        <w:t>На фоне замедления экономического роста в</w:t>
      </w:r>
      <w:r w:rsidR="0013130E">
        <w:rPr>
          <w:rFonts w:ascii="Times New Roman" w:eastAsia="Times New Roman" w:hAnsi="Times New Roman" w:cs="Times New Roman"/>
          <w:color w:val="202122"/>
          <w:lang w:eastAsia="ru-RU"/>
        </w:rPr>
        <w:t xml:space="preserve"> 2021 году страны ЕС столкнулись с повышением цен на энергоносители на внутреннем рынке ввиду ряда причин: </w:t>
      </w:r>
      <w:r w:rsidR="003F6A9F">
        <w:rPr>
          <w:rFonts w:ascii="Times New Roman" w:eastAsia="Times New Roman" w:hAnsi="Times New Roman" w:cs="Times New Roman"/>
          <w:color w:val="202122"/>
          <w:lang w:eastAsia="ru-RU"/>
        </w:rPr>
        <w:t>заморозки</w:t>
      </w:r>
      <w:r w:rsidR="0013130E">
        <w:rPr>
          <w:rFonts w:ascii="Times New Roman" w:eastAsia="Times New Roman" w:hAnsi="Times New Roman" w:cs="Times New Roman"/>
          <w:color w:val="202122"/>
          <w:lang w:eastAsia="ru-RU"/>
        </w:rPr>
        <w:t xml:space="preserve"> в Техасе</w:t>
      </w:r>
      <w:r w:rsidR="003F6A9F">
        <w:rPr>
          <w:rFonts w:ascii="Times New Roman" w:eastAsia="Times New Roman" w:hAnsi="Times New Roman" w:cs="Times New Roman"/>
          <w:color w:val="202122"/>
          <w:lang w:eastAsia="ru-RU"/>
        </w:rPr>
        <w:t xml:space="preserve"> в конце лета</w:t>
      </w:r>
      <w:r w:rsidR="0013130E">
        <w:rPr>
          <w:rFonts w:ascii="Times New Roman" w:eastAsia="Times New Roman" w:hAnsi="Times New Roman" w:cs="Times New Roman"/>
          <w:color w:val="202122"/>
          <w:lang w:eastAsia="ru-RU"/>
        </w:rPr>
        <w:t xml:space="preserve">, странах Европы, </w:t>
      </w:r>
      <w:r w:rsidR="0013130E" w:rsidRPr="00F709B4">
        <w:rPr>
          <w:rFonts w:ascii="Times New Roman" w:eastAsia="Times New Roman" w:hAnsi="Times New Roman" w:cs="Times New Roman"/>
          <w:color w:val="202122"/>
          <w:lang w:eastAsia="ru-RU"/>
        </w:rPr>
        <w:t xml:space="preserve">снижение уровня воды в </w:t>
      </w:r>
      <w:r w:rsidR="00F709B4" w:rsidRPr="00F709B4">
        <w:rPr>
          <w:rFonts w:ascii="Times New Roman" w:eastAsia="Times New Roman" w:hAnsi="Times New Roman" w:cs="Times New Roman"/>
          <w:color w:val="202122"/>
          <w:lang w:eastAsia="ru-RU"/>
        </w:rPr>
        <w:t xml:space="preserve">реках в </w:t>
      </w:r>
      <w:r w:rsidR="0013130E" w:rsidRPr="00F709B4">
        <w:rPr>
          <w:rFonts w:ascii="Times New Roman" w:eastAsia="Times New Roman" w:hAnsi="Times New Roman" w:cs="Times New Roman"/>
          <w:color w:val="202122"/>
          <w:lang w:eastAsia="ru-RU"/>
        </w:rPr>
        <w:t>Китае.</w:t>
      </w:r>
      <w:r w:rsidR="0013130E">
        <w:rPr>
          <w:rFonts w:ascii="Times New Roman" w:eastAsia="Times New Roman" w:hAnsi="Times New Roman" w:cs="Times New Roman"/>
          <w:color w:val="202122"/>
          <w:lang w:eastAsia="ru-RU"/>
        </w:rPr>
        <w:t xml:space="preserve"> </w:t>
      </w:r>
      <w:r w:rsidR="00997EA3">
        <w:rPr>
          <w:rFonts w:ascii="Times New Roman" w:eastAsia="Times New Roman" w:hAnsi="Times New Roman" w:cs="Times New Roman"/>
          <w:color w:val="202122"/>
          <w:lang w:eastAsia="ru-RU"/>
        </w:rPr>
        <w:t>У</w:t>
      </w:r>
      <w:r w:rsidR="00C217CE">
        <w:rPr>
          <w:rFonts w:ascii="Times New Roman" w:eastAsia="Times New Roman" w:hAnsi="Times New Roman" w:cs="Times New Roman"/>
          <w:color w:val="202122"/>
          <w:lang w:eastAsia="ru-RU"/>
        </w:rPr>
        <w:t>величение потреблени</w:t>
      </w:r>
      <w:r w:rsidR="00FC5EAA">
        <w:rPr>
          <w:rFonts w:ascii="Times New Roman" w:eastAsia="Times New Roman" w:hAnsi="Times New Roman" w:cs="Times New Roman"/>
          <w:color w:val="202122"/>
          <w:lang w:eastAsia="ru-RU"/>
        </w:rPr>
        <w:t xml:space="preserve">я энергоресурсов (жаркая погода стимулирует использование кондиционеров, и, следовательно, электроэнергии) увеличивает энергоемкость экономики. </w:t>
      </w:r>
      <w:r w:rsidR="0013130E">
        <w:rPr>
          <w:rFonts w:ascii="Times New Roman" w:eastAsia="Times New Roman" w:hAnsi="Times New Roman" w:cs="Times New Roman"/>
          <w:color w:val="202122"/>
          <w:lang w:eastAsia="ru-RU"/>
        </w:rPr>
        <w:t xml:space="preserve">Немаловажную роль сыграл процесс либерализации газового рынка Европы и постепенный отказ от долгосрочных </w:t>
      </w:r>
      <w:r w:rsidR="00E10DC1">
        <w:rPr>
          <w:rFonts w:ascii="Times New Roman" w:eastAsia="Times New Roman" w:hAnsi="Times New Roman" w:cs="Times New Roman"/>
          <w:color w:val="202122"/>
          <w:lang w:eastAsia="ru-RU"/>
        </w:rPr>
        <w:t>контрактов на поставку</w:t>
      </w:r>
      <w:r w:rsidR="0013130E">
        <w:rPr>
          <w:rFonts w:ascii="Times New Roman" w:eastAsia="Times New Roman" w:hAnsi="Times New Roman" w:cs="Times New Roman"/>
          <w:color w:val="202122"/>
          <w:lang w:eastAsia="ru-RU"/>
        </w:rPr>
        <w:t xml:space="preserve"> энергоресурсов.</w:t>
      </w:r>
      <w:r w:rsidR="00E10DC1">
        <w:rPr>
          <w:rFonts w:ascii="Times New Roman" w:eastAsia="Times New Roman" w:hAnsi="Times New Roman" w:cs="Times New Roman"/>
          <w:color w:val="202122"/>
          <w:lang w:eastAsia="ru-RU"/>
        </w:rPr>
        <w:t xml:space="preserve"> </w:t>
      </w:r>
      <w:r w:rsidR="00CD3B29">
        <w:rPr>
          <w:rFonts w:ascii="Times New Roman" w:eastAsia="Times New Roman" w:hAnsi="Times New Roman" w:cs="Times New Roman"/>
          <w:color w:val="202122"/>
          <w:lang w:eastAsia="ru-RU"/>
        </w:rPr>
        <w:t xml:space="preserve">В результате перед странами Европы на конец 2021 года стоял открытым вопрос </w:t>
      </w:r>
      <w:r w:rsidR="00D76981">
        <w:rPr>
          <w:rFonts w:ascii="Times New Roman" w:eastAsia="Times New Roman" w:hAnsi="Times New Roman" w:cs="Times New Roman"/>
          <w:color w:val="202122"/>
          <w:lang w:eastAsia="ru-RU"/>
        </w:rPr>
        <w:t xml:space="preserve">не только </w:t>
      </w:r>
      <w:r w:rsidR="00CD3B29">
        <w:rPr>
          <w:rFonts w:ascii="Times New Roman" w:eastAsia="Times New Roman" w:hAnsi="Times New Roman" w:cs="Times New Roman"/>
          <w:color w:val="202122"/>
          <w:lang w:eastAsia="ru-RU"/>
        </w:rPr>
        <w:t xml:space="preserve">обеспечения </w:t>
      </w:r>
      <w:r w:rsidR="00D76981">
        <w:rPr>
          <w:rFonts w:ascii="Times New Roman" w:eastAsia="Times New Roman" w:hAnsi="Times New Roman" w:cs="Times New Roman"/>
          <w:color w:val="202122"/>
          <w:lang w:eastAsia="ru-RU"/>
        </w:rPr>
        <w:t xml:space="preserve">предприятий электроэнергией, но и </w:t>
      </w:r>
      <w:r w:rsidR="00CD3B29">
        <w:rPr>
          <w:rFonts w:ascii="Times New Roman" w:eastAsia="Times New Roman" w:hAnsi="Times New Roman" w:cs="Times New Roman"/>
          <w:color w:val="202122"/>
          <w:lang w:eastAsia="ru-RU"/>
        </w:rPr>
        <w:t xml:space="preserve">населения </w:t>
      </w:r>
      <w:r w:rsidR="003E333F">
        <w:rPr>
          <w:rFonts w:ascii="Times New Roman" w:eastAsia="Times New Roman" w:hAnsi="Times New Roman" w:cs="Times New Roman"/>
          <w:color w:val="202122"/>
          <w:lang w:eastAsia="ru-RU"/>
        </w:rPr>
        <w:t>первичными</w:t>
      </w:r>
      <w:r w:rsidR="00CD3B29">
        <w:rPr>
          <w:rFonts w:ascii="Times New Roman" w:eastAsia="Times New Roman" w:hAnsi="Times New Roman" w:cs="Times New Roman"/>
          <w:color w:val="202122"/>
          <w:lang w:eastAsia="ru-RU"/>
        </w:rPr>
        <w:t xml:space="preserve"> нужд</w:t>
      </w:r>
      <w:r w:rsidR="003E333F">
        <w:rPr>
          <w:rFonts w:ascii="Times New Roman" w:eastAsia="Times New Roman" w:hAnsi="Times New Roman" w:cs="Times New Roman"/>
          <w:color w:val="202122"/>
          <w:lang w:eastAsia="ru-RU"/>
        </w:rPr>
        <w:t>ами</w:t>
      </w:r>
      <w:r w:rsidR="00CD3B29">
        <w:rPr>
          <w:rFonts w:ascii="Times New Roman" w:eastAsia="Times New Roman" w:hAnsi="Times New Roman" w:cs="Times New Roman"/>
          <w:color w:val="202122"/>
          <w:lang w:eastAsia="ru-RU"/>
        </w:rPr>
        <w:t xml:space="preserve"> – теплом</w:t>
      </w:r>
      <w:r w:rsidR="00E763CF">
        <w:rPr>
          <w:rFonts w:ascii="Times New Roman" w:eastAsia="Times New Roman" w:hAnsi="Times New Roman" w:cs="Times New Roman"/>
          <w:color w:val="202122"/>
          <w:lang w:eastAsia="ru-RU"/>
        </w:rPr>
        <w:t xml:space="preserve"> -</w:t>
      </w:r>
      <w:r w:rsidR="00CD3B29">
        <w:rPr>
          <w:rFonts w:ascii="Times New Roman" w:eastAsia="Times New Roman" w:hAnsi="Times New Roman" w:cs="Times New Roman"/>
          <w:color w:val="202122"/>
          <w:lang w:eastAsia="ru-RU"/>
        </w:rPr>
        <w:t xml:space="preserve"> </w:t>
      </w:r>
      <w:r w:rsidR="007B1747">
        <w:rPr>
          <w:rFonts w:ascii="Times New Roman" w:eastAsia="Times New Roman" w:hAnsi="Times New Roman" w:cs="Times New Roman"/>
          <w:color w:val="202122"/>
          <w:lang w:eastAsia="ru-RU"/>
        </w:rPr>
        <w:t>при заполненности ПХГ менее 4</w:t>
      </w:r>
      <w:r w:rsidR="00CD3B29">
        <w:rPr>
          <w:rFonts w:ascii="Times New Roman" w:eastAsia="Times New Roman" w:hAnsi="Times New Roman" w:cs="Times New Roman"/>
          <w:color w:val="202122"/>
          <w:lang w:eastAsia="ru-RU"/>
        </w:rPr>
        <w:t>0% и ценах на энергоресурсы</w:t>
      </w:r>
      <w:r w:rsidR="00026E32">
        <w:rPr>
          <w:rFonts w:ascii="Times New Roman" w:eastAsia="Times New Roman" w:hAnsi="Times New Roman" w:cs="Times New Roman"/>
          <w:color w:val="202122"/>
          <w:lang w:eastAsia="ru-RU"/>
        </w:rPr>
        <w:t>, колеблющих</w:t>
      </w:r>
      <w:r w:rsidR="005473FD">
        <w:rPr>
          <w:rFonts w:ascii="Times New Roman" w:eastAsia="Times New Roman" w:hAnsi="Times New Roman" w:cs="Times New Roman"/>
          <w:color w:val="202122"/>
          <w:lang w:eastAsia="ru-RU"/>
        </w:rPr>
        <w:t>ся</w:t>
      </w:r>
      <w:r w:rsidR="00CD3B29">
        <w:rPr>
          <w:rFonts w:ascii="Times New Roman" w:eastAsia="Times New Roman" w:hAnsi="Times New Roman" w:cs="Times New Roman"/>
          <w:color w:val="202122"/>
          <w:lang w:eastAsia="ru-RU"/>
        </w:rPr>
        <w:t xml:space="preserve"> в диапазоне от 1000 до 2000 долларов за 1000 кубометров газа. </w:t>
      </w:r>
      <w:r w:rsidR="00D57ED6">
        <w:rPr>
          <w:rFonts w:ascii="Times New Roman" w:eastAsia="Times New Roman" w:hAnsi="Times New Roman" w:cs="Times New Roman"/>
          <w:color w:val="202122"/>
          <w:lang w:eastAsia="ru-RU"/>
        </w:rPr>
        <w:t>Вопрос энергоемкости экономик отошел на второй план.</w:t>
      </w:r>
      <w:r w:rsidR="007B1747">
        <w:rPr>
          <w:rFonts w:ascii="Times New Roman" w:eastAsia="Times New Roman" w:hAnsi="Times New Roman" w:cs="Times New Roman"/>
          <w:color w:val="202122"/>
          <w:lang w:eastAsia="ru-RU"/>
        </w:rPr>
        <w:t xml:space="preserve"> </w:t>
      </w:r>
      <w:r w:rsidR="00641E47">
        <w:rPr>
          <w:rFonts w:ascii="Times New Roman" w:eastAsia="Times New Roman" w:hAnsi="Times New Roman" w:cs="Times New Roman"/>
          <w:color w:val="202122"/>
          <w:lang w:eastAsia="ru-RU"/>
        </w:rPr>
        <w:t xml:space="preserve">На данном этапе для ряда стран  Европы возобновляемые источники энергии </w:t>
      </w:r>
      <w:r w:rsidR="00007146">
        <w:rPr>
          <w:rFonts w:ascii="Times New Roman" w:eastAsia="Times New Roman" w:hAnsi="Times New Roman" w:cs="Times New Roman"/>
          <w:color w:val="202122"/>
          <w:lang w:eastAsia="ru-RU"/>
        </w:rPr>
        <w:t>следует рассматривать</w:t>
      </w:r>
      <w:r w:rsidR="00641E47">
        <w:rPr>
          <w:rFonts w:ascii="Times New Roman" w:eastAsia="Times New Roman" w:hAnsi="Times New Roman" w:cs="Times New Roman"/>
          <w:color w:val="202122"/>
          <w:lang w:eastAsia="ru-RU"/>
        </w:rPr>
        <w:t xml:space="preserve"> в качестве дополнения, но не альтернативы</w:t>
      </w:r>
      <w:r w:rsidR="00F03269">
        <w:rPr>
          <w:rFonts w:ascii="Times New Roman" w:eastAsia="Times New Roman" w:hAnsi="Times New Roman" w:cs="Times New Roman"/>
          <w:color w:val="202122"/>
          <w:lang w:eastAsia="ru-RU"/>
        </w:rPr>
        <w:t xml:space="preserve"> невозобновляемым источникам</w:t>
      </w:r>
      <w:r w:rsidR="00007146">
        <w:rPr>
          <w:rFonts w:ascii="Times New Roman" w:eastAsia="Times New Roman" w:hAnsi="Times New Roman" w:cs="Times New Roman"/>
          <w:color w:val="202122"/>
          <w:lang w:eastAsia="ru-RU"/>
        </w:rPr>
        <w:t xml:space="preserve"> энергии</w:t>
      </w:r>
      <w:r w:rsidR="00641E47">
        <w:rPr>
          <w:rFonts w:ascii="Times New Roman" w:eastAsia="Times New Roman" w:hAnsi="Times New Roman" w:cs="Times New Roman"/>
          <w:color w:val="202122"/>
          <w:lang w:eastAsia="ru-RU"/>
        </w:rPr>
        <w:t xml:space="preserve">. </w:t>
      </w:r>
      <w:r w:rsidR="00C40835">
        <w:rPr>
          <w:rFonts w:ascii="Times New Roman" w:eastAsia="Times New Roman" w:hAnsi="Times New Roman" w:cs="Times New Roman"/>
          <w:color w:val="202122"/>
          <w:lang w:eastAsia="ru-RU"/>
        </w:rPr>
        <w:t>Нетрадиционные источники энергии</w:t>
      </w:r>
      <w:r w:rsidR="00641E47">
        <w:rPr>
          <w:rFonts w:ascii="Times New Roman" w:eastAsia="Times New Roman" w:hAnsi="Times New Roman" w:cs="Times New Roman"/>
          <w:color w:val="202122"/>
          <w:lang w:eastAsia="ru-RU"/>
        </w:rPr>
        <w:t xml:space="preserve"> не смогут заменить традиционные в условиях непредсказуемости погодных условий, нестабильности </w:t>
      </w:r>
      <w:r w:rsidR="001E0C3E">
        <w:rPr>
          <w:rFonts w:ascii="Times New Roman" w:eastAsia="Times New Roman" w:hAnsi="Times New Roman" w:cs="Times New Roman"/>
          <w:color w:val="202122"/>
          <w:lang w:eastAsia="ru-RU"/>
        </w:rPr>
        <w:t xml:space="preserve">на мировом энергетическом рынке и </w:t>
      </w:r>
      <w:r w:rsidR="00855983">
        <w:rPr>
          <w:rFonts w:ascii="Times New Roman" w:eastAsia="Times New Roman" w:hAnsi="Times New Roman" w:cs="Times New Roman"/>
          <w:color w:val="202122"/>
          <w:lang w:eastAsia="ru-RU"/>
        </w:rPr>
        <w:t xml:space="preserve">при </w:t>
      </w:r>
      <w:r w:rsidR="007E4F5C">
        <w:rPr>
          <w:rFonts w:ascii="Times New Roman" w:eastAsia="Times New Roman" w:hAnsi="Times New Roman" w:cs="Times New Roman"/>
          <w:color w:val="202122"/>
          <w:lang w:eastAsia="ru-RU"/>
        </w:rPr>
        <w:t>прочих макро</w:t>
      </w:r>
      <w:r w:rsidR="002F3BD7">
        <w:rPr>
          <w:rFonts w:ascii="Times New Roman" w:eastAsia="Times New Roman" w:hAnsi="Times New Roman" w:cs="Times New Roman"/>
          <w:color w:val="202122"/>
          <w:lang w:eastAsia="ru-RU"/>
        </w:rPr>
        <w:t>факторах</w:t>
      </w:r>
      <w:r w:rsidR="001E0C3E">
        <w:rPr>
          <w:rFonts w:ascii="Times New Roman" w:eastAsia="Times New Roman" w:hAnsi="Times New Roman" w:cs="Times New Roman"/>
          <w:color w:val="202122"/>
          <w:lang w:eastAsia="ru-RU"/>
        </w:rPr>
        <w:t>.</w:t>
      </w:r>
      <w:r w:rsidR="00323076">
        <w:rPr>
          <w:rFonts w:ascii="Times New Roman" w:eastAsia="Times New Roman" w:hAnsi="Times New Roman" w:cs="Times New Roman"/>
          <w:color w:val="202122"/>
          <w:lang w:eastAsia="ru-RU"/>
        </w:rPr>
        <w:t xml:space="preserve"> </w:t>
      </w:r>
    </w:p>
    <w:p w14:paraId="62FAF0E4" w14:textId="7ECF1812" w:rsidR="00BF6678" w:rsidRPr="0013316C" w:rsidRDefault="00BF6678" w:rsidP="00640BE1">
      <w:pPr>
        <w:ind w:firstLine="709"/>
        <w:jc w:val="both"/>
        <w:rPr>
          <w:rFonts w:ascii="Times New Roman" w:eastAsia="Times New Roman" w:hAnsi="Times New Roman" w:cs="Times New Roman"/>
          <w:color w:val="202122"/>
          <w:lang w:eastAsia="ru-RU"/>
        </w:rPr>
      </w:pPr>
      <w:r w:rsidRPr="001C2749">
        <w:rPr>
          <w:rFonts w:ascii="Times New Roman" w:eastAsia="Times New Roman" w:hAnsi="Times New Roman" w:cs="Times New Roman"/>
          <w:color w:val="202122"/>
          <w:lang w:eastAsia="ru-RU"/>
        </w:rPr>
        <w:t>Вв</w:t>
      </w:r>
      <w:r w:rsidR="00D56AD7" w:rsidRPr="001C2749">
        <w:rPr>
          <w:rFonts w:ascii="Times New Roman" w:eastAsia="Times New Roman" w:hAnsi="Times New Roman" w:cs="Times New Roman"/>
          <w:color w:val="202122"/>
          <w:lang w:eastAsia="ru-RU"/>
        </w:rPr>
        <w:t>иду увеличения количества макро</w:t>
      </w:r>
      <w:r w:rsidRPr="001C2749">
        <w:rPr>
          <w:rFonts w:ascii="Times New Roman" w:eastAsia="Times New Roman" w:hAnsi="Times New Roman" w:cs="Times New Roman"/>
          <w:color w:val="202122"/>
          <w:lang w:eastAsia="ru-RU"/>
        </w:rPr>
        <w:t xml:space="preserve">факторов, влияющих на энергетическую политику как развитых, так и развивающихся </w:t>
      </w:r>
      <w:r w:rsidR="00000CDE" w:rsidRPr="001C2749">
        <w:rPr>
          <w:rFonts w:ascii="Times New Roman" w:eastAsia="Times New Roman" w:hAnsi="Times New Roman" w:cs="Times New Roman"/>
          <w:color w:val="202122"/>
          <w:lang w:eastAsia="ru-RU"/>
        </w:rPr>
        <w:t>экономик</w:t>
      </w:r>
      <w:r w:rsidRPr="001C2749">
        <w:rPr>
          <w:rFonts w:ascii="Times New Roman" w:eastAsia="Times New Roman" w:hAnsi="Times New Roman" w:cs="Times New Roman"/>
          <w:color w:val="202122"/>
          <w:lang w:eastAsia="ru-RU"/>
        </w:rPr>
        <w:t xml:space="preserve">, </w:t>
      </w:r>
      <w:r w:rsidR="0082150E" w:rsidRPr="001C2749">
        <w:rPr>
          <w:rFonts w:ascii="Times New Roman" w:eastAsia="Times New Roman" w:hAnsi="Times New Roman" w:cs="Times New Roman"/>
          <w:color w:val="202122"/>
          <w:lang w:eastAsia="ru-RU"/>
        </w:rPr>
        <w:t>опыт Китая в снижении</w:t>
      </w:r>
      <w:r w:rsidR="00D16C96" w:rsidRPr="001C2749">
        <w:rPr>
          <w:rFonts w:ascii="Times New Roman" w:eastAsia="Times New Roman" w:hAnsi="Times New Roman" w:cs="Times New Roman"/>
          <w:color w:val="202122"/>
          <w:lang w:eastAsia="ru-RU"/>
        </w:rPr>
        <w:t xml:space="preserve"> энергоемкости </w:t>
      </w:r>
      <w:r w:rsidR="0082150E" w:rsidRPr="001C2749">
        <w:rPr>
          <w:rFonts w:ascii="Times New Roman" w:eastAsia="Times New Roman" w:hAnsi="Times New Roman" w:cs="Times New Roman"/>
          <w:color w:val="202122"/>
          <w:lang w:eastAsia="ru-RU"/>
        </w:rPr>
        <w:t xml:space="preserve">его региональных </w:t>
      </w:r>
      <w:r w:rsidR="00D16C96" w:rsidRPr="001C2749">
        <w:rPr>
          <w:rFonts w:ascii="Times New Roman" w:eastAsia="Times New Roman" w:hAnsi="Times New Roman" w:cs="Times New Roman"/>
          <w:color w:val="202122"/>
          <w:lang w:eastAsia="ru-RU"/>
        </w:rPr>
        <w:t>экономик</w:t>
      </w:r>
      <w:r w:rsidR="00157C6C" w:rsidRPr="001C2749">
        <w:rPr>
          <w:rFonts w:ascii="Times New Roman" w:eastAsia="Times New Roman" w:hAnsi="Times New Roman" w:cs="Times New Roman"/>
          <w:color w:val="202122"/>
          <w:lang w:eastAsia="ru-RU"/>
        </w:rPr>
        <w:t xml:space="preserve"> в таких условиях</w:t>
      </w:r>
      <w:r w:rsidR="0082150E" w:rsidRPr="001C2749">
        <w:rPr>
          <w:rFonts w:ascii="Times New Roman" w:eastAsia="Times New Roman" w:hAnsi="Times New Roman" w:cs="Times New Roman"/>
          <w:color w:val="202122"/>
          <w:lang w:eastAsia="ru-RU"/>
        </w:rPr>
        <w:t xml:space="preserve"> и при замедлении экономического роста может быть полезен другим развивающимся экономикам, в частности России, </w:t>
      </w:r>
      <w:r w:rsidR="004F20FB" w:rsidRPr="001C2749">
        <w:rPr>
          <w:rFonts w:ascii="Times New Roman" w:eastAsia="Times New Roman" w:hAnsi="Times New Roman" w:cs="Times New Roman"/>
          <w:color w:val="202122"/>
          <w:lang w:eastAsia="ru-RU"/>
        </w:rPr>
        <w:t xml:space="preserve">также </w:t>
      </w:r>
      <w:r w:rsidR="00D34A5D" w:rsidRPr="001C2749">
        <w:rPr>
          <w:rFonts w:ascii="Times New Roman" w:eastAsia="Times New Roman" w:hAnsi="Times New Roman" w:cs="Times New Roman"/>
          <w:color w:val="202122"/>
          <w:lang w:eastAsia="ru-RU"/>
        </w:rPr>
        <w:t>состоящей из региональных экономик</w:t>
      </w:r>
      <w:r w:rsidR="0082150E" w:rsidRPr="001C2749">
        <w:rPr>
          <w:rFonts w:ascii="Times New Roman" w:eastAsia="Times New Roman" w:hAnsi="Times New Roman" w:cs="Times New Roman"/>
          <w:color w:val="202122"/>
          <w:lang w:eastAsia="ru-RU"/>
        </w:rPr>
        <w:t>.</w:t>
      </w:r>
    </w:p>
    <w:p w14:paraId="1981B882" w14:textId="5E98CBD9" w:rsidR="00F82ED4" w:rsidRPr="00C41C6D" w:rsidRDefault="00F82ED4" w:rsidP="00640BE1">
      <w:pPr>
        <w:pStyle w:val="a3"/>
        <w:jc w:val="center"/>
        <w:rPr>
          <w:b/>
          <w:i/>
        </w:rPr>
      </w:pPr>
      <w:r w:rsidRPr="00C41C6D">
        <w:rPr>
          <w:b/>
          <w:i/>
        </w:rPr>
        <w:t>Темпы роста китайской экономики и ее регионов</w:t>
      </w:r>
      <w:r w:rsidR="001D078A" w:rsidRPr="00C41C6D">
        <w:rPr>
          <w:b/>
          <w:i/>
        </w:rPr>
        <w:t>, энергоемкость китайской экономики и экономик ее регионов</w:t>
      </w:r>
    </w:p>
    <w:p w14:paraId="77DCA4EC" w14:textId="327EC779" w:rsidR="001D078A" w:rsidRDefault="001D078A" w:rsidP="00640BE1">
      <w:pPr>
        <w:pStyle w:val="a3"/>
        <w:ind w:firstLine="709"/>
        <w:jc w:val="both"/>
        <w:rPr>
          <w:rFonts w:eastAsia="Times New Roman"/>
        </w:rPr>
      </w:pPr>
      <w:r w:rsidRPr="001D078A">
        <w:rPr>
          <w:rFonts w:eastAsia="Times New Roman"/>
        </w:rPr>
        <w:t xml:space="preserve">Вопрос энергоемкости </w:t>
      </w:r>
      <w:r w:rsidR="00E37BF2">
        <w:rPr>
          <w:rFonts w:eastAsia="Times New Roman"/>
        </w:rPr>
        <w:t xml:space="preserve">(как основного показателя энергоэффективности экономики) </w:t>
      </w:r>
      <w:r w:rsidRPr="001D078A">
        <w:rPr>
          <w:rFonts w:eastAsia="Times New Roman"/>
        </w:rPr>
        <w:t xml:space="preserve">экономик регионов Китая остается актуальным на протяжении многих лет при наличии проблемы неравномерности их развития и, соответственно, различия структур потребления энергоресурсов как при экономическом росте, так и в условиях его замедления. В настоящее время при преобладании угля в структуре потребления энергоресурсов национальной экономики большинство северных, центральных и юго-западных провинций </w:t>
      </w:r>
      <w:r w:rsidRPr="001D078A">
        <w:rPr>
          <w:rFonts w:eastAsia="Times New Roman"/>
        </w:rPr>
        <w:lastRenderedPageBreak/>
        <w:t xml:space="preserve">Китая остаются углеориентированными (добыча угля ведется на территории 27 регионов), северо-запад, восток и юго-восток  – нефтеориентирован, центральные и западные части страны – газориентированы. Основными поставщиками энергии являются юго-запад, северо-восток, часть центральных провинций, в структуре потребления энергоресурсов которых преобладают традиционные источники энергии, а получателями - восток, юго-восток страны, экономики которых характеризуются более высоким и быстрым уровнем развития  с преобладанием в структуре потребления энергоресурсов альтернативных источников энергии. В таких провинциях, а также частично в центральных,  активно проводится политика массового вывода из эксплуатации устаревших производств и генерирующих мощностей. Китай достиг большого прогресса за последние 10 лет в достижении энергоэффективности национальной экономики на фоне неравномерности развития его регионов и неравномерности обеспечения энергоресурсами, цикличности развития китайской экономики и  существующих проблем, связанных с его энергетической политикой.  Прогресс относится к области снижения энергоемкости ВВП, повышении эффективности </w:t>
      </w:r>
      <w:r w:rsidRPr="00E37BF2">
        <w:rPr>
          <w:rFonts w:eastAsia="Times New Roman"/>
        </w:rPr>
        <w:t>использования энергоресурсов</w:t>
      </w:r>
      <w:r w:rsidRPr="001D078A">
        <w:rPr>
          <w:rFonts w:eastAsia="Times New Roman"/>
        </w:rPr>
        <w:t>, введении относительно эффективных мер энергосбережения, строительстве современной энергосистемы на принципах снижения выбросов в атмосферу и т. д. В период с 1980 - 2000 гг. Китай учетверил свой ВВП, а употребление энергии увеличилось лишь вдвое. В период с 2000 - 2019 гг. употребление  энергии по сравнению с темпами роста ВВП увеличилось в 1,4, что позволяет сделать вывод о высокой энергоэффективности китайской экономики. Основной прогресс был достигнут в условиях экономического роста: за последние четыре десятилетия среднегодовые темпы прироста ВВП составляли свыше 9,5</w:t>
      </w:r>
      <w:r w:rsidRPr="00640BE1">
        <w:rPr>
          <w:rFonts w:eastAsia="Times New Roman"/>
        </w:rPr>
        <w:t>%</w:t>
      </w:r>
      <w:r w:rsidRPr="001D078A">
        <w:rPr>
          <w:rFonts w:eastAsia="Times New Roman"/>
        </w:rPr>
        <w:t>.</w:t>
      </w:r>
    </w:p>
    <w:p w14:paraId="327DEE0D" w14:textId="24222CAF" w:rsidR="00331CBF" w:rsidRDefault="00331CBF" w:rsidP="00640BE1">
      <w:pPr>
        <w:pStyle w:val="a3"/>
        <w:ind w:firstLine="709"/>
        <w:jc w:val="both"/>
        <w:rPr>
          <w:rFonts w:eastAsia="Times New Roman"/>
        </w:rPr>
      </w:pPr>
      <w:r w:rsidRPr="001D078A">
        <w:rPr>
          <w:rFonts w:eastAsia="Times New Roman"/>
        </w:rPr>
        <w:t>Другая точка зрения заключается в том, что замедление экономического роста обусловлено цикличностью развития экономики Китая и является возможностью для решения проблем, связанных с сокращением импорта энергоресурсов, реформированием цен на энергоресурсы, снижением угл</w:t>
      </w:r>
      <w:r>
        <w:rPr>
          <w:rFonts w:eastAsia="Times New Roman"/>
        </w:rPr>
        <w:t>еродного следа, дальнейшим сокращением энергоемкости экономики.</w:t>
      </w:r>
      <w:r w:rsidRPr="001D078A">
        <w:rPr>
          <w:rFonts w:eastAsia="Times New Roman"/>
        </w:rPr>
        <w:t xml:space="preserve"> Также при оценке энергоэффективности экономик регионов Китая необходимо учитывать проблему несогласованности стратегий управления энергетической отраслью: существуют расхождения между центральными и региональными планами развития. </w:t>
      </w:r>
      <w:r>
        <w:rPr>
          <w:rFonts w:eastAsia="Times New Roman"/>
        </w:rPr>
        <w:t>В более развитых районах Китая</w:t>
      </w:r>
      <w:r w:rsidRPr="001D078A">
        <w:rPr>
          <w:rFonts w:eastAsia="Times New Roman"/>
        </w:rPr>
        <w:t xml:space="preserve"> уделяется внимание экологическим целям и сокращению выбросов, </w:t>
      </w:r>
      <w:r>
        <w:rPr>
          <w:rFonts w:eastAsia="Times New Roman"/>
        </w:rPr>
        <w:t>в развивающихся</w:t>
      </w:r>
      <w:r w:rsidRPr="001D078A">
        <w:rPr>
          <w:rFonts w:eastAsia="Times New Roman"/>
        </w:rPr>
        <w:t xml:space="preserve"> – приоритетной задачей остается поддержание роста ВВП.</w:t>
      </w:r>
    </w:p>
    <w:p w14:paraId="082D810F" w14:textId="39D95629" w:rsidR="005D573B" w:rsidRDefault="003C3171" w:rsidP="00640BE1">
      <w:pPr>
        <w:pStyle w:val="a3"/>
        <w:ind w:firstLine="709"/>
        <w:jc w:val="both"/>
        <w:rPr>
          <w:b/>
        </w:rPr>
      </w:pPr>
      <w:r w:rsidRPr="00932208">
        <w:t xml:space="preserve">В 2020 г. </w:t>
      </w:r>
      <w:r w:rsidR="006260BC">
        <w:t>темпы экономического роста</w:t>
      </w:r>
      <w:r w:rsidRPr="00932208">
        <w:t xml:space="preserve"> </w:t>
      </w:r>
      <w:r w:rsidR="006260BC">
        <w:t>в</w:t>
      </w:r>
      <w:r w:rsidRPr="00932208">
        <w:t xml:space="preserve"> КНР </w:t>
      </w:r>
      <w:r w:rsidR="006260BC">
        <w:t>составили</w:t>
      </w:r>
      <w:r>
        <w:t xml:space="preserve"> </w:t>
      </w:r>
      <w:r w:rsidRPr="00932208">
        <w:t xml:space="preserve">2,3%, </w:t>
      </w:r>
      <w:r w:rsidR="004B6CC0">
        <w:t xml:space="preserve">что </w:t>
      </w:r>
      <w:r w:rsidR="005106B2">
        <w:t>является</w:t>
      </w:r>
      <w:r w:rsidR="004B6CC0">
        <w:t xml:space="preserve"> самым низким показателем за последние 5</w:t>
      </w:r>
      <w:r w:rsidR="006D32B4">
        <w:t xml:space="preserve"> </w:t>
      </w:r>
      <w:r w:rsidR="004B6CC0">
        <w:t>лет</w:t>
      </w:r>
      <w:r w:rsidRPr="00932208">
        <w:t xml:space="preserve">. В 2021 г. </w:t>
      </w:r>
      <w:r>
        <w:t>прирост ВВП</w:t>
      </w:r>
      <w:r w:rsidRPr="00932208">
        <w:t xml:space="preserve"> составил 8%. Согласно прогнозам МВФ, </w:t>
      </w:r>
      <w:r w:rsidR="00B40023" w:rsidRPr="00932208">
        <w:t xml:space="preserve">в 2022 г. </w:t>
      </w:r>
      <w:r w:rsidRPr="00932208">
        <w:t>экономический рост составит 5,</w:t>
      </w:r>
      <w:r w:rsidRPr="00E507E7">
        <w:t>6%</w:t>
      </w:r>
      <w:r w:rsidR="008D0597" w:rsidRPr="00E507E7">
        <w:t xml:space="preserve"> [</w:t>
      </w:r>
      <w:r w:rsidR="00814B8F" w:rsidRPr="00E507E7">
        <w:t>4</w:t>
      </w:r>
      <w:r w:rsidR="008D0597" w:rsidRPr="00E507E7">
        <w:t>]</w:t>
      </w:r>
      <w:r w:rsidRPr="00E507E7">
        <w:t>.</w:t>
      </w:r>
      <w:r>
        <w:rPr>
          <w:b/>
        </w:rPr>
        <w:t xml:space="preserve"> </w:t>
      </w:r>
    </w:p>
    <w:p w14:paraId="377691FE" w14:textId="77777777" w:rsidR="00480526" w:rsidRDefault="00480526" w:rsidP="00640BE1">
      <w:pPr>
        <w:pStyle w:val="a3"/>
        <w:ind w:firstLine="709"/>
        <w:jc w:val="both"/>
        <w:rPr>
          <w:b/>
        </w:rPr>
      </w:pPr>
    </w:p>
    <w:p w14:paraId="732AC84F" w14:textId="7DE7FAC4" w:rsidR="0002699B" w:rsidRDefault="00C63501" w:rsidP="00C63501">
      <w:pPr>
        <w:pStyle w:val="a3"/>
        <w:jc w:val="center"/>
        <w:rPr>
          <w:b/>
          <w:sz w:val="32"/>
          <w:szCs w:val="32"/>
          <w:vertAlign w:val="superscript"/>
        </w:rPr>
      </w:pPr>
      <w:r>
        <w:rPr>
          <w:b/>
        </w:rPr>
        <w:t xml:space="preserve">                                              </w:t>
      </w:r>
      <w:r w:rsidR="0002699B">
        <w:rPr>
          <w:b/>
        </w:rPr>
        <w:t>Темы роста ВВП КНР</w:t>
      </w:r>
      <w:r w:rsidR="0002699B" w:rsidRPr="00035F51">
        <w:rPr>
          <w:b/>
        </w:rPr>
        <w:t xml:space="preserve"> (%)</w:t>
      </w:r>
      <w:r>
        <w:rPr>
          <w:b/>
        </w:rPr>
        <w:t xml:space="preserve">                             </w:t>
      </w:r>
      <w:r w:rsidRPr="00C63501">
        <w:rPr>
          <w:b/>
          <w:sz w:val="32"/>
          <w:szCs w:val="32"/>
          <w:vertAlign w:val="superscript"/>
        </w:rPr>
        <w:t>Таблица 1</w:t>
      </w:r>
    </w:p>
    <w:p w14:paraId="4777F33A" w14:textId="667817A5" w:rsidR="00C63501" w:rsidRPr="00C63501" w:rsidRDefault="00C63501" w:rsidP="00C63501">
      <w:pPr>
        <w:pStyle w:val="a3"/>
        <w:rPr>
          <w:b/>
          <w:lang w:val="en-US"/>
        </w:rPr>
      </w:pPr>
      <w:r>
        <w:rPr>
          <w:b/>
          <w:lang w:val="en-US"/>
        </w:rPr>
        <w:t xml:space="preserve">                                                      China`s GDP Growth rate </w:t>
      </w:r>
      <w:r>
        <w:rPr>
          <w:b/>
        </w:rPr>
        <w:t xml:space="preserve">(%)                           </w:t>
      </w:r>
      <w:r w:rsidRPr="00C63501">
        <w:rPr>
          <w:b/>
          <w:sz w:val="32"/>
          <w:szCs w:val="32"/>
          <w:vertAlign w:val="superscript"/>
        </w:rPr>
        <w:t>Table 1</w:t>
      </w:r>
    </w:p>
    <w:tbl>
      <w:tblPr>
        <w:tblStyle w:val="ab"/>
        <w:tblW w:w="0" w:type="auto"/>
        <w:tblLook w:val="04A0" w:firstRow="1" w:lastRow="0" w:firstColumn="1" w:lastColumn="0" w:noHBand="0" w:noVBand="1"/>
      </w:tblPr>
      <w:tblGrid>
        <w:gridCol w:w="1334"/>
        <w:gridCol w:w="1334"/>
        <w:gridCol w:w="1334"/>
        <w:gridCol w:w="1334"/>
        <w:gridCol w:w="1334"/>
        <w:gridCol w:w="1334"/>
        <w:gridCol w:w="1335"/>
      </w:tblGrid>
      <w:tr w:rsidR="0002699B" w14:paraId="45C0761D" w14:textId="77777777" w:rsidTr="002B27D8">
        <w:tc>
          <w:tcPr>
            <w:tcW w:w="1334" w:type="dxa"/>
          </w:tcPr>
          <w:p w14:paraId="4B5361E7" w14:textId="77777777" w:rsidR="0002699B" w:rsidRDefault="0002699B" w:rsidP="00640BE1">
            <w:pPr>
              <w:pStyle w:val="a3"/>
              <w:jc w:val="center"/>
            </w:pPr>
            <w:r>
              <w:t>2015</w:t>
            </w:r>
          </w:p>
        </w:tc>
        <w:tc>
          <w:tcPr>
            <w:tcW w:w="1334" w:type="dxa"/>
          </w:tcPr>
          <w:p w14:paraId="58DFC7A3" w14:textId="77777777" w:rsidR="0002699B" w:rsidRDefault="0002699B" w:rsidP="00640BE1">
            <w:pPr>
              <w:pStyle w:val="a3"/>
              <w:jc w:val="center"/>
            </w:pPr>
            <w:r>
              <w:t>2016</w:t>
            </w:r>
          </w:p>
        </w:tc>
        <w:tc>
          <w:tcPr>
            <w:tcW w:w="1334" w:type="dxa"/>
          </w:tcPr>
          <w:p w14:paraId="1BFAA790" w14:textId="77777777" w:rsidR="0002699B" w:rsidRDefault="0002699B" w:rsidP="00640BE1">
            <w:pPr>
              <w:pStyle w:val="a3"/>
              <w:jc w:val="center"/>
            </w:pPr>
            <w:r>
              <w:t>2017</w:t>
            </w:r>
          </w:p>
        </w:tc>
        <w:tc>
          <w:tcPr>
            <w:tcW w:w="1334" w:type="dxa"/>
          </w:tcPr>
          <w:p w14:paraId="79FAEFA3" w14:textId="77777777" w:rsidR="0002699B" w:rsidRDefault="0002699B" w:rsidP="00640BE1">
            <w:pPr>
              <w:pStyle w:val="a3"/>
              <w:jc w:val="center"/>
            </w:pPr>
            <w:r>
              <w:t>2018</w:t>
            </w:r>
          </w:p>
        </w:tc>
        <w:tc>
          <w:tcPr>
            <w:tcW w:w="1334" w:type="dxa"/>
          </w:tcPr>
          <w:p w14:paraId="2AC8467D" w14:textId="77777777" w:rsidR="0002699B" w:rsidRDefault="0002699B" w:rsidP="00640BE1">
            <w:pPr>
              <w:pStyle w:val="a3"/>
              <w:jc w:val="center"/>
            </w:pPr>
            <w:r>
              <w:t>2019</w:t>
            </w:r>
          </w:p>
        </w:tc>
        <w:tc>
          <w:tcPr>
            <w:tcW w:w="1334" w:type="dxa"/>
          </w:tcPr>
          <w:p w14:paraId="6044F011" w14:textId="77777777" w:rsidR="0002699B" w:rsidRDefault="0002699B" w:rsidP="00640BE1">
            <w:pPr>
              <w:pStyle w:val="a3"/>
              <w:jc w:val="center"/>
            </w:pPr>
            <w:r>
              <w:t>2020</w:t>
            </w:r>
          </w:p>
        </w:tc>
        <w:tc>
          <w:tcPr>
            <w:tcW w:w="1335" w:type="dxa"/>
          </w:tcPr>
          <w:p w14:paraId="4FBAA107" w14:textId="77777777" w:rsidR="0002699B" w:rsidRDefault="0002699B" w:rsidP="00640BE1">
            <w:pPr>
              <w:pStyle w:val="a3"/>
              <w:jc w:val="center"/>
            </w:pPr>
            <w:r>
              <w:t>2021</w:t>
            </w:r>
          </w:p>
        </w:tc>
      </w:tr>
      <w:tr w:rsidR="0002699B" w14:paraId="55AE5E83" w14:textId="77777777" w:rsidTr="002B27D8">
        <w:tc>
          <w:tcPr>
            <w:tcW w:w="1334" w:type="dxa"/>
          </w:tcPr>
          <w:p w14:paraId="038017F2" w14:textId="77777777" w:rsidR="0002699B" w:rsidRDefault="0002699B" w:rsidP="00640BE1">
            <w:pPr>
              <w:pStyle w:val="a3"/>
              <w:jc w:val="center"/>
            </w:pPr>
            <w:r>
              <w:t>7.0</w:t>
            </w:r>
          </w:p>
        </w:tc>
        <w:tc>
          <w:tcPr>
            <w:tcW w:w="1334" w:type="dxa"/>
          </w:tcPr>
          <w:p w14:paraId="6423577C" w14:textId="77777777" w:rsidR="0002699B" w:rsidRDefault="0002699B" w:rsidP="00640BE1">
            <w:pPr>
              <w:pStyle w:val="a3"/>
              <w:jc w:val="center"/>
            </w:pPr>
            <w:r>
              <w:t>6.8</w:t>
            </w:r>
          </w:p>
        </w:tc>
        <w:tc>
          <w:tcPr>
            <w:tcW w:w="1334" w:type="dxa"/>
          </w:tcPr>
          <w:p w14:paraId="3AE00F35" w14:textId="77777777" w:rsidR="0002699B" w:rsidRDefault="0002699B" w:rsidP="00640BE1">
            <w:pPr>
              <w:pStyle w:val="a3"/>
              <w:jc w:val="center"/>
            </w:pPr>
            <w:r>
              <w:t>6.9</w:t>
            </w:r>
          </w:p>
        </w:tc>
        <w:tc>
          <w:tcPr>
            <w:tcW w:w="1334" w:type="dxa"/>
          </w:tcPr>
          <w:p w14:paraId="40B431F4" w14:textId="77777777" w:rsidR="0002699B" w:rsidRDefault="0002699B" w:rsidP="00640BE1">
            <w:pPr>
              <w:pStyle w:val="a3"/>
              <w:jc w:val="center"/>
            </w:pPr>
            <w:r>
              <w:t>6.7</w:t>
            </w:r>
          </w:p>
        </w:tc>
        <w:tc>
          <w:tcPr>
            <w:tcW w:w="1334" w:type="dxa"/>
          </w:tcPr>
          <w:p w14:paraId="5BED4557" w14:textId="77777777" w:rsidR="0002699B" w:rsidRDefault="0002699B" w:rsidP="00640BE1">
            <w:pPr>
              <w:pStyle w:val="a3"/>
              <w:jc w:val="center"/>
            </w:pPr>
            <w:r>
              <w:t>6.1</w:t>
            </w:r>
          </w:p>
        </w:tc>
        <w:tc>
          <w:tcPr>
            <w:tcW w:w="1334" w:type="dxa"/>
          </w:tcPr>
          <w:p w14:paraId="388A036E" w14:textId="77777777" w:rsidR="0002699B" w:rsidRDefault="0002699B" w:rsidP="00640BE1">
            <w:pPr>
              <w:pStyle w:val="a3"/>
              <w:jc w:val="center"/>
            </w:pPr>
            <w:r>
              <w:t>2.3</w:t>
            </w:r>
          </w:p>
        </w:tc>
        <w:tc>
          <w:tcPr>
            <w:tcW w:w="1335" w:type="dxa"/>
          </w:tcPr>
          <w:p w14:paraId="21B27139" w14:textId="77777777" w:rsidR="0002699B" w:rsidRDefault="0002699B" w:rsidP="00640BE1">
            <w:pPr>
              <w:pStyle w:val="a3"/>
              <w:jc w:val="center"/>
            </w:pPr>
            <w:r>
              <w:t>8.0</w:t>
            </w:r>
          </w:p>
        </w:tc>
      </w:tr>
    </w:tbl>
    <w:p w14:paraId="2BF73FD5" w14:textId="1E7AF927" w:rsidR="0002699B" w:rsidRPr="00640BE1" w:rsidRDefault="00C63501" w:rsidP="00640BE1">
      <w:pPr>
        <w:pStyle w:val="a3"/>
        <w:jc w:val="both"/>
        <w:rPr>
          <w:i/>
        </w:rPr>
      </w:pPr>
      <w:r>
        <w:rPr>
          <w:i/>
        </w:rPr>
        <w:t>Источник:</w:t>
      </w:r>
      <w:r w:rsidR="00814B8F">
        <w:rPr>
          <w:i/>
        </w:rPr>
        <w:t xml:space="preserve"> [</w:t>
      </w:r>
      <w:r w:rsidR="00E507E7">
        <w:rPr>
          <w:i/>
        </w:rPr>
        <w:t>5</w:t>
      </w:r>
      <w:r w:rsidR="00814B8F">
        <w:rPr>
          <w:i/>
        </w:rPr>
        <w:t>]</w:t>
      </w:r>
    </w:p>
    <w:p w14:paraId="5DF6938F" w14:textId="104E3340" w:rsidR="003C3171" w:rsidRPr="003C3171" w:rsidRDefault="003C3171" w:rsidP="00640BE1">
      <w:pPr>
        <w:pStyle w:val="a3"/>
        <w:ind w:firstLine="709"/>
        <w:jc w:val="both"/>
      </w:pPr>
      <w:r w:rsidRPr="001345E4">
        <w:lastRenderedPageBreak/>
        <w:t xml:space="preserve">При </w:t>
      </w:r>
      <w:r>
        <w:t>замедлении экономического роста и повышении общего потребления энергии (за исключением угля), секторального потребления энергии энергоемкость экономики Китая имеет тенденцию снижаться.</w:t>
      </w:r>
    </w:p>
    <w:p w14:paraId="61369511" w14:textId="009E126E" w:rsidR="00043697" w:rsidRDefault="00F95111" w:rsidP="00F95111">
      <w:pPr>
        <w:pStyle w:val="a3"/>
        <w:jc w:val="center"/>
        <w:rPr>
          <w:b/>
          <w:sz w:val="32"/>
          <w:szCs w:val="32"/>
          <w:vertAlign w:val="superscript"/>
        </w:rPr>
      </w:pPr>
      <w:r>
        <w:rPr>
          <w:b/>
        </w:rPr>
        <w:t xml:space="preserve">                                             Энергоемкость ВВП</w:t>
      </w:r>
      <w:r w:rsidR="00043697" w:rsidRPr="00B84EF8">
        <w:rPr>
          <w:b/>
        </w:rPr>
        <w:t xml:space="preserve"> (</w:t>
      </w:r>
      <w:r>
        <w:rPr>
          <w:b/>
        </w:rPr>
        <w:t>в постоянных ценах</w:t>
      </w:r>
      <w:r w:rsidR="00043697" w:rsidRPr="00B84EF8">
        <w:rPr>
          <w:b/>
        </w:rPr>
        <w:t>)</w:t>
      </w:r>
      <w:r>
        <w:rPr>
          <w:b/>
        </w:rPr>
        <w:t xml:space="preserve">            </w:t>
      </w:r>
      <w:r w:rsidRPr="00F95111">
        <w:rPr>
          <w:b/>
          <w:sz w:val="32"/>
          <w:szCs w:val="32"/>
          <w:vertAlign w:val="superscript"/>
        </w:rPr>
        <w:t>Таблица 2</w:t>
      </w:r>
    </w:p>
    <w:p w14:paraId="4AF1001D" w14:textId="178FB4AF" w:rsidR="00F95111" w:rsidRPr="00F95111" w:rsidRDefault="00F95111" w:rsidP="00F95111">
      <w:pPr>
        <w:pStyle w:val="a3"/>
        <w:jc w:val="center"/>
        <w:rPr>
          <w:b/>
        </w:rPr>
      </w:pPr>
      <w:r>
        <w:rPr>
          <w:b/>
        </w:rPr>
        <w:t xml:space="preserve">                                            </w:t>
      </w:r>
      <w:r>
        <w:rPr>
          <w:b/>
        </w:rPr>
        <w:t>GDP Energy intensity</w:t>
      </w:r>
      <w:r w:rsidRPr="00B84EF8">
        <w:rPr>
          <w:b/>
        </w:rPr>
        <w:t xml:space="preserve"> (</w:t>
      </w:r>
      <w:r>
        <w:rPr>
          <w:b/>
        </w:rPr>
        <w:t>at constant prices</w:t>
      </w:r>
      <w:r w:rsidRPr="00B84EF8">
        <w:rPr>
          <w:b/>
        </w:rPr>
        <w:t>)</w:t>
      </w:r>
      <w:r>
        <w:rPr>
          <w:b/>
        </w:rPr>
        <w:t xml:space="preserve"> </w:t>
      </w:r>
      <w:r>
        <w:rPr>
          <w:b/>
        </w:rPr>
        <w:t xml:space="preserve">            </w:t>
      </w:r>
      <w:r>
        <w:rPr>
          <w:b/>
        </w:rPr>
        <w:t xml:space="preserve">  </w:t>
      </w:r>
      <w:r w:rsidRPr="00F95111">
        <w:rPr>
          <w:b/>
          <w:sz w:val="32"/>
          <w:szCs w:val="32"/>
          <w:vertAlign w:val="superscript"/>
          <w:lang w:val="en-US"/>
        </w:rPr>
        <w:t>Table 2</w:t>
      </w:r>
      <w:r>
        <w:rPr>
          <w:b/>
        </w:rPr>
        <w:t xml:space="preserve">       </w:t>
      </w:r>
    </w:p>
    <w:tbl>
      <w:tblPr>
        <w:tblStyle w:val="ab"/>
        <w:tblW w:w="10070" w:type="dxa"/>
        <w:tblInd w:w="-147" w:type="dxa"/>
        <w:tblLayout w:type="fixed"/>
        <w:tblLook w:val="04A0" w:firstRow="1" w:lastRow="0" w:firstColumn="1" w:lastColumn="0" w:noHBand="0" w:noVBand="1"/>
      </w:tblPr>
      <w:tblGrid>
        <w:gridCol w:w="743"/>
        <w:gridCol w:w="1247"/>
        <w:gridCol w:w="1263"/>
        <w:gridCol w:w="1239"/>
        <w:gridCol w:w="1239"/>
        <w:gridCol w:w="1239"/>
        <w:gridCol w:w="1239"/>
        <w:gridCol w:w="1861"/>
      </w:tblGrid>
      <w:tr w:rsidR="00043697" w:rsidRPr="00B84EF8" w14:paraId="58BDF09D" w14:textId="77777777" w:rsidTr="002B27D8">
        <w:tc>
          <w:tcPr>
            <w:tcW w:w="743" w:type="dxa"/>
          </w:tcPr>
          <w:p w14:paraId="06019D1F" w14:textId="77777777" w:rsidR="00043697" w:rsidRPr="00B84EF8" w:rsidRDefault="00043697" w:rsidP="00640BE1">
            <w:pPr>
              <w:pStyle w:val="a3"/>
              <w:jc w:val="both"/>
            </w:pPr>
            <w:r w:rsidRPr="00B84EF8">
              <w:t xml:space="preserve"> </w:t>
            </w:r>
          </w:p>
        </w:tc>
        <w:tc>
          <w:tcPr>
            <w:tcW w:w="1247" w:type="dxa"/>
          </w:tcPr>
          <w:p w14:paraId="06F56FFA" w14:textId="4770BD12" w:rsidR="00043697" w:rsidRPr="00B84EF8" w:rsidRDefault="00043697" w:rsidP="00640BE1">
            <w:pPr>
              <w:pStyle w:val="a3"/>
              <w:jc w:val="center"/>
            </w:pPr>
            <w:r w:rsidRPr="00B84EF8">
              <w:t>Общая</w:t>
            </w:r>
            <w:r w:rsidR="007C1D4E">
              <w:t xml:space="preserve"> (</w:t>
            </w:r>
            <w:r w:rsidR="007C1D4E" w:rsidRPr="00640BE1">
              <w:t>т.у.т.</w:t>
            </w:r>
            <w:r w:rsidRPr="00B84EF8">
              <w:t>/10000 юаней</w:t>
            </w:r>
          </w:p>
        </w:tc>
        <w:tc>
          <w:tcPr>
            <w:tcW w:w="1263" w:type="dxa"/>
          </w:tcPr>
          <w:p w14:paraId="10D588C3" w14:textId="77777777" w:rsidR="00043697" w:rsidRPr="00B84EF8" w:rsidRDefault="00043697" w:rsidP="00640BE1">
            <w:pPr>
              <w:pStyle w:val="a3"/>
              <w:jc w:val="center"/>
            </w:pPr>
            <w:r>
              <w:t>У</w:t>
            </w:r>
            <w:r w:rsidRPr="00B84EF8">
              <w:t>голь (</w:t>
            </w:r>
            <w:r>
              <w:t>т</w:t>
            </w:r>
            <w:r w:rsidRPr="00B84EF8">
              <w:t xml:space="preserve">/10000 </w:t>
            </w:r>
            <w:r>
              <w:t>юаней</w:t>
            </w:r>
            <w:r w:rsidRPr="00B84EF8">
              <w:t>)</w:t>
            </w:r>
          </w:p>
          <w:p w14:paraId="6AEC6A7E" w14:textId="77777777" w:rsidR="00043697" w:rsidRPr="00B84EF8" w:rsidRDefault="00043697" w:rsidP="00640BE1">
            <w:pPr>
              <w:pStyle w:val="a3"/>
              <w:jc w:val="center"/>
            </w:pPr>
          </w:p>
        </w:tc>
        <w:tc>
          <w:tcPr>
            <w:tcW w:w="1239" w:type="dxa"/>
          </w:tcPr>
          <w:p w14:paraId="0ABE52D2" w14:textId="77777777" w:rsidR="00043697" w:rsidRPr="00B84EF8" w:rsidRDefault="00043697" w:rsidP="00640BE1">
            <w:pPr>
              <w:pStyle w:val="a3"/>
              <w:jc w:val="center"/>
            </w:pPr>
            <w:r>
              <w:t>Кокс (т</w:t>
            </w:r>
            <w:r w:rsidRPr="00B84EF8">
              <w:t xml:space="preserve">/10000 </w:t>
            </w:r>
            <w:r>
              <w:t>юаней</w:t>
            </w:r>
            <w:r w:rsidRPr="00B84EF8">
              <w:t>)</w:t>
            </w:r>
          </w:p>
        </w:tc>
        <w:tc>
          <w:tcPr>
            <w:tcW w:w="1239" w:type="dxa"/>
          </w:tcPr>
          <w:p w14:paraId="427BFD42" w14:textId="77777777" w:rsidR="00043697" w:rsidRPr="00B84EF8" w:rsidRDefault="00043697" w:rsidP="00640BE1">
            <w:pPr>
              <w:pStyle w:val="a3"/>
              <w:jc w:val="center"/>
            </w:pPr>
            <w:r>
              <w:t>Нефть (т</w:t>
            </w:r>
            <w:r w:rsidRPr="00B84EF8">
              <w:t xml:space="preserve">/10000 </w:t>
            </w:r>
            <w:r>
              <w:t>юаней</w:t>
            </w:r>
            <w:r w:rsidRPr="00B84EF8">
              <w:t>)</w:t>
            </w:r>
          </w:p>
        </w:tc>
        <w:tc>
          <w:tcPr>
            <w:tcW w:w="1239" w:type="dxa"/>
          </w:tcPr>
          <w:p w14:paraId="29AFA4F2" w14:textId="77777777" w:rsidR="00043697" w:rsidRPr="00B84EF8" w:rsidRDefault="00043697" w:rsidP="00640BE1">
            <w:pPr>
              <w:pStyle w:val="a3"/>
              <w:jc w:val="center"/>
            </w:pPr>
            <w:r>
              <w:t>Сырая нефть (т</w:t>
            </w:r>
            <w:r w:rsidRPr="00B84EF8">
              <w:t xml:space="preserve">/10000 </w:t>
            </w:r>
            <w:r>
              <w:t>юаней</w:t>
            </w:r>
            <w:r w:rsidRPr="00B84EF8">
              <w:t>)</w:t>
            </w:r>
          </w:p>
        </w:tc>
        <w:tc>
          <w:tcPr>
            <w:tcW w:w="1239" w:type="dxa"/>
          </w:tcPr>
          <w:p w14:paraId="525794D4" w14:textId="77777777" w:rsidR="00043697" w:rsidRPr="00B84EF8" w:rsidRDefault="00043697" w:rsidP="00640BE1">
            <w:pPr>
              <w:pStyle w:val="a3"/>
              <w:jc w:val="center"/>
            </w:pPr>
            <w:r>
              <w:t>Топливная нефть (т</w:t>
            </w:r>
            <w:r w:rsidRPr="00B84EF8">
              <w:t xml:space="preserve">/10000 </w:t>
            </w:r>
            <w:r>
              <w:t>юаней</w:t>
            </w:r>
            <w:r w:rsidRPr="00B84EF8">
              <w:t>)</w:t>
            </w:r>
          </w:p>
        </w:tc>
        <w:tc>
          <w:tcPr>
            <w:tcW w:w="1861" w:type="dxa"/>
          </w:tcPr>
          <w:p w14:paraId="04F57CB5" w14:textId="77777777" w:rsidR="00043697" w:rsidRPr="00B84EF8" w:rsidRDefault="00043697" w:rsidP="00640BE1">
            <w:pPr>
              <w:pStyle w:val="a3"/>
              <w:jc w:val="center"/>
            </w:pPr>
            <w:r>
              <w:t>Электричество (10000 кВт*ч</w:t>
            </w:r>
            <w:r w:rsidRPr="00B84EF8">
              <w:t xml:space="preserve">/10000 </w:t>
            </w:r>
            <w:r>
              <w:t>юаней</w:t>
            </w:r>
          </w:p>
        </w:tc>
      </w:tr>
      <w:tr w:rsidR="00043697" w:rsidRPr="00B84EF8" w14:paraId="6559AAC7" w14:textId="77777777" w:rsidTr="002B27D8">
        <w:tc>
          <w:tcPr>
            <w:tcW w:w="743" w:type="dxa"/>
          </w:tcPr>
          <w:p w14:paraId="09C48E1B" w14:textId="77777777" w:rsidR="00043697" w:rsidRPr="00B84EF8" w:rsidRDefault="00043697" w:rsidP="00640BE1">
            <w:pPr>
              <w:pStyle w:val="a3"/>
              <w:jc w:val="center"/>
            </w:pPr>
            <w:r w:rsidRPr="00B84EF8">
              <w:t>2015</w:t>
            </w:r>
          </w:p>
        </w:tc>
        <w:tc>
          <w:tcPr>
            <w:tcW w:w="1247" w:type="dxa"/>
          </w:tcPr>
          <w:p w14:paraId="548C57D5" w14:textId="77777777" w:rsidR="00043697" w:rsidRPr="00B84EF8" w:rsidRDefault="00043697" w:rsidP="00640BE1">
            <w:pPr>
              <w:pStyle w:val="a3"/>
              <w:jc w:val="center"/>
            </w:pPr>
            <w:r w:rsidRPr="00B84EF8">
              <w:t>0.63</w:t>
            </w:r>
          </w:p>
        </w:tc>
        <w:tc>
          <w:tcPr>
            <w:tcW w:w="1263" w:type="dxa"/>
          </w:tcPr>
          <w:p w14:paraId="27125ECC" w14:textId="77777777" w:rsidR="00043697" w:rsidRPr="00B84EF8" w:rsidRDefault="00043697" w:rsidP="00640BE1">
            <w:pPr>
              <w:pStyle w:val="a3"/>
              <w:jc w:val="center"/>
            </w:pPr>
            <w:r w:rsidRPr="00B84EF8">
              <w:t>0.58</w:t>
            </w:r>
          </w:p>
        </w:tc>
        <w:tc>
          <w:tcPr>
            <w:tcW w:w="1239" w:type="dxa"/>
          </w:tcPr>
          <w:p w14:paraId="06CB787A" w14:textId="77777777" w:rsidR="00043697" w:rsidRPr="00B84EF8" w:rsidRDefault="00043697" w:rsidP="00640BE1">
            <w:pPr>
              <w:pStyle w:val="a3"/>
              <w:jc w:val="center"/>
            </w:pPr>
            <w:r w:rsidRPr="00B84EF8">
              <w:t>0.06</w:t>
            </w:r>
          </w:p>
        </w:tc>
        <w:tc>
          <w:tcPr>
            <w:tcW w:w="1239" w:type="dxa"/>
          </w:tcPr>
          <w:p w14:paraId="46D994EB" w14:textId="77777777" w:rsidR="00043697" w:rsidRPr="00B84EF8" w:rsidRDefault="00043697" w:rsidP="00640BE1">
            <w:pPr>
              <w:pStyle w:val="a3"/>
              <w:jc w:val="center"/>
            </w:pPr>
            <w:r w:rsidRPr="00B84EF8">
              <w:t>0.08</w:t>
            </w:r>
          </w:p>
        </w:tc>
        <w:tc>
          <w:tcPr>
            <w:tcW w:w="1239" w:type="dxa"/>
          </w:tcPr>
          <w:p w14:paraId="2432E8D8" w14:textId="77777777" w:rsidR="00043697" w:rsidRPr="00B84EF8" w:rsidRDefault="00043697" w:rsidP="00640BE1">
            <w:pPr>
              <w:pStyle w:val="a3"/>
              <w:jc w:val="center"/>
            </w:pPr>
            <w:r w:rsidRPr="00B84EF8">
              <w:t>0.08</w:t>
            </w:r>
          </w:p>
        </w:tc>
        <w:tc>
          <w:tcPr>
            <w:tcW w:w="1239" w:type="dxa"/>
          </w:tcPr>
          <w:p w14:paraId="501B6868" w14:textId="77777777" w:rsidR="00043697" w:rsidRPr="00B84EF8" w:rsidRDefault="00043697" w:rsidP="00640BE1">
            <w:pPr>
              <w:pStyle w:val="a3"/>
              <w:jc w:val="center"/>
            </w:pPr>
            <w:r w:rsidRPr="00B84EF8">
              <w:t>0.01</w:t>
            </w:r>
          </w:p>
        </w:tc>
        <w:tc>
          <w:tcPr>
            <w:tcW w:w="1861" w:type="dxa"/>
          </w:tcPr>
          <w:p w14:paraId="468131A0" w14:textId="77777777" w:rsidR="00043697" w:rsidRPr="00B84EF8" w:rsidRDefault="00043697" w:rsidP="00640BE1">
            <w:pPr>
              <w:pStyle w:val="a3"/>
              <w:jc w:val="center"/>
            </w:pPr>
            <w:r w:rsidRPr="00B84EF8">
              <w:t>0.08</w:t>
            </w:r>
          </w:p>
        </w:tc>
      </w:tr>
      <w:tr w:rsidR="00043697" w:rsidRPr="00B84EF8" w14:paraId="27317A78" w14:textId="77777777" w:rsidTr="002B27D8">
        <w:tc>
          <w:tcPr>
            <w:tcW w:w="743" w:type="dxa"/>
          </w:tcPr>
          <w:p w14:paraId="3BF98476" w14:textId="77777777" w:rsidR="00043697" w:rsidRPr="00B84EF8" w:rsidRDefault="00043697" w:rsidP="00640BE1">
            <w:pPr>
              <w:pStyle w:val="a3"/>
              <w:jc w:val="center"/>
            </w:pPr>
            <w:r w:rsidRPr="00B84EF8">
              <w:t>2016</w:t>
            </w:r>
          </w:p>
        </w:tc>
        <w:tc>
          <w:tcPr>
            <w:tcW w:w="1247" w:type="dxa"/>
          </w:tcPr>
          <w:p w14:paraId="6E5B797B" w14:textId="77777777" w:rsidR="00043697" w:rsidRPr="00B84EF8" w:rsidRDefault="00043697" w:rsidP="00640BE1">
            <w:pPr>
              <w:pStyle w:val="a3"/>
              <w:jc w:val="center"/>
            </w:pPr>
            <w:r w:rsidRPr="00B84EF8">
              <w:t>0.60</w:t>
            </w:r>
          </w:p>
        </w:tc>
        <w:tc>
          <w:tcPr>
            <w:tcW w:w="1263" w:type="dxa"/>
          </w:tcPr>
          <w:p w14:paraId="465062FD" w14:textId="77777777" w:rsidR="00043697" w:rsidRPr="00B84EF8" w:rsidRDefault="00043697" w:rsidP="00640BE1">
            <w:pPr>
              <w:pStyle w:val="a3"/>
              <w:jc w:val="center"/>
            </w:pPr>
            <w:r w:rsidRPr="00B84EF8">
              <w:t>0.53</w:t>
            </w:r>
          </w:p>
        </w:tc>
        <w:tc>
          <w:tcPr>
            <w:tcW w:w="1239" w:type="dxa"/>
          </w:tcPr>
          <w:p w14:paraId="14F24EC4" w14:textId="77777777" w:rsidR="00043697" w:rsidRPr="00B84EF8" w:rsidRDefault="00043697" w:rsidP="00640BE1">
            <w:pPr>
              <w:pStyle w:val="a3"/>
              <w:jc w:val="center"/>
            </w:pPr>
            <w:r w:rsidRPr="00B84EF8">
              <w:t>0.06</w:t>
            </w:r>
          </w:p>
        </w:tc>
        <w:tc>
          <w:tcPr>
            <w:tcW w:w="1239" w:type="dxa"/>
          </w:tcPr>
          <w:p w14:paraId="2EC47A4A" w14:textId="77777777" w:rsidR="00043697" w:rsidRPr="00B84EF8" w:rsidRDefault="00043697" w:rsidP="00640BE1">
            <w:pPr>
              <w:pStyle w:val="a3"/>
              <w:jc w:val="center"/>
            </w:pPr>
            <w:r w:rsidRPr="00B84EF8">
              <w:t>0.08</w:t>
            </w:r>
          </w:p>
        </w:tc>
        <w:tc>
          <w:tcPr>
            <w:tcW w:w="1239" w:type="dxa"/>
          </w:tcPr>
          <w:p w14:paraId="42942E7E" w14:textId="77777777" w:rsidR="00043697" w:rsidRPr="00B84EF8" w:rsidRDefault="00043697" w:rsidP="00640BE1">
            <w:pPr>
              <w:pStyle w:val="a3"/>
              <w:jc w:val="center"/>
            </w:pPr>
            <w:r w:rsidRPr="00B84EF8">
              <w:t>0.08</w:t>
            </w:r>
          </w:p>
        </w:tc>
        <w:tc>
          <w:tcPr>
            <w:tcW w:w="1239" w:type="dxa"/>
          </w:tcPr>
          <w:p w14:paraId="49C867CC" w14:textId="77777777" w:rsidR="00043697" w:rsidRPr="00B84EF8" w:rsidRDefault="00043697" w:rsidP="00640BE1">
            <w:pPr>
              <w:pStyle w:val="a3"/>
              <w:jc w:val="center"/>
            </w:pPr>
            <w:r w:rsidRPr="00B84EF8">
              <w:t>0.01</w:t>
            </w:r>
          </w:p>
        </w:tc>
        <w:tc>
          <w:tcPr>
            <w:tcW w:w="1861" w:type="dxa"/>
          </w:tcPr>
          <w:p w14:paraId="2842D6A7" w14:textId="77777777" w:rsidR="00043697" w:rsidRPr="00B84EF8" w:rsidRDefault="00043697" w:rsidP="00640BE1">
            <w:pPr>
              <w:pStyle w:val="a3"/>
              <w:jc w:val="center"/>
            </w:pPr>
            <w:r w:rsidRPr="00B84EF8">
              <w:t>0.08</w:t>
            </w:r>
          </w:p>
        </w:tc>
      </w:tr>
      <w:tr w:rsidR="00043697" w:rsidRPr="00B84EF8" w14:paraId="0A90C76C" w14:textId="77777777" w:rsidTr="002B27D8">
        <w:tc>
          <w:tcPr>
            <w:tcW w:w="743" w:type="dxa"/>
          </w:tcPr>
          <w:p w14:paraId="3034111B" w14:textId="77777777" w:rsidR="00043697" w:rsidRPr="00B84EF8" w:rsidRDefault="00043697" w:rsidP="00640BE1">
            <w:pPr>
              <w:pStyle w:val="a3"/>
              <w:jc w:val="center"/>
            </w:pPr>
            <w:r w:rsidRPr="00B84EF8">
              <w:t>2017</w:t>
            </w:r>
          </w:p>
        </w:tc>
        <w:tc>
          <w:tcPr>
            <w:tcW w:w="1247" w:type="dxa"/>
          </w:tcPr>
          <w:p w14:paraId="58810589" w14:textId="77777777" w:rsidR="00043697" w:rsidRPr="00B84EF8" w:rsidRDefault="00043697" w:rsidP="00640BE1">
            <w:pPr>
              <w:pStyle w:val="a3"/>
              <w:jc w:val="center"/>
            </w:pPr>
            <w:r w:rsidRPr="00B84EF8">
              <w:t>0.58</w:t>
            </w:r>
          </w:p>
        </w:tc>
        <w:tc>
          <w:tcPr>
            <w:tcW w:w="1263" w:type="dxa"/>
          </w:tcPr>
          <w:p w14:paraId="68BE329B" w14:textId="77777777" w:rsidR="00043697" w:rsidRPr="00B84EF8" w:rsidRDefault="00043697" w:rsidP="00640BE1">
            <w:pPr>
              <w:pStyle w:val="a3"/>
              <w:jc w:val="center"/>
            </w:pPr>
            <w:r w:rsidRPr="00B84EF8">
              <w:t>0.50</w:t>
            </w:r>
          </w:p>
        </w:tc>
        <w:tc>
          <w:tcPr>
            <w:tcW w:w="1239" w:type="dxa"/>
          </w:tcPr>
          <w:p w14:paraId="63A85C58" w14:textId="77777777" w:rsidR="00043697" w:rsidRPr="00B84EF8" w:rsidRDefault="00043697" w:rsidP="00640BE1">
            <w:pPr>
              <w:pStyle w:val="a3"/>
              <w:jc w:val="center"/>
            </w:pPr>
            <w:r w:rsidRPr="00B84EF8">
              <w:t>0.06</w:t>
            </w:r>
          </w:p>
        </w:tc>
        <w:tc>
          <w:tcPr>
            <w:tcW w:w="1239" w:type="dxa"/>
          </w:tcPr>
          <w:p w14:paraId="4CEB755C" w14:textId="77777777" w:rsidR="00043697" w:rsidRPr="00B84EF8" w:rsidRDefault="00043697" w:rsidP="00640BE1">
            <w:pPr>
              <w:pStyle w:val="a3"/>
              <w:jc w:val="center"/>
            </w:pPr>
            <w:r w:rsidRPr="00B84EF8">
              <w:t>0.08</w:t>
            </w:r>
          </w:p>
        </w:tc>
        <w:tc>
          <w:tcPr>
            <w:tcW w:w="1239" w:type="dxa"/>
          </w:tcPr>
          <w:p w14:paraId="000218A7" w14:textId="77777777" w:rsidR="00043697" w:rsidRPr="00B84EF8" w:rsidRDefault="00043697" w:rsidP="00640BE1">
            <w:pPr>
              <w:pStyle w:val="a3"/>
              <w:jc w:val="center"/>
            </w:pPr>
            <w:r w:rsidRPr="00B84EF8">
              <w:t>0.08</w:t>
            </w:r>
          </w:p>
        </w:tc>
        <w:tc>
          <w:tcPr>
            <w:tcW w:w="1239" w:type="dxa"/>
          </w:tcPr>
          <w:p w14:paraId="6B78640E" w14:textId="77777777" w:rsidR="00043697" w:rsidRPr="00B84EF8" w:rsidRDefault="00043697" w:rsidP="00640BE1">
            <w:pPr>
              <w:pStyle w:val="a3"/>
              <w:jc w:val="center"/>
            </w:pPr>
            <w:r w:rsidRPr="00B84EF8">
              <w:t>0.01</w:t>
            </w:r>
          </w:p>
        </w:tc>
        <w:tc>
          <w:tcPr>
            <w:tcW w:w="1861" w:type="dxa"/>
          </w:tcPr>
          <w:p w14:paraId="04A35F6F" w14:textId="77777777" w:rsidR="00043697" w:rsidRPr="00B84EF8" w:rsidRDefault="00043697" w:rsidP="00640BE1">
            <w:pPr>
              <w:pStyle w:val="a3"/>
              <w:jc w:val="center"/>
            </w:pPr>
            <w:r w:rsidRPr="00B84EF8">
              <w:t>0.08</w:t>
            </w:r>
          </w:p>
        </w:tc>
      </w:tr>
      <w:tr w:rsidR="00043697" w:rsidRPr="00B84EF8" w14:paraId="63045AA2" w14:textId="77777777" w:rsidTr="002B27D8">
        <w:trPr>
          <w:trHeight w:val="226"/>
        </w:trPr>
        <w:tc>
          <w:tcPr>
            <w:tcW w:w="743" w:type="dxa"/>
          </w:tcPr>
          <w:p w14:paraId="6F3F2025" w14:textId="77777777" w:rsidR="00043697" w:rsidRPr="00B84EF8" w:rsidRDefault="00043697" w:rsidP="00640BE1">
            <w:pPr>
              <w:pStyle w:val="a3"/>
              <w:jc w:val="center"/>
            </w:pPr>
            <w:r w:rsidRPr="00B84EF8">
              <w:t>2018</w:t>
            </w:r>
          </w:p>
        </w:tc>
        <w:tc>
          <w:tcPr>
            <w:tcW w:w="1247" w:type="dxa"/>
          </w:tcPr>
          <w:p w14:paraId="63C12832" w14:textId="77777777" w:rsidR="00043697" w:rsidRPr="00B84EF8" w:rsidRDefault="00043697" w:rsidP="00640BE1">
            <w:pPr>
              <w:pStyle w:val="a3"/>
              <w:jc w:val="center"/>
            </w:pPr>
            <w:r w:rsidRPr="00B84EF8">
              <w:t>0.56</w:t>
            </w:r>
          </w:p>
        </w:tc>
        <w:tc>
          <w:tcPr>
            <w:tcW w:w="1263" w:type="dxa"/>
          </w:tcPr>
          <w:p w14:paraId="042FF0A4" w14:textId="77777777" w:rsidR="00043697" w:rsidRPr="00B84EF8" w:rsidRDefault="00043697" w:rsidP="00640BE1">
            <w:pPr>
              <w:pStyle w:val="a3"/>
              <w:jc w:val="center"/>
            </w:pPr>
            <w:r w:rsidRPr="00B84EF8">
              <w:t>0.47</w:t>
            </w:r>
          </w:p>
        </w:tc>
        <w:tc>
          <w:tcPr>
            <w:tcW w:w="1239" w:type="dxa"/>
          </w:tcPr>
          <w:p w14:paraId="3E2F7B53" w14:textId="77777777" w:rsidR="00043697" w:rsidRPr="00B84EF8" w:rsidRDefault="00043697" w:rsidP="00640BE1">
            <w:pPr>
              <w:pStyle w:val="a3"/>
              <w:jc w:val="center"/>
            </w:pPr>
            <w:r w:rsidRPr="00B84EF8">
              <w:t>0.05</w:t>
            </w:r>
          </w:p>
        </w:tc>
        <w:tc>
          <w:tcPr>
            <w:tcW w:w="1239" w:type="dxa"/>
          </w:tcPr>
          <w:p w14:paraId="3E9AFE63" w14:textId="77777777" w:rsidR="00043697" w:rsidRPr="00B84EF8" w:rsidRDefault="00043697" w:rsidP="00640BE1">
            <w:pPr>
              <w:pStyle w:val="a3"/>
              <w:jc w:val="center"/>
            </w:pPr>
            <w:r w:rsidRPr="00B84EF8">
              <w:t>0.07</w:t>
            </w:r>
          </w:p>
        </w:tc>
        <w:tc>
          <w:tcPr>
            <w:tcW w:w="1239" w:type="dxa"/>
          </w:tcPr>
          <w:p w14:paraId="5B1DF0A2" w14:textId="77777777" w:rsidR="00043697" w:rsidRPr="00B84EF8" w:rsidRDefault="00043697" w:rsidP="00640BE1">
            <w:pPr>
              <w:pStyle w:val="a3"/>
              <w:jc w:val="center"/>
            </w:pPr>
            <w:r w:rsidRPr="00B84EF8">
              <w:t>0.07</w:t>
            </w:r>
          </w:p>
        </w:tc>
        <w:tc>
          <w:tcPr>
            <w:tcW w:w="1239" w:type="dxa"/>
          </w:tcPr>
          <w:p w14:paraId="26A55A6F" w14:textId="77777777" w:rsidR="00043697" w:rsidRPr="00B84EF8" w:rsidRDefault="00043697" w:rsidP="00640BE1">
            <w:pPr>
              <w:pStyle w:val="a3"/>
              <w:jc w:val="center"/>
            </w:pPr>
            <w:r w:rsidRPr="00B84EF8">
              <w:t>0.01</w:t>
            </w:r>
          </w:p>
        </w:tc>
        <w:tc>
          <w:tcPr>
            <w:tcW w:w="1861" w:type="dxa"/>
          </w:tcPr>
          <w:p w14:paraId="308B1729" w14:textId="77777777" w:rsidR="00043697" w:rsidRPr="00B84EF8" w:rsidRDefault="00043697" w:rsidP="00640BE1">
            <w:pPr>
              <w:pStyle w:val="a3"/>
              <w:jc w:val="center"/>
            </w:pPr>
            <w:r w:rsidRPr="00B84EF8">
              <w:t>0.09</w:t>
            </w:r>
          </w:p>
        </w:tc>
      </w:tr>
    </w:tbl>
    <w:p w14:paraId="3DE1A963" w14:textId="77777777" w:rsidR="002E403C" w:rsidRPr="00640BE1" w:rsidRDefault="002E403C" w:rsidP="002E403C">
      <w:pPr>
        <w:pStyle w:val="a3"/>
        <w:jc w:val="both"/>
        <w:rPr>
          <w:i/>
        </w:rPr>
      </w:pPr>
      <w:r>
        <w:rPr>
          <w:i/>
        </w:rPr>
        <w:t>Источник: [5]</w:t>
      </w:r>
    </w:p>
    <w:p w14:paraId="751093EF" w14:textId="2CB0573B" w:rsidR="0068084C" w:rsidRDefault="00636B4A" w:rsidP="00636B4A">
      <w:pPr>
        <w:pStyle w:val="a3"/>
        <w:jc w:val="center"/>
        <w:rPr>
          <w:b/>
          <w:sz w:val="32"/>
          <w:szCs w:val="32"/>
          <w:vertAlign w:val="superscript"/>
        </w:rPr>
      </w:pPr>
      <w:r>
        <w:rPr>
          <w:b/>
        </w:rPr>
        <w:t xml:space="preserve">                                                           </w:t>
      </w:r>
      <w:r w:rsidR="0068084C">
        <w:rPr>
          <w:b/>
        </w:rPr>
        <w:t>Общее потребление энергии</w:t>
      </w:r>
      <w:r w:rsidR="0068084C" w:rsidRPr="00035F51">
        <w:rPr>
          <w:b/>
        </w:rPr>
        <w:t xml:space="preserve"> </w:t>
      </w:r>
      <w:r>
        <w:rPr>
          <w:b/>
        </w:rPr>
        <w:t xml:space="preserve">  </w:t>
      </w:r>
      <w:r w:rsidR="00D22D45">
        <w:rPr>
          <w:b/>
        </w:rPr>
        <w:t xml:space="preserve">                  </w:t>
      </w:r>
      <w:r>
        <w:rPr>
          <w:b/>
        </w:rPr>
        <w:t xml:space="preserve">  </w:t>
      </w:r>
      <w:r w:rsidRPr="00636B4A">
        <w:rPr>
          <w:b/>
          <w:sz w:val="32"/>
          <w:szCs w:val="32"/>
          <w:vertAlign w:val="superscript"/>
        </w:rPr>
        <w:t>Таблица 3</w:t>
      </w:r>
    </w:p>
    <w:p w14:paraId="75132E25" w14:textId="5F489BBE" w:rsidR="00636B4A" w:rsidRPr="00636B4A" w:rsidRDefault="00636B4A" w:rsidP="00636B4A">
      <w:pPr>
        <w:pStyle w:val="a3"/>
        <w:jc w:val="center"/>
        <w:rPr>
          <w:b/>
          <w:sz w:val="32"/>
          <w:szCs w:val="32"/>
          <w:vertAlign w:val="superscript"/>
        </w:rPr>
      </w:pPr>
      <w:r>
        <w:rPr>
          <w:b/>
        </w:rPr>
        <w:t xml:space="preserve">                                                          Total energy consumption                   </w:t>
      </w:r>
      <w:r w:rsidR="00D22D45">
        <w:rPr>
          <w:b/>
        </w:rPr>
        <w:t xml:space="preserve">       </w:t>
      </w:r>
      <w:r>
        <w:rPr>
          <w:b/>
        </w:rPr>
        <w:t xml:space="preserve"> </w:t>
      </w:r>
      <w:r w:rsidRPr="00636B4A">
        <w:rPr>
          <w:b/>
          <w:sz w:val="32"/>
          <w:szCs w:val="32"/>
          <w:vertAlign w:val="superscript"/>
        </w:rPr>
        <w:t>Table 3</w:t>
      </w:r>
    </w:p>
    <w:tbl>
      <w:tblPr>
        <w:tblStyle w:val="ab"/>
        <w:tblW w:w="0" w:type="auto"/>
        <w:tblLook w:val="04A0" w:firstRow="1" w:lastRow="0" w:firstColumn="1" w:lastColumn="0" w:noHBand="0" w:noVBand="1"/>
      </w:tblPr>
      <w:tblGrid>
        <w:gridCol w:w="1556"/>
        <w:gridCol w:w="1556"/>
        <w:gridCol w:w="1556"/>
        <w:gridCol w:w="1557"/>
        <w:gridCol w:w="1557"/>
        <w:gridCol w:w="1557"/>
      </w:tblGrid>
      <w:tr w:rsidR="0068084C" w14:paraId="4B492599" w14:textId="77777777" w:rsidTr="002B27D8">
        <w:tc>
          <w:tcPr>
            <w:tcW w:w="1556" w:type="dxa"/>
            <w:vMerge w:val="restart"/>
          </w:tcPr>
          <w:p w14:paraId="18082406" w14:textId="77777777" w:rsidR="0068084C" w:rsidRDefault="0068084C" w:rsidP="00640BE1">
            <w:pPr>
              <w:pStyle w:val="a3"/>
              <w:jc w:val="center"/>
            </w:pPr>
          </w:p>
        </w:tc>
        <w:tc>
          <w:tcPr>
            <w:tcW w:w="1556" w:type="dxa"/>
            <w:vMerge w:val="restart"/>
          </w:tcPr>
          <w:p w14:paraId="0B5AB8C0" w14:textId="40CF8AFE" w:rsidR="0068084C" w:rsidRDefault="0068084C" w:rsidP="00640BE1">
            <w:pPr>
              <w:pStyle w:val="a3"/>
              <w:jc w:val="center"/>
            </w:pPr>
            <w:r>
              <w:t xml:space="preserve">Общее потребление энергии (10 000 </w:t>
            </w:r>
            <w:r w:rsidR="007C1D4E" w:rsidRPr="00640BE1">
              <w:t>т.у.т.</w:t>
            </w:r>
            <w:r>
              <w:t>)</w:t>
            </w:r>
          </w:p>
        </w:tc>
        <w:tc>
          <w:tcPr>
            <w:tcW w:w="6227" w:type="dxa"/>
            <w:gridSpan w:val="4"/>
          </w:tcPr>
          <w:p w14:paraId="326E4490" w14:textId="1097A790" w:rsidR="0068084C" w:rsidRDefault="00775FB7" w:rsidP="00640BE1">
            <w:pPr>
              <w:pStyle w:val="a3"/>
              <w:jc w:val="center"/>
            </w:pPr>
            <w:r w:rsidRPr="00775FB7">
              <w:t>Доля</w:t>
            </w:r>
            <w:r w:rsidR="0068084C" w:rsidRPr="00775FB7">
              <w:t xml:space="preserve"> </w:t>
            </w:r>
            <w:r w:rsidRPr="00775FB7">
              <w:t>в общем потреблении</w:t>
            </w:r>
            <w:r w:rsidR="0068084C" w:rsidRPr="00775FB7">
              <w:t xml:space="preserve"> энергии</w:t>
            </w:r>
            <w:r w:rsidR="0068084C">
              <w:t xml:space="preserve"> (%)</w:t>
            </w:r>
          </w:p>
        </w:tc>
      </w:tr>
      <w:tr w:rsidR="0068084C" w14:paraId="71D62EC5" w14:textId="77777777" w:rsidTr="002B27D8">
        <w:tc>
          <w:tcPr>
            <w:tcW w:w="1556" w:type="dxa"/>
            <w:vMerge/>
          </w:tcPr>
          <w:p w14:paraId="50343DE4" w14:textId="77777777" w:rsidR="0068084C" w:rsidRDefault="0068084C" w:rsidP="00640BE1">
            <w:pPr>
              <w:pStyle w:val="a3"/>
              <w:jc w:val="center"/>
            </w:pPr>
          </w:p>
        </w:tc>
        <w:tc>
          <w:tcPr>
            <w:tcW w:w="1556" w:type="dxa"/>
            <w:vMerge/>
          </w:tcPr>
          <w:p w14:paraId="7F372F76" w14:textId="77777777" w:rsidR="0068084C" w:rsidRDefault="0068084C" w:rsidP="00640BE1">
            <w:pPr>
              <w:pStyle w:val="a3"/>
              <w:jc w:val="center"/>
            </w:pPr>
          </w:p>
        </w:tc>
        <w:tc>
          <w:tcPr>
            <w:tcW w:w="1556" w:type="dxa"/>
          </w:tcPr>
          <w:p w14:paraId="0324C7B1" w14:textId="77777777" w:rsidR="0068084C" w:rsidRDefault="0068084C" w:rsidP="00640BE1">
            <w:pPr>
              <w:pStyle w:val="a3"/>
              <w:jc w:val="center"/>
            </w:pPr>
            <w:r>
              <w:t>Уголь</w:t>
            </w:r>
          </w:p>
        </w:tc>
        <w:tc>
          <w:tcPr>
            <w:tcW w:w="1557" w:type="dxa"/>
          </w:tcPr>
          <w:p w14:paraId="350D94AA" w14:textId="77777777" w:rsidR="0068084C" w:rsidRDefault="0068084C" w:rsidP="00640BE1">
            <w:pPr>
              <w:pStyle w:val="a3"/>
              <w:jc w:val="center"/>
            </w:pPr>
            <w:r>
              <w:t>Нефть</w:t>
            </w:r>
          </w:p>
        </w:tc>
        <w:tc>
          <w:tcPr>
            <w:tcW w:w="1557" w:type="dxa"/>
          </w:tcPr>
          <w:p w14:paraId="650CFC8C" w14:textId="77777777" w:rsidR="0068084C" w:rsidRDefault="0068084C" w:rsidP="00640BE1">
            <w:pPr>
              <w:pStyle w:val="a3"/>
              <w:jc w:val="center"/>
            </w:pPr>
            <w:r>
              <w:t>Газ</w:t>
            </w:r>
          </w:p>
        </w:tc>
        <w:tc>
          <w:tcPr>
            <w:tcW w:w="1557" w:type="dxa"/>
          </w:tcPr>
          <w:p w14:paraId="3E417FF2" w14:textId="795EA6C7" w:rsidR="0068084C" w:rsidRDefault="00775FB7" w:rsidP="00640BE1">
            <w:pPr>
              <w:pStyle w:val="a3"/>
              <w:jc w:val="center"/>
            </w:pPr>
            <w:r>
              <w:t>Первичная энергия</w:t>
            </w:r>
            <w:r w:rsidR="0068084C">
              <w:t xml:space="preserve"> и другая энергия</w:t>
            </w:r>
          </w:p>
        </w:tc>
      </w:tr>
      <w:tr w:rsidR="0068084C" w14:paraId="4A197481" w14:textId="77777777" w:rsidTr="002B27D8">
        <w:tc>
          <w:tcPr>
            <w:tcW w:w="1556" w:type="dxa"/>
          </w:tcPr>
          <w:p w14:paraId="40CD1CD3" w14:textId="77777777" w:rsidR="0068084C" w:rsidRDefault="0068084C" w:rsidP="00640BE1">
            <w:pPr>
              <w:pStyle w:val="a3"/>
              <w:jc w:val="center"/>
            </w:pPr>
            <w:r>
              <w:t>2016</w:t>
            </w:r>
          </w:p>
        </w:tc>
        <w:tc>
          <w:tcPr>
            <w:tcW w:w="1556" w:type="dxa"/>
          </w:tcPr>
          <w:p w14:paraId="17D79BCD" w14:textId="77777777" w:rsidR="0068084C" w:rsidRDefault="0068084C" w:rsidP="00640BE1">
            <w:pPr>
              <w:pStyle w:val="a3"/>
              <w:jc w:val="center"/>
            </w:pPr>
            <w:r>
              <w:t>441492</w:t>
            </w:r>
          </w:p>
        </w:tc>
        <w:tc>
          <w:tcPr>
            <w:tcW w:w="1556" w:type="dxa"/>
          </w:tcPr>
          <w:p w14:paraId="4580D672" w14:textId="77777777" w:rsidR="0068084C" w:rsidRDefault="0068084C" w:rsidP="00640BE1">
            <w:pPr>
              <w:pStyle w:val="a3"/>
              <w:jc w:val="center"/>
            </w:pPr>
            <w:r>
              <w:t>62.2</w:t>
            </w:r>
          </w:p>
        </w:tc>
        <w:tc>
          <w:tcPr>
            <w:tcW w:w="1557" w:type="dxa"/>
          </w:tcPr>
          <w:p w14:paraId="7AAFBE7C" w14:textId="77777777" w:rsidR="0068084C" w:rsidRDefault="0068084C" w:rsidP="00640BE1">
            <w:pPr>
              <w:pStyle w:val="a3"/>
              <w:jc w:val="center"/>
            </w:pPr>
            <w:r>
              <w:t>18.7</w:t>
            </w:r>
          </w:p>
        </w:tc>
        <w:tc>
          <w:tcPr>
            <w:tcW w:w="1557" w:type="dxa"/>
          </w:tcPr>
          <w:p w14:paraId="432B8A8A" w14:textId="77777777" w:rsidR="0068084C" w:rsidRDefault="0068084C" w:rsidP="00640BE1">
            <w:pPr>
              <w:pStyle w:val="a3"/>
              <w:jc w:val="center"/>
            </w:pPr>
            <w:r>
              <w:t>6.1</w:t>
            </w:r>
          </w:p>
        </w:tc>
        <w:tc>
          <w:tcPr>
            <w:tcW w:w="1557" w:type="dxa"/>
          </w:tcPr>
          <w:p w14:paraId="786EB4C2" w14:textId="77777777" w:rsidR="0068084C" w:rsidRDefault="0068084C" w:rsidP="00640BE1">
            <w:pPr>
              <w:pStyle w:val="a3"/>
              <w:jc w:val="center"/>
            </w:pPr>
            <w:r>
              <w:t>13.0</w:t>
            </w:r>
          </w:p>
        </w:tc>
      </w:tr>
      <w:tr w:rsidR="0068084C" w14:paraId="74098537" w14:textId="77777777" w:rsidTr="002B27D8">
        <w:tc>
          <w:tcPr>
            <w:tcW w:w="1556" w:type="dxa"/>
          </w:tcPr>
          <w:p w14:paraId="4D9766C8" w14:textId="77777777" w:rsidR="0068084C" w:rsidRDefault="0068084C" w:rsidP="00640BE1">
            <w:pPr>
              <w:pStyle w:val="a3"/>
              <w:jc w:val="center"/>
            </w:pPr>
            <w:r>
              <w:t>2017</w:t>
            </w:r>
          </w:p>
        </w:tc>
        <w:tc>
          <w:tcPr>
            <w:tcW w:w="1556" w:type="dxa"/>
          </w:tcPr>
          <w:p w14:paraId="444EF267" w14:textId="77777777" w:rsidR="0068084C" w:rsidRDefault="0068084C" w:rsidP="00640BE1">
            <w:pPr>
              <w:pStyle w:val="a3"/>
              <w:jc w:val="center"/>
            </w:pPr>
            <w:r>
              <w:t>455827</w:t>
            </w:r>
          </w:p>
        </w:tc>
        <w:tc>
          <w:tcPr>
            <w:tcW w:w="1556" w:type="dxa"/>
          </w:tcPr>
          <w:p w14:paraId="23B63AE7" w14:textId="77777777" w:rsidR="0068084C" w:rsidRDefault="0068084C" w:rsidP="00640BE1">
            <w:pPr>
              <w:pStyle w:val="a3"/>
              <w:jc w:val="center"/>
            </w:pPr>
            <w:r>
              <w:t>60.6</w:t>
            </w:r>
          </w:p>
        </w:tc>
        <w:tc>
          <w:tcPr>
            <w:tcW w:w="1557" w:type="dxa"/>
          </w:tcPr>
          <w:p w14:paraId="20FE6F76" w14:textId="77777777" w:rsidR="0068084C" w:rsidRDefault="0068084C" w:rsidP="00640BE1">
            <w:pPr>
              <w:pStyle w:val="a3"/>
              <w:jc w:val="center"/>
            </w:pPr>
            <w:r>
              <w:t>18.9</w:t>
            </w:r>
          </w:p>
        </w:tc>
        <w:tc>
          <w:tcPr>
            <w:tcW w:w="1557" w:type="dxa"/>
          </w:tcPr>
          <w:p w14:paraId="5C06B68A" w14:textId="77777777" w:rsidR="0068084C" w:rsidRDefault="0068084C" w:rsidP="00640BE1">
            <w:pPr>
              <w:pStyle w:val="a3"/>
              <w:jc w:val="center"/>
            </w:pPr>
            <w:r>
              <w:t>6.9</w:t>
            </w:r>
          </w:p>
        </w:tc>
        <w:tc>
          <w:tcPr>
            <w:tcW w:w="1557" w:type="dxa"/>
          </w:tcPr>
          <w:p w14:paraId="0895C093" w14:textId="77777777" w:rsidR="0068084C" w:rsidRDefault="0068084C" w:rsidP="00640BE1">
            <w:pPr>
              <w:pStyle w:val="a3"/>
              <w:jc w:val="center"/>
            </w:pPr>
            <w:r>
              <w:t>13.6</w:t>
            </w:r>
          </w:p>
        </w:tc>
      </w:tr>
      <w:tr w:rsidR="0068084C" w14:paraId="422E88BB" w14:textId="77777777" w:rsidTr="002B27D8">
        <w:tc>
          <w:tcPr>
            <w:tcW w:w="1556" w:type="dxa"/>
          </w:tcPr>
          <w:p w14:paraId="2C488991" w14:textId="77777777" w:rsidR="0068084C" w:rsidRDefault="0068084C" w:rsidP="00640BE1">
            <w:pPr>
              <w:pStyle w:val="a3"/>
              <w:jc w:val="center"/>
            </w:pPr>
            <w:r>
              <w:t>2018</w:t>
            </w:r>
          </w:p>
        </w:tc>
        <w:tc>
          <w:tcPr>
            <w:tcW w:w="1556" w:type="dxa"/>
          </w:tcPr>
          <w:p w14:paraId="75D23971" w14:textId="77777777" w:rsidR="0068084C" w:rsidRDefault="0068084C" w:rsidP="00640BE1">
            <w:pPr>
              <w:pStyle w:val="a3"/>
              <w:jc w:val="center"/>
            </w:pPr>
            <w:r>
              <w:t>471925</w:t>
            </w:r>
          </w:p>
        </w:tc>
        <w:tc>
          <w:tcPr>
            <w:tcW w:w="1556" w:type="dxa"/>
          </w:tcPr>
          <w:p w14:paraId="1CF2A5FB" w14:textId="77777777" w:rsidR="0068084C" w:rsidRDefault="0068084C" w:rsidP="00640BE1">
            <w:pPr>
              <w:pStyle w:val="a3"/>
              <w:jc w:val="center"/>
            </w:pPr>
            <w:r>
              <w:t>59.0</w:t>
            </w:r>
          </w:p>
        </w:tc>
        <w:tc>
          <w:tcPr>
            <w:tcW w:w="1557" w:type="dxa"/>
          </w:tcPr>
          <w:p w14:paraId="23D64076" w14:textId="77777777" w:rsidR="0068084C" w:rsidRDefault="0068084C" w:rsidP="00640BE1">
            <w:pPr>
              <w:pStyle w:val="a3"/>
              <w:jc w:val="center"/>
            </w:pPr>
            <w:r>
              <w:t>18.9</w:t>
            </w:r>
          </w:p>
        </w:tc>
        <w:tc>
          <w:tcPr>
            <w:tcW w:w="1557" w:type="dxa"/>
          </w:tcPr>
          <w:p w14:paraId="6D73C422" w14:textId="77777777" w:rsidR="0068084C" w:rsidRDefault="0068084C" w:rsidP="00640BE1">
            <w:pPr>
              <w:pStyle w:val="a3"/>
              <w:jc w:val="center"/>
            </w:pPr>
            <w:r>
              <w:t>7.6</w:t>
            </w:r>
          </w:p>
        </w:tc>
        <w:tc>
          <w:tcPr>
            <w:tcW w:w="1557" w:type="dxa"/>
          </w:tcPr>
          <w:p w14:paraId="0D384151" w14:textId="77777777" w:rsidR="0068084C" w:rsidRDefault="0068084C" w:rsidP="00640BE1">
            <w:pPr>
              <w:pStyle w:val="a3"/>
              <w:jc w:val="center"/>
            </w:pPr>
            <w:r>
              <w:t>14.5</w:t>
            </w:r>
          </w:p>
        </w:tc>
      </w:tr>
      <w:tr w:rsidR="0068084C" w14:paraId="1309C0FB" w14:textId="77777777" w:rsidTr="002B27D8">
        <w:tc>
          <w:tcPr>
            <w:tcW w:w="1556" w:type="dxa"/>
          </w:tcPr>
          <w:p w14:paraId="0E4052A4" w14:textId="77777777" w:rsidR="0068084C" w:rsidRDefault="0068084C" w:rsidP="00640BE1">
            <w:pPr>
              <w:pStyle w:val="a3"/>
              <w:jc w:val="center"/>
            </w:pPr>
            <w:r>
              <w:t>2019</w:t>
            </w:r>
          </w:p>
        </w:tc>
        <w:tc>
          <w:tcPr>
            <w:tcW w:w="1556" w:type="dxa"/>
          </w:tcPr>
          <w:p w14:paraId="54AF15D9" w14:textId="77777777" w:rsidR="0068084C" w:rsidRDefault="0068084C" w:rsidP="00640BE1">
            <w:pPr>
              <w:pStyle w:val="a3"/>
              <w:jc w:val="center"/>
            </w:pPr>
            <w:r>
              <w:t>487000</w:t>
            </w:r>
          </w:p>
        </w:tc>
        <w:tc>
          <w:tcPr>
            <w:tcW w:w="1556" w:type="dxa"/>
          </w:tcPr>
          <w:p w14:paraId="5BE60F7B" w14:textId="77777777" w:rsidR="0068084C" w:rsidRDefault="0068084C" w:rsidP="00640BE1">
            <w:pPr>
              <w:pStyle w:val="a3"/>
              <w:jc w:val="center"/>
            </w:pPr>
            <w:r>
              <w:t>57.7</w:t>
            </w:r>
          </w:p>
        </w:tc>
        <w:tc>
          <w:tcPr>
            <w:tcW w:w="1557" w:type="dxa"/>
          </w:tcPr>
          <w:p w14:paraId="23ECBFDF" w14:textId="77777777" w:rsidR="0068084C" w:rsidRDefault="0068084C" w:rsidP="00640BE1">
            <w:pPr>
              <w:pStyle w:val="a3"/>
              <w:jc w:val="center"/>
            </w:pPr>
            <w:r>
              <w:t>18.9</w:t>
            </w:r>
          </w:p>
        </w:tc>
        <w:tc>
          <w:tcPr>
            <w:tcW w:w="1557" w:type="dxa"/>
          </w:tcPr>
          <w:p w14:paraId="4C898DDA" w14:textId="77777777" w:rsidR="0068084C" w:rsidRDefault="0068084C" w:rsidP="00640BE1">
            <w:pPr>
              <w:pStyle w:val="a3"/>
              <w:jc w:val="center"/>
            </w:pPr>
            <w:r>
              <w:t>8.1</w:t>
            </w:r>
          </w:p>
        </w:tc>
        <w:tc>
          <w:tcPr>
            <w:tcW w:w="1557" w:type="dxa"/>
          </w:tcPr>
          <w:p w14:paraId="5413B4BE" w14:textId="77777777" w:rsidR="0068084C" w:rsidRDefault="0068084C" w:rsidP="00640BE1">
            <w:pPr>
              <w:pStyle w:val="a3"/>
              <w:jc w:val="center"/>
            </w:pPr>
            <w:r>
              <w:t>15.3</w:t>
            </w:r>
          </w:p>
        </w:tc>
      </w:tr>
    </w:tbl>
    <w:p w14:paraId="152C1508" w14:textId="77777777" w:rsidR="002E403C" w:rsidRPr="00640BE1" w:rsidRDefault="002E403C" w:rsidP="002E403C">
      <w:pPr>
        <w:pStyle w:val="a3"/>
        <w:jc w:val="both"/>
        <w:rPr>
          <w:i/>
        </w:rPr>
      </w:pPr>
      <w:r>
        <w:rPr>
          <w:i/>
        </w:rPr>
        <w:t>Источник: [5]</w:t>
      </w:r>
    </w:p>
    <w:p w14:paraId="5B7B20A2" w14:textId="73BEB4B6" w:rsidR="0068084C" w:rsidRDefault="00D22D45" w:rsidP="00D22D45">
      <w:pPr>
        <w:pStyle w:val="a3"/>
        <w:jc w:val="center"/>
        <w:rPr>
          <w:b/>
          <w:sz w:val="32"/>
          <w:szCs w:val="32"/>
          <w:vertAlign w:val="superscript"/>
        </w:rPr>
      </w:pPr>
      <w:r>
        <w:rPr>
          <w:b/>
        </w:rPr>
        <w:t xml:space="preserve">                             </w:t>
      </w:r>
      <w:r w:rsidR="00C611D6">
        <w:rPr>
          <w:b/>
        </w:rPr>
        <w:t xml:space="preserve"> </w:t>
      </w:r>
      <w:r>
        <w:rPr>
          <w:b/>
        </w:rPr>
        <w:t xml:space="preserve"> </w:t>
      </w:r>
      <w:r w:rsidR="0068084C">
        <w:rPr>
          <w:b/>
        </w:rPr>
        <w:t>Секторальное потребление энергии</w:t>
      </w:r>
      <w:r w:rsidR="0068084C" w:rsidRPr="00035F51">
        <w:rPr>
          <w:b/>
        </w:rPr>
        <w:t xml:space="preserve"> </w:t>
      </w:r>
      <w:r w:rsidR="006F53CA">
        <w:rPr>
          <w:b/>
        </w:rPr>
        <w:t xml:space="preserve">(10 000 </w:t>
      </w:r>
      <w:r w:rsidR="006F53CA" w:rsidRPr="00640BE1">
        <w:rPr>
          <w:b/>
        </w:rPr>
        <w:t>т.у.т.</w:t>
      </w:r>
      <w:r w:rsidR="0068084C" w:rsidRPr="006F53CA">
        <w:rPr>
          <w:b/>
        </w:rPr>
        <w:t>)</w:t>
      </w:r>
      <w:r>
        <w:rPr>
          <w:b/>
        </w:rPr>
        <w:t xml:space="preserve">      </w:t>
      </w:r>
      <w:r w:rsidR="00C611D6">
        <w:rPr>
          <w:b/>
        </w:rPr>
        <w:t xml:space="preserve">    </w:t>
      </w:r>
      <w:r w:rsidR="0043397D">
        <w:rPr>
          <w:b/>
          <w:sz w:val="32"/>
          <w:szCs w:val="32"/>
          <w:vertAlign w:val="superscript"/>
        </w:rPr>
        <w:t>Таблица 4</w:t>
      </w:r>
    </w:p>
    <w:p w14:paraId="3CF505E6" w14:textId="228B9921" w:rsidR="00D22D45" w:rsidRPr="00C611D6" w:rsidRDefault="00C611D6" w:rsidP="00D22D45">
      <w:pPr>
        <w:pStyle w:val="a3"/>
        <w:jc w:val="center"/>
        <w:rPr>
          <w:b/>
          <w:lang w:val="en-US"/>
        </w:rPr>
      </w:pPr>
      <w:r>
        <w:rPr>
          <w:b/>
        </w:rPr>
        <w:t xml:space="preserve">                 Energy consumption by economic sectors (</w:t>
      </w:r>
      <w:r>
        <w:rPr>
          <w:b/>
          <w:lang w:val="en-US"/>
        </w:rPr>
        <w:t xml:space="preserve">tonne of oil equivalent)     </w:t>
      </w:r>
      <w:r w:rsidRPr="00C611D6">
        <w:rPr>
          <w:b/>
          <w:sz w:val="32"/>
          <w:szCs w:val="32"/>
          <w:vertAlign w:val="superscript"/>
          <w:lang w:val="en-US"/>
        </w:rPr>
        <w:t>Table 4</w:t>
      </w:r>
    </w:p>
    <w:tbl>
      <w:tblPr>
        <w:tblStyle w:val="ab"/>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52"/>
        <w:gridCol w:w="1357"/>
        <w:gridCol w:w="1275"/>
        <w:gridCol w:w="1418"/>
        <w:gridCol w:w="1216"/>
      </w:tblGrid>
      <w:tr w:rsidR="0068084C" w14:paraId="48436C32" w14:textId="77777777" w:rsidTr="002B27D8">
        <w:trPr>
          <w:trHeight w:val="645"/>
        </w:trPr>
        <w:tc>
          <w:tcPr>
            <w:tcW w:w="2052" w:type="dxa"/>
            <w:tcBorders>
              <w:top w:val="single" w:sz="4" w:space="0" w:color="auto"/>
              <w:left w:val="single" w:sz="4" w:space="0" w:color="auto"/>
              <w:bottom w:val="single" w:sz="4" w:space="0" w:color="auto"/>
              <w:right w:val="single" w:sz="4" w:space="0" w:color="auto"/>
            </w:tcBorders>
          </w:tcPr>
          <w:p w14:paraId="1D9FC14B" w14:textId="77777777" w:rsidR="0068084C" w:rsidRDefault="0068084C" w:rsidP="00640BE1">
            <w:pPr>
              <w:pStyle w:val="a3"/>
              <w:jc w:val="center"/>
            </w:pPr>
          </w:p>
        </w:tc>
        <w:tc>
          <w:tcPr>
            <w:tcW w:w="1357" w:type="dxa"/>
            <w:tcBorders>
              <w:top w:val="single" w:sz="4" w:space="0" w:color="auto"/>
              <w:left w:val="single" w:sz="4" w:space="0" w:color="auto"/>
              <w:bottom w:val="single" w:sz="4" w:space="0" w:color="auto"/>
              <w:right w:val="single" w:sz="4" w:space="0" w:color="auto"/>
            </w:tcBorders>
          </w:tcPr>
          <w:p w14:paraId="14C716F1" w14:textId="77777777" w:rsidR="0068084C" w:rsidRDefault="0068084C" w:rsidP="00640BE1">
            <w:pPr>
              <w:pStyle w:val="a3"/>
              <w:jc w:val="center"/>
            </w:pPr>
            <w:r>
              <w:t>2015</w:t>
            </w:r>
          </w:p>
        </w:tc>
        <w:tc>
          <w:tcPr>
            <w:tcW w:w="1275" w:type="dxa"/>
            <w:tcBorders>
              <w:top w:val="single" w:sz="4" w:space="0" w:color="auto"/>
              <w:left w:val="single" w:sz="4" w:space="0" w:color="auto"/>
              <w:bottom w:val="single" w:sz="4" w:space="0" w:color="auto"/>
              <w:right w:val="single" w:sz="4" w:space="0" w:color="auto"/>
            </w:tcBorders>
          </w:tcPr>
          <w:p w14:paraId="34C7D3F9" w14:textId="77777777" w:rsidR="0068084C" w:rsidRDefault="0068084C" w:rsidP="00640BE1">
            <w:pPr>
              <w:pStyle w:val="a3"/>
              <w:jc w:val="center"/>
            </w:pPr>
            <w:r>
              <w:t>2016</w:t>
            </w:r>
          </w:p>
        </w:tc>
        <w:tc>
          <w:tcPr>
            <w:tcW w:w="1418" w:type="dxa"/>
            <w:tcBorders>
              <w:top w:val="single" w:sz="4" w:space="0" w:color="auto"/>
              <w:left w:val="single" w:sz="4" w:space="0" w:color="auto"/>
              <w:bottom w:val="single" w:sz="4" w:space="0" w:color="auto"/>
              <w:right w:val="single" w:sz="4" w:space="0" w:color="auto"/>
            </w:tcBorders>
          </w:tcPr>
          <w:p w14:paraId="711BC8AD" w14:textId="77777777" w:rsidR="0068084C" w:rsidRDefault="0068084C" w:rsidP="00640BE1">
            <w:pPr>
              <w:pStyle w:val="a3"/>
              <w:jc w:val="center"/>
            </w:pPr>
            <w:r>
              <w:t>2017</w:t>
            </w:r>
          </w:p>
        </w:tc>
        <w:tc>
          <w:tcPr>
            <w:tcW w:w="1216" w:type="dxa"/>
            <w:tcBorders>
              <w:top w:val="single" w:sz="4" w:space="0" w:color="auto"/>
              <w:left w:val="single" w:sz="4" w:space="0" w:color="auto"/>
              <w:bottom w:val="single" w:sz="4" w:space="0" w:color="auto"/>
              <w:right w:val="single" w:sz="4" w:space="0" w:color="auto"/>
            </w:tcBorders>
          </w:tcPr>
          <w:p w14:paraId="51EE9127" w14:textId="77777777" w:rsidR="0068084C" w:rsidRDefault="0068084C" w:rsidP="00640BE1">
            <w:pPr>
              <w:pStyle w:val="a3"/>
              <w:jc w:val="center"/>
            </w:pPr>
            <w:r>
              <w:t>2018</w:t>
            </w:r>
          </w:p>
        </w:tc>
      </w:tr>
      <w:tr w:rsidR="0068084C" w14:paraId="09E70AA1" w14:textId="77777777" w:rsidTr="002B27D8">
        <w:tc>
          <w:tcPr>
            <w:tcW w:w="2052" w:type="dxa"/>
            <w:tcBorders>
              <w:top w:val="single" w:sz="4" w:space="0" w:color="auto"/>
              <w:left w:val="single" w:sz="4" w:space="0" w:color="auto"/>
              <w:bottom w:val="single" w:sz="4" w:space="0" w:color="auto"/>
              <w:right w:val="single" w:sz="4" w:space="0" w:color="auto"/>
            </w:tcBorders>
          </w:tcPr>
          <w:p w14:paraId="5D9A8AA3" w14:textId="77777777" w:rsidR="0068084C" w:rsidRDefault="0068084C" w:rsidP="00640BE1">
            <w:pPr>
              <w:pStyle w:val="a3"/>
            </w:pPr>
            <w:r>
              <w:t>Сельское хозяйство</w:t>
            </w:r>
          </w:p>
        </w:tc>
        <w:tc>
          <w:tcPr>
            <w:tcW w:w="1357" w:type="dxa"/>
            <w:tcBorders>
              <w:top w:val="single" w:sz="4" w:space="0" w:color="auto"/>
              <w:left w:val="single" w:sz="4" w:space="0" w:color="auto"/>
              <w:bottom w:val="single" w:sz="4" w:space="0" w:color="auto"/>
              <w:right w:val="single" w:sz="4" w:space="0" w:color="auto"/>
            </w:tcBorders>
          </w:tcPr>
          <w:p w14:paraId="0CC56C34" w14:textId="77777777" w:rsidR="0068084C" w:rsidRDefault="0068084C" w:rsidP="00640BE1">
            <w:pPr>
              <w:pStyle w:val="a3"/>
              <w:jc w:val="center"/>
            </w:pPr>
            <w:r>
              <w:t>8271</w:t>
            </w:r>
          </w:p>
        </w:tc>
        <w:tc>
          <w:tcPr>
            <w:tcW w:w="1275" w:type="dxa"/>
            <w:tcBorders>
              <w:top w:val="single" w:sz="4" w:space="0" w:color="auto"/>
              <w:left w:val="single" w:sz="4" w:space="0" w:color="auto"/>
              <w:bottom w:val="single" w:sz="4" w:space="0" w:color="auto"/>
              <w:right w:val="single" w:sz="4" w:space="0" w:color="auto"/>
            </w:tcBorders>
          </w:tcPr>
          <w:p w14:paraId="0CD4CA54" w14:textId="77777777" w:rsidR="0068084C" w:rsidRDefault="0068084C" w:rsidP="00640BE1">
            <w:pPr>
              <w:pStyle w:val="a3"/>
              <w:jc w:val="center"/>
            </w:pPr>
            <w:r>
              <w:t>8585</w:t>
            </w:r>
          </w:p>
        </w:tc>
        <w:tc>
          <w:tcPr>
            <w:tcW w:w="1418" w:type="dxa"/>
            <w:tcBorders>
              <w:top w:val="single" w:sz="4" w:space="0" w:color="auto"/>
              <w:left w:val="single" w:sz="4" w:space="0" w:color="auto"/>
              <w:bottom w:val="single" w:sz="4" w:space="0" w:color="auto"/>
              <w:right w:val="single" w:sz="4" w:space="0" w:color="auto"/>
            </w:tcBorders>
          </w:tcPr>
          <w:p w14:paraId="5A62BE46" w14:textId="77777777" w:rsidR="0068084C" w:rsidRDefault="0068084C" w:rsidP="00640BE1">
            <w:pPr>
              <w:pStyle w:val="a3"/>
              <w:jc w:val="center"/>
            </w:pPr>
            <w:r>
              <w:t>8945</w:t>
            </w:r>
          </w:p>
        </w:tc>
        <w:tc>
          <w:tcPr>
            <w:tcW w:w="1216" w:type="dxa"/>
            <w:tcBorders>
              <w:top w:val="single" w:sz="4" w:space="0" w:color="auto"/>
              <w:left w:val="single" w:sz="4" w:space="0" w:color="auto"/>
              <w:bottom w:val="single" w:sz="4" w:space="0" w:color="auto"/>
              <w:right w:val="single" w:sz="4" w:space="0" w:color="auto"/>
            </w:tcBorders>
          </w:tcPr>
          <w:p w14:paraId="192A6164" w14:textId="77777777" w:rsidR="0068084C" w:rsidRDefault="0068084C" w:rsidP="00640BE1">
            <w:pPr>
              <w:pStyle w:val="a3"/>
              <w:jc w:val="center"/>
            </w:pPr>
            <w:r>
              <w:t>8781</w:t>
            </w:r>
          </w:p>
        </w:tc>
      </w:tr>
      <w:tr w:rsidR="0068084C" w14:paraId="505C960A" w14:textId="77777777" w:rsidTr="002B27D8">
        <w:tc>
          <w:tcPr>
            <w:tcW w:w="2052" w:type="dxa"/>
            <w:tcBorders>
              <w:top w:val="single" w:sz="4" w:space="0" w:color="auto"/>
              <w:left w:val="single" w:sz="4" w:space="0" w:color="auto"/>
              <w:bottom w:val="single" w:sz="4" w:space="0" w:color="auto"/>
              <w:right w:val="single" w:sz="4" w:space="0" w:color="auto"/>
            </w:tcBorders>
          </w:tcPr>
          <w:p w14:paraId="7F8F7908" w14:textId="77777777" w:rsidR="0068084C" w:rsidRDefault="0068084C" w:rsidP="00640BE1">
            <w:pPr>
              <w:pStyle w:val="a3"/>
            </w:pPr>
            <w:r>
              <w:t>Промышленность</w:t>
            </w:r>
          </w:p>
        </w:tc>
        <w:tc>
          <w:tcPr>
            <w:tcW w:w="1357" w:type="dxa"/>
            <w:tcBorders>
              <w:top w:val="single" w:sz="4" w:space="0" w:color="auto"/>
              <w:left w:val="single" w:sz="4" w:space="0" w:color="auto"/>
              <w:bottom w:val="single" w:sz="4" w:space="0" w:color="auto"/>
              <w:right w:val="single" w:sz="4" w:space="0" w:color="auto"/>
            </w:tcBorders>
          </w:tcPr>
          <w:p w14:paraId="3E23311A" w14:textId="77777777" w:rsidR="0068084C" w:rsidRDefault="0068084C" w:rsidP="00640BE1">
            <w:pPr>
              <w:pStyle w:val="a3"/>
              <w:jc w:val="center"/>
            </w:pPr>
            <w:r>
              <w:t>295953</w:t>
            </w:r>
          </w:p>
        </w:tc>
        <w:tc>
          <w:tcPr>
            <w:tcW w:w="1275" w:type="dxa"/>
            <w:tcBorders>
              <w:top w:val="single" w:sz="4" w:space="0" w:color="auto"/>
              <w:left w:val="single" w:sz="4" w:space="0" w:color="auto"/>
              <w:bottom w:val="single" w:sz="4" w:space="0" w:color="auto"/>
              <w:right w:val="single" w:sz="4" w:space="0" w:color="auto"/>
            </w:tcBorders>
          </w:tcPr>
          <w:p w14:paraId="671F7C66" w14:textId="77777777" w:rsidR="0068084C" w:rsidRDefault="0068084C" w:rsidP="00640BE1">
            <w:pPr>
              <w:pStyle w:val="a3"/>
              <w:jc w:val="center"/>
            </w:pPr>
            <w:r>
              <w:t>295615</w:t>
            </w:r>
          </w:p>
        </w:tc>
        <w:tc>
          <w:tcPr>
            <w:tcW w:w="1418" w:type="dxa"/>
            <w:tcBorders>
              <w:top w:val="single" w:sz="4" w:space="0" w:color="auto"/>
              <w:left w:val="single" w:sz="4" w:space="0" w:color="auto"/>
              <w:bottom w:val="single" w:sz="4" w:space="0" w:color="auto"/>
              <w:right w:val="single" w:sz="4" w:space="0" w:color="auto"/>
            </w:tcBorders>
          </w:tcPr>
          <w:p w14:paraId="3DF4399C" w14:textId="77777777" w:rsidR="0068084C" w:rsidRDefault="0068084C" w:rsidP="00640BE1">
            <w:pPr>
              <w:pStyle w:val="a3"/>
              <w:jc w:val="center"/>
            </w:pPr>
            <w:r>
              <w:t>302308</w:t>
            </w:r>
          </w:p>
        </w:tc>
        <w:tc>
          <w:tcPr>
            <w:tcW w:w="1216" w:type="dxa"/>
            <w:tcBorders>
              <w:top w:val="single" w:sz="4" w:space="0" w:color="auto"/>
              <w:left w:val="single" w:sz="4" w:space="0" w:color="auto"/>
              <w:bottom w:val="single" w:sz="4" w:space="0" w:color="auto"/>
              <w:right w:val="single" w:sz="4" w:space="0" w:color="auto"/>
            </w:tcBorders>
          </w:tcPr>
          <w:p w14:paraId="5D52E65E" w14:textId="77777777" w:rsidR="0068084C" w:rsidRDefault="0068084C" w:rsidP="00640BE1">
            <w:pPr>
              <w:pStyle w:val="a3"/>
              <w:jc w:val="center"/>
            </w:pPr>
            <w:r>
              <w:t>311151</w:t>
            </w:r>
          </w:p>
        </w:tc>
      </w:tr>
      <w:tr w:rsidR="0068084C" w14:paraId="7EF54CE2" w14:textId="77777777" w:rsidTr="002B27D8">
        <w:tc>
          <w:tcPr>
            <w:tcW w:w="2052" w:type="dxa"/>
            <w:tcBorders>
              <w:top w:val="single" w:sz="4" w:space="0" w:color="auto"/>
              <w:left w:val="single" w:sz="4" w:space="0" w:color="auto"/>
              <w:bottom w:val="single" w:sz="4" w:space="0" w:color="auto"/>
              <w:right w:val="single" w:sz="4" w:space="0" w:color="auto"/>
            </w:tcBorders>
          </w:tcPr>
          <w:p w14:paraId="0AF4DB12" w14:textId="77777777" w:rsidR="0068084C" w:rsidRDefault="0068084C" w:rsidP="00640BE1">
            <w:pPr>
              <w:pStyle w:val="a3"/>
            </w:pPr>
            <w:r>
              <w:t>Строительство</w:t>
            </w:r>
          </w:p>
        </w:tc>
        <w:tc>
          <w:tcPr>
            <w:tcW w:w="1357" w:type="dxa"/>
            <w:tcBorders>
              <w:top w:val="single" w:sz="4" w:space="0" w:color="auto"/>
              <w:left w:val="single" w:sz="4" w:space="0" w:color="auto"/>
              <w:bottom w:val="single" w:sz="4" w:space="0" w:color="auto"/>
              <w:right w:val="single" w:sz="4" w:space="0" w:color="auto"/>
            </w:tcBorders>
          </w:tcPr>
          <w:p w14:paraId="6E85086B" w14:textId="77777777" w:rsidR="0068084C" w:rsidRDefault="0068084C" w:rsidP="00640BE1">
            <w:pPr>
              <w:pStyle w:val="a3"/>
              <w:jc w:val="center"/>
            </w:pPr>
            <w:r>
              <w:t>7545</w:t>
            </w:r>
          </w:p>
        </w:tc>
        <w:tc>
          <w:tcPr>
            <w:tcW w:w="1275" w:type="dxa"/>
            <w:tcBorders>
              <w:top w:val="single" w:sz="4" w:space="0" w:color="auto"/>
              <w:left w:val="single" w:sz="4" w:space="0" w:color="auto"/>
              <w:bottom w:val="single" w:sz="4" w:space="0" w:color="auto"/>
              <w:right w:val="single" w:sz="4" w:space="0" w:color="auto"/>
            </w:tcBorders>
          </w:tcPr>
          <w:p w14:paraId="00A0EAA2" w14:textId="77777777" w:rsidR="0068084C" w:rsidRDefault="0068084C" w:rsidP="00640BE1">
            <w:pPr>
              <w:pStyle w:val="a3"/>
              <w:jc w:val="center"/>
            </w:pPr>
            <w:r>
              <w:t>7847</w:t>
            </w:r>
          </w:p>
        </w:tc>
        <w:tc>
          <w:tcPr>
            <w:tcW w:w="1418" w:type="dxa"/>
            <w:tcBorders>
              <w:top w:val="single" w:sz="4" w:space="0" w:color="auto"/>
              <w:left w:val="single" w:sz="4" w:space="0" w:color="auto"/>
              <w:bottom w:val="single" w:sz="4" w:space="0" w:color="auto"/>
              <w:right w:val="single" w:sz="4" w:space="0" w:color="auto"/>
            </w:tcBorders>
          </w:tcPr>
          <w:p w14:paraId="385602C6" w14:textId="77777777" w:rsidR="0068084C" w:rsidRDefault="0068084C" w:rsidP="00640BE1">
            <w:pPr>
              <w:pStyle w:val="a3"/>
              <w:jc w:val="center"/>
            </w:pPr>
            <w:r>
              <w:t>8243</w:t>
            </w:r>
          </w:p>
        </w:tc>
        <w:tc>
          <w:tcPr>
            <w:tcW w:w="1216" w:type="dxa"/>
            <w:tcBorders>
              <w:top w:val="single" w:sz="4" w:space="0" w:color="auto"/>
              <w:left w:val="single" w:sz="4" w:space="0" w:color="auto"/>
              <w:bottom w:val="single" w:sz="4" w:space="0" w:color="auto"/>
              <w:right w:val="single" w:sz="4" w:space="0" w:color="auto"/>
            </w:tcBorders>
          </w:tcPr>
          <w:p w14:paraId="56B52911" w14:textId="77777777" w:rsidR="0068084C" w:rsidRDefault="0068084C" w:rsidP="00640BE1">
            <w:pPr>
              <w:pStyle w:val="a3"/>
              <w:jc w:val="center"/>
            </w:pPr>
            <w:r>
              <w:t>8685</w:t>
            </w:r>
          </w:p>
        </w:tc>
      </w:tr>
      <w:tr w:rsidR="0068084C" w14:paraId="70030AA5" w14:textId="77777777" w:rsidTr="002B27D8">
        <w:tc>
          <w:tcPr>
            <w:tcW w:w="2052" w:type="dxa"/>
            <w:tcBorders>
              <w:top w:val="single" w:sz="4" w:space="0" w:color="auto"/>
              <w:left w:val="single" w:sz="4" w:space="0" w:color="auto"/>
              <w:bottom w:val="single" w:sz="4" w:space="0" w:color="auto"/>
              <w:right w:val="single" w:sz="4" w:space="0" w:color="auto"/>
            </w:tcBorders>
          </w:tcPr>
          <w:p w14:paraId="239386E5" w14:textId="77777777" w:rsidR="0068084C" w:rsidRDefault="0068084C" w:rsidP="00640BE1">
            <w:pPr>
              <w:pStyle w:val="a3"/>
            </w:pPr>
            <w:r w:rsidRPr="00F50DA3">
              <w:t>Транспорт, склад и почта</w:t>
            </w:r>
          </w:p>
        </w:tc>
        <w:tc>
          <w:tcPr>
            <w:tcW w:w="1357" w:type="dxa"/>
            <w:tcBorders>
              <w:top w:val="single" w:sz="4" w:space="0" w:color="auto"/>
              <w:left w:val="single" w:sz="4" w:space="0" w:color="auto"/>
              <w:bottom w:val="single" w:sz="4" w:space="0" w:color="auto"/>
              <w:right w:val="single" w:sz="4" w:space="0" w:color="auto"/>
            </w:tcBorders>
          </w:tcPr>
          <w:p w14:paraId="6DAABE5A" w14:textId="77777777" w:rsidR="0068084C" w:rsidRDefault="0068084C" w:rsidP="00640BE1">
            <w:pPr>
              <w:pStyle w:val="a3"/>
              <w:jc w:val="center"/>
            </w:pPr>
            <w:r>
              <w:t>38510</w:t>
            </w:r>
          </w:p>
        </w:tc>
        <w:tc>
          <w:tcPr>
            <w:tcW w:w="1275" w:type="dxa"/>
            <w:tcBorders>
              <w:top w:val="single" w:sz="4" w:space="0" w:color="auto"/>
              <w:left w:val="single" w:sz="4" w:space="0" w:color="auto"/>
              <w:bottom w:val="single" w:sz="4" w:space="0" w:color="auto"/>
              <w:right w:val="single" w:sz="4" w:space="0" w:color="auto"/>
            </w:tcBorders>
          </w:tcPr>
          <w:p w14:paraId="4A55879E" w14:textId="77777777" w:rsidR="0068084C" w:rsidRDefault="0068084C" w:rsidP="00640BE1">
            <w:pPr>
              <w:pStyle w:val="a3"/>
              <w:jc w:val="center"/>
            </w:pPr>
            <w:r>
              <w:t>39883</w:t>
            </w:r>
          </w:p>
        </w:tc>
        <w:tc>
          <w:tcPr>
            <w:tcW w:w="1418" w:type="dxa"/>
            <w:tcBorders>
              <w:top w:val="single" w:sz="4" w:space="0" w:color="auto"/>
              <w:left w:val="single" w:sz="4" w:space="0" w:color="auto"/>
              <w:bottom w:val="single" w:sz="4" w:space="0" w:color="auto"/>
              <w:right w:val="single" w:sz="4" w:space="0" w:color="auto"/>
            </w:tcBorders>
          </w:tcPr>
          <w:p w14:paraId="4E409B3A" w14:textId="77777777" w:rsidR="0068084C" w:rsidRDefault="0068084C" w:rsidP="00640BE1">
            <w:pPr>
              <w:pStyle w:val="a3"/>
              <w:jc w:val="center"/>
            </w:pPr>
            <w:r>
              <w:t>42140</w:t>
            </w:r>
          </w:p>
        </w:tc>
        <w:tc>
          <w:tcPr>
            <w:tcW w:w="1216" w:type="dxa"/>
            <w:tcBorders>
              <w:top w:val="single" w:sz="4" w:space="0" w:color="auto"/>
              <w:left w:val="single" w:sz="4" w:space="0" w:color="auto"/>
              <w:bottom w:val="single" w:sz="4" w:space="0" w:color="auto"/>
              <w:right w:val="single" w:sz="4" w:space="0" w:color="auto"/>
            </w:tcBorders>
          </w:tcPr>
          <w:p w14:paraId="1F8FF051" w14:textId="77777777" w:rsidR="0068084C" w:rsidRDefault="0068084C" w:rsidP="00640BE1">
            <w:pPr>
              <w:pStyle w:val="a3"/>
              <w:jc w:val="center"/>
            </w:pPr>
            <w:r>
              <w:t>43617</w:t>
            </w:r>
          </w:p>
        </w:tc>
      </w:tr>
      <w:tr w:rsidR="0068084C" w14:paraId="45CAEC87" w14:textId="77777777" w:rsidTr="002B27D8">
        <w:tc>
          <w:tcPr>
            <w:tcW w:w="2052" w:type="dxa"/>
            <w:tcBorders>
              <w:top w:val="single" w:sz="4" w:space="0" w:color="auto"/>
              <w:left w:val="single" w:sz="4" w:space="0" w:color="auto"/>
              <w:bottom w:val="single" w:sz="4" w:space="0" w:color="auto"/>
              <w:right w:val="single" w:sz="4" w:space="0" w:color="auto"/>
            </w:tcBorders>
          </w:tcPr>
          <w:p w14:paraId="3FBC5720" w14:textId="77777777" w:rsidR="0068084C" w:rsidRDefault="0068084C" w:rsidP="00640BE1">
            <w:pPr>
              <w:pStyle w:val="a3"/>
            </w:pPr>
            <w:r>
              <w:lastRenderedPageBreak/>
              <w:t>Оптовая и розничная торговля</w:t>
            </w:r>
          </w:p>
        </w:tc>
        <w:tc>
          <w:tcPr>
            <w:tcW w:w="1357" w:type="dxa"/>
            <w:tcBorders>
              <w:top w:val="single" w:sz="4" w:space="0" w:color="auto"/>
              <w:left w:val="single" w:sz="4" w:space="0" w:color="auto"/>
              <w:bottom w:val="single" w:sz="4" w:space="0" w:color="auto"/>
              <w:right w:val="single" w:sz="4" w:space="0" w:color="auto"/>
            </w:tcBorders>
          </w:tcPr>
          <w:p w14:paraId="376731C7" w14:textId="77777777" w:rsidR="0068084C" w:rsidRDefault="0068084C" w:rsidP="00640BE1">
            <w:pPr>
              <w:pStyle w:val="a3"/>
              <w:jc w:val="center"/>
            </w:pPr>
            <w:r>
              <w:t>11447</w:t>
            </w:r>
          </w:p>
        </w:tc>
        <w:tc>
          <w:tcPr>
            <w:tcW w:w="1275" w:type="dxa"/>
            <w:tcBorders>
              <w:top w:val="single" w:sz="4" w:space="0" w:color="auto"/>
              <w:left w:val="single" w:sz="4" w:space="0" w:color="auto"/>
              <w:bottom w:val="single" w:sz="4" w:space="0" w:color="auto"/>
              <w:right w:val="single" w:sz="4" w:space="0" w:color="auto"/>
            </w:tcBorders>
          </w:tcPr>
          <w:p w14:paraId="0CED8041" w14:textId="77777777" w:rsidR="0068084C" w:rsidRDefault="0068084C" w:rsidP="00640BE1">
            <w:pPr>
              <w:pStyle w:val="a3"/>
              <w:jc w:val="center"/>
            </w:pPr>
            <w:r>
              <w:t>12042</w:t>
            </w:r>
          </w:p>
        </w:tc>
        <w:tc>
          <w:tcPr>
            <w:tcW w:w="1418" w:type="dxa"/>
            <w:tcBorders>
              <w:top w:val="single" w:sz="4" w:space="0" w:color="auto"/>
              <w:left w:val="single" w:sz="4" w:space="0" w:color="auto"/>
              <w:bottom w:val="single" w:sz="4" w:space="0" w:color="auto"/>
              <w:right w:val="single" w:sz="4" w:space="0" w:color="auto"/>
            </w:tcBorders>
          </w:tcPr>
          <w:p w14:paraId="0E5DF2BE" w14:textId="77777777" w:rsidR="0068084C" w:rsidRDefault="0068084C" w:rsidP="00640BE1">
            <w:pPr>
              <w:pStyle w:val="a3"/>
              <w:jc w:val="center"/>
            </w:pPr>
            <w:r>
              <w:t>12456</w:t>
            </w:r>
          </w:p>
        </w:tc>
        <w:tc>
          <w:tcPr>
            <w:tcW w:w="1216" w:type="dxa"/>
            <w:tcBorders>
              <w:top w:val="single" w:sz="4" w:space="0" w:color="auto"/>
              <w:left w:val="single" w:sz="4" w:space="0" w:color="auto"/>
              <w:bottom w:val="single" w:sz="4" w:space="0" w:color="auto"/>
              <w:right w:val="single" w:sz="4" w:space="0" w:color="auto"/>
            </w:tcBorders>
          </w:tcPr>
          <w:p w14:paraId="45360E2F" w14:textId="77777777" w:rsidR="0068084C" w:rsidRDefault="0068084C" w:rsidP="00640BE1">
            <w:pPr>
              <w:pStyle w:val="a3"/>
              <w:jc w:val="center"/>
            </w:pPr>
            <w:r>
              <w:t>12994</w:t>
            </w:r>
          </w:p>
        </w:tc>
      </w:tr>
      <w:tr w:rsidR="0068084C" w14:paraId="6C858B70" w14:textId="77777777" w:rsidTr="002B27D8">
        <w:tc>
          <w:tcPr>
            <w:tcW w:w="2052" w:type="dxa"/>
            <w:tcBorders>
              <w:top w:val="single" w:sz="4" w:space="0" w:color="auto"/>
              <w:left w:val="single" w:sz="4" w:space="0" w:color="auto"/>
              <w:bottom w:val="single" w:sz="4" w:space="0" w:color="auto"/>
              <w:right w:val="single" w:sz="4" w:space="0" w:color="auto"/>
            </w:tcBorders>
          </w:tcPr>
          <w:p w14:paraId="14E0CD83" w14:textId="77777777" w:rsidR="0068084C" w:rsidRDefault="0068084C" w:rsidP="00640BE1">
            <w:pPr>
              <w:pStyle w:val="a3"/>
            </w:pPr>
            <w:r>
              <w:t>Домашние хозяйства</w:t>
            </w:r>
          </w:p>
        </w:tc>
        <w:tc>
          <w:tcPr>
            <w:tcW w:w="1357" w:type="dxa"/>
            <w:tcBorders>
              <w:top w:val="single" w:sz="4" w:space="0" w:color="auto"/>
              <w:left w:val="single" w:sz="4" w:space="0" w:color="auto"/>
              <w:bottom w:val="single" w:sz="4" w:space="0" w:color="auto"/>
              <w:right w:val="single" w:sz="4" w:space="0" w:color="auto"/>
            </w:tcBorders>
          </w:tcPr>
          <w:p w14:paraId="0F38E599" w14:textId="77777777" w:rsidR="0068084C" w:rsidRDefault="0068084C" w:rsidP="00640BE1">
            <w:pPr>
              <w:pStyle w:val="a3"/>
              <w:jc w:val="center"/>
            </w:pPr>
            <w:r>
              <w:t>50461</w:t>
            </w:r>
          </w:p>
        </w:tc>
        <w:tc>
          <w:tcPr>
            <w:tcW w:w="1275" w:type="dxa"/>
            <w:tcBorders>
              <w:top w:val="single" w:sz="4" w:space="0" w:color="auto"/>
              <w:left w:val="single" w:sz="4" w:space="0" w:color="auto"/>
              <w:bottom w:val="single" w:sz="4" w:space="0" w:color="auto"/>
              <w:right w:val="single" w:sz="4" w:space="0" w:color="auto"/>
            </w:tcBorders>
          </w:tcPr>
          <w:p w14:paraId="14CCCB3E" w14:textId="77777777" w:rsidR="0068084C" w:rsidRDefault="0068084C" w:rsidP="00640BE1">
            <w:pPr>
              <w:pStyle w:val="a3"/>
              <w:jc w:val="center"/>
            </w:pPr>
            <w:r>
              <w:t>54336</w:t>
            </w:r>
          </w:p>
        </w:tc>
        <w:tc>
          <w:tcPr>
            <w:tcW w:w="1418" w:type="dxa"/>
            <w:tcBorders>
              <w:top w:val="single" w:sz="4" w:space="0" w:color="auto"/>
              <w:left w:val="single" w:sz="4" w:space="0" w:color="auto"/>
              <w:bottom w:val="single" w:sz="4" w:space="0" w:color="auto"/>
              <w:right w:val="single" w:sz="4" w:space="0" w:color="auto"/>
            </w:tcBorders>
          </w:tcPr>
          <w:p w14:paraId="0F9DC6E5" w14:textId="77777777" w:rsidR="0068084C" w:rsidRDefault="0068084C" w:rsidP="00640BE1">
            <w:pPr>
              <w:pStyle w:val="a3"/>
              <w:jc w:val="center"/>
            </w:pPr>
            <w:r>
              <w:t>57459</w:t>
            </w:r>
          </w:p>
        </w:tc>
        <w:tc>
          <w:tcPr>
            <w:tcW w:w="1216" w:type="dxa"/>
            <w:tcBorders>
              <w:top w:val="single" w:sz="4" w:space="0" w:color="auto"/>
              <w:left w:val="single" w:sz="4" w:space="0" w:color="auto"/>
              <w:bottom w:val="single" w:sz="4" w:space="0" w:color="auto"/>
              <w:right w:val="single" w:sz="4" w:space="0" w:color="auto"/>
            </w:tcBorders>
          </w:tcPr>
          <w:p w14:paraId="32E3E99A" w14:textId="77777777" w:rsidR="0068084C" w:rsidRDefault="0068084C" w:rsidP="00640BE1">
            <w:pPr>
              <w:pStyle w:val="a3"/>
              <w:jc w:val="center"/>
            </w:pPr>
            <w:r>
              <w:t>60436</w:t>
            </w:r>
          </w:p>
        </w:tc>
      </w:tr>
    </w:tbl>
    <w:p w14:paraId="572F941E" w14:textId="77777777" w:rsidR="002E403C" w:rsidRPr="00640BE1" w:rsidRDefault="002E403C" w:rsidP="002E403C">
      <w:pPr>
        <w:pStyle w:val="a3"/>
        <w:jc w:val="both"/>
        <w:rPr>
          <w:i/>
        </w:rPr>
      </w:pPr>
      <w:r>
        <w:rPr>
          <w:i/>
        </w:rPr>
        <w:t>Источник: [5]</w:t>
      </w:r>
    </w:p>
    <w:p w14:paraId="35B86BFB" w14:textId="55C68EFD" w:rsidR="00F32341" w:rsidRDefault="00F32341" w:rsidP="00640BE1">
      <w:pPr>
        <w:pStyle w:val="a3"/>
        <w:ind w:firstLine="709"/>
        <w:jc w:val="both"/>
      </w:pPr>
      <w:r w:rsidRPr="00F32341">
        <w:t xml:space="preserve">Динамику энергоемкости экономики Китая </w:t>
      </w:r>
      <w:r>
        <w:t xml:space="preserve">необходимо рассматривать </w:t>
      </w:r>
      <w:r w:rsidR="000972A2">
        <w:t>с точки зрения влияния различных факторов</w:t>
      </w:r>
      <w:r>
        <w:t>.</w:t>
      </w:r>
      <w:r w:rsidR="000972A2">
        <w:t xml:space="preserve"> На наш взгляд, такими определяющими факторами</w:t>
      </w:r>
      <w:r w:rsidR="00C87405">
        <w:t xml:space="preserve"> </w:t>
      </w:r>
      <w:r w:rsidR="00DE054C">
        <w:t>будут</w:t>
      </w:r>
      <w:r w:rsidR="001D078A">
        <w:t xml:space="preserve"> </w:t>
      </w:r>
      <w:r w:rsidR="00DE054C">
        <w:t>являться</w:t>
      </w:r>
      <w:r w:rsidR="000972A2">
        <w:t xml:space="preserve"> специфика</w:t>
      </w:r>
      <w:r w:rsidR="002409C2">
        <w:t xml:space="preserve"> экономического развития Китая</w:t>
      </w:r>
      <w:r w:rsidR="00FB582C">
        <w:t>,</w:t>
      </w:r>
      <w:r w:rsidR="000972A2">
        <w:t xml:space="preserve"> структурные </w:t>
      </w:r>
      <w:r w:rsidR="00FB582C">
        <w:t>реформы, проводимые ЦК КПК, а также макроэкономические условия.</w:t>
      </w:r>
    </w:p>
    <w:p w14:paraId="61BB7DFD" w14:textId="3392CD02" w:rsidR="006D7E9B" w:rsidRDefault="00552F09" w:rsidP="00640BE1">
      <w:pPr>
        <w:pStyle w:val="a3"/>
        <w:ind w:firstLine="709"/>
        <w:jc w:val="both"/>
      </w:pPr>
      <w:r>
        <w:t>Логика развития экономики КНР предполагает эффективную</w:t>
      </w:r>
      <w:r w:rsidR="005D4FF4">
        <w:t xml:space="preserve"> адапта</w:t>
      </w:r>
      <w:r>
        <w:t>цию</w:t>
      </w:r>
      <w:r w:rsidR="005D4FF4">
        <w:t xml:space="preserve"> экономических ожиданий (ожиданий экономических агентов) под внешнеполитическую и внешнеэкономическую неопределенность, иногда крайне неблагоприятную. Свою эффективность и стабильность экономика КНР  показала на примере борьбы с коронавирусной инфекцией. Несмотря на снижение экономичес</w:t>
      </w:r>
      <w:r w:rsidR="00E37BF2">
        <w:t xml:space="preserve">кого роста </w:t>
      </w:r>
      <w:r w:rsidR="007B1D19">
        <w:t>до</w:t>
      </w:r>
      <w:r w:rsidR="00E37BF2">
        <w:t xml:space="preserve"> 2,3% в 2020 году,</w:t>
      </w:r>
      <w:r w:rsidR="005D4FF4">
        <w:t xml:space="preserve"> </w:t>
      </w:r>
      <w:r w:rsidR="000972A2">
        <w:t xml:space="preserve">а также </w:t>
      </w:r>
      <w:r>
        <w:t>резкий рост цен на отдельные виды товаров, КНР смогла увеличить экспорт на 3,5% до 2,59 трлн долл</w:t>
      </w:r>
      <w:r w:rsidR="00E343C2">
        <w:t>.</w:t>
      </w:r>
      <w:r>
        <w:t xml:space="preserve"> и поддержать благоприятные макроэкономические условия для ведения бизнеса: сокращение нал</w:t>
      </w:r>
      <w:r w:rsidR="00E343C2">
        <w:t xml:space="preserve">оговой нагрузки на предприятия, наращивание </w:t>
      </w:r>
      <w:r w:rsidR="00E343C2" w:rsidRPr="00E37BF2">
        <w:t xml:space="preserve">государственных </w:t>
      </w:r>
      <w:r w:rsidR="00E343C2" w:rsidRPr="00E507E7">
        <w:t>инвестиций</w:t>
      </w:r>
      <w:r w:rsidR="00723E07" w:rsidRPr="00E507E7">
        <w:t xml:space="preserve"> [</w:t>
      </w:r>
      <w:r w:rsidR="00814B8F" w:rsidRPr="00E507E7">
        <w:t>6</w:t>
      </w:r>
      <w:r w:rsidR="00723E07" w:rsidRPr="00E507E7">
        <w:t>]</w:t>
      </w:r>
      <w:r w:rsidR="00E343C2" w:rsidRPr="00E507E7">
        <w:t>.</w:t>
      </w:r>
      <w:r w:rsidR="00E343C2">
        <w:t xml:space="preserve"> Что касается долгосрочного планирования, то в</w:t>
      </w:r>
      <w:r w:rsidR="000972A2">
        <w:t xml:space="preserve"> </w:t>
      </w:r>
      <w:r w:rsidR="00E343C2">
        <w:t xml:space="preserve">14-й пятилетке (2021-2025 гг.) </w:t>
      </w:r>
      <w:r w:rsidR="000972A2">
        <w:t xml:space="preserve">ЦК КПК </w:t>
      </w:r>
      <w:r w:rsidR="00E343C2">
        <w:t>заявлено: поддержание экономического роста в допустимых рамках и установление годовых целей с учетом фактических показателей</w:t>
      </w:r>
      <w:r w:rsidR="000972A2">
        <w:t xml:space="preserve">, </w:t>
      </w:r>
      <w:r w:rsidR="00E343C2">
        <w:t xml:space="preserve">снижение уровня </w:t>
      </w:r>
      <w:r w:rsidR="00476BE4">
        <w:t>потребления энергии на</w:t>
      </w:r>
      <w:r w:rsidR="00B607B7">
        <w:t xml:space="preserve"> </w:t>
      </w:r>
      <w:r w:rsidR="00B607B7" w:rsidRPr="00E507E7">
        <w:t xml:space="preserve">единицу ВВП </w:t>
      </w:r>
      <w:r w:rsidR="00A65127" w:rsidRPr="00E507E7">
        <w:t xml:space="preserve">(энергоемкости) </w:t>
      </w:r>
      <w:r w:rsidR="00B607B7" w:rsidRPr="00E507E7">
        <w:t>на 13,5% (совокупны</w:t>
      </w:r>
      <w:r w:rsidR="00476BE4" w:rsidRPr="00E507E7">
        <w:t>й показатель за 5 лет)</w:t>
      </w:r>
      <w:r w:rsidR="00A81E38" w:rsidRPr="00E507E7">
        <w:t xml:space="preserve"> [</w:t>
      </w:r>
      <w:r w:rsidR="00814B8F" w:rsidRPr="00E507E7">
        <w:t>6</w:t>
      </w:r>
      <w:r w:rsidR="00A81E38" w:rsidRPr="00E507E7">
        <w:t>]</w:t>
      </w:r>
      <w:r w:rsidR="00476BE4" w:rsidRPr="00E507E7">
        <w:t>.</w:t>
      </w:r>
      <w:r w:rsidR="00E343C2" w:rsidRPr="00E507E7">
        <w:t xml:space="preserve"> </w:t>
      </w:r>
      <w:r w:rsidR="000972A2" w:rsidRPr="00E507E7">
        <w:t>«</w:t>
      </w:r>
      <w:r w:rsidR="00A65127" w:rsidRPr="00E507E7">
        <w:t>Новая нормальность» китайской экономики приобретает новый с</w:t>
      </w:r>
      <w:r w:rsidR="000972A2" w:rsidRPr="00E507E7">
        <w:t>мысл: избеж</w:t>
      </w:r>
      <w:r w:rsidR="00173864" w:rsidRPr="00E507E7">
        <w:t>ание</w:t>
      </w:r>
      <w:r w:rsidR="00173864">
        <w:t xml:space="preserve"> формулирования конкретных экономических показателей в области прогнозов экономического роста, смещение акцента с наращивания экономического роста на обеспечение качественного экономического развития</w:t>
      </w:r>
      <w:r w:rsidR="0099130E">
        <w:t xml:space="preserve"> (необходимые структурные изменения: сделать основным источником хозяйственной динамики прирост внутреннего потребления и негосударственных инвестиций)</w:t>
      </w:r>
      <w:r w:rsidR="00173864">
        <w:t xml:space="preserve">, четкое понимание развития энергетической сферы. Другими словами, обеспечение роста ВВП перестает быть приоритетом. Предполагается, что поддержание качественного экономического развития будет способствовать более эффективному распределению и использованию </w:t>
      </w:r>
      <w:r w:rsidR="00173EB5">
        <w:t xml:space="preserve">энергетических ресурсов, что коррелируется с гипотезой о взаимосвязи специфики экономического развития и реструктуризации ТЭК. </w:t>
      </w:r>
      <w:r w:rsidR="00173864" w:rsidRPr="007304CD">
        <w:t xml:space="preserve">Одной из угроз </w:t>
      </w:r>
      <w:r w:rsidR="00BA74A1" w:rsidRPr="007304CD">
        <w:t>достижению целей и задач в контексте 14-й пятилетки остаются несбалансированное</w:t>
      </w:r>
      <w:r w:rsidR="00BA74A1">
        <w:t xml:space="preserve"> экономическое развитие регионов Китая.</w:t>
      </w:r>
      <w:r w:rsidR="00173864">
        <w:t xml:space="preserve">  </w:t>
      </w:r>
    </w:p>
    <w:p w14:paraId="3CE6B431" w14:textId="77777777" w:rsidR="00CD2645" w:rsidRPr="00C41C6D" w:rsidRDefault="00E37BF2" w:rsidP="00640BE1">
      <w:pPr>
        <w:pStyle w:val="a3"/>
        <w:jc w:val="center"/>
        <w:rPr>
          <w:b/>
          <w:i/>
        </w:rPr>
      </w:pPr>
      <w:r w:rsidRPr="00C41C6D">
        <w:rPr>
          <w:b/>
          <w:i/>
        </w:rPr>
        <w:t>Специфика экономического развития Китая</w:t>
      </w:r>
    </w:p>
    <w:p w14:paraId="669C8B76" w14:textId="31C81647" w:rsidR="004A6780" w:rsidRPr="00611CA0" w:rsidRDefault="008A3376" w:rsidP="00640BE1">
      <w:pPr>
        <w:ind w:firstLine="709"/>
        <w:jc w:val="both"/>
        <w:rPr>
          <w:rFonts w:ascii="Times New Roman" w:eastAsia="Times New Roman" w:hAnsi="Times New Roman" w:cs="Times New Roman"/>
        </w:rPr>
      </w:pPr>
      <w:r>
        <w:rPr>
          <w:rFonts w:ascii="Times New Roman" w:eastAsia="Times New Roman" w:hAnsi="Times New Roman" w:cs="Times New Roman"/>
        </w:rPr>
        <w:t>С</w:t>
      </w:r>
      <w:r w:rsidR="00E37BF2" w:rsidRPr="00E37BF2">
        <w:rPr>
          <w:rFonts w:ascii="Times New Roman" w:eastAsia="Times New Roman" w:hAnsi="Times New Roman" w:cs="Times New Roman"/>
        </w:rPr>
        <w:t xml:space="preserve">нижение экономического роста </w:t>
      </w:r>
      <w:r>
        <w:rPr>
          <w:rFonts w:ascii="Times New Roman" w:eastAsia="Times New Roman" w:hAnsi="Times New Roman" w:cs="Times New Roman"/>
        </w:rPr>
        <w:t>объясняется</w:t>
      </w:r>
      <w:r w:rsidR="00E37BF2" w:rsidRPr="00E37BF2">
        <w:rPr>
          <w:rFonts w:ascii="Times New Roman" w:eastAsia="Times New Roman" w:hAnsi="Times New Roman" w:cs="Times New Roman"/>
        </w:rPr>
        <w:t xml:space="preserve"> спецификой </w:t>
      </w:r>
      <w:r w:rsidR="00677D19">
        <w:rPr>
          <w:rFonts w:ascii="Times New Roman" w:eastAsia="Times New Roman" w:hAnsi="Times New Roman" w:cs="Times New Roman"/>
        </w:rPr>
        <w:t xml:space="preserve">цикличного </w:t>
      </w:r>
      <w:r w:rsidR="00E37BF2" w:rsidRPr="00E37BF2">
        <w:rPr>
          <w:rFonts w:ascii="Times New Roman" w:eastAsia="Times New Roman" w:hAnsi="Times New Roman" w:cs="Times New Roman"/>
        </w:rPr>
        <w:t xml:space="preserve">развития китайской экономики. </w:t>
      </w:r>
      <w:r w:rsidR="00677D19">
        <w:rPr>
          <w:rFonts w:ascii="Times New Roman" w:eastAsia="Times New Roman" w:hAnsi="Times New Roman" w:cs="Times New Roman"/>
        </w:rPr>
        <w:t xml:space="preserve">Цели, выдвинутые китайской политической элитой в рамках 14-й пятилетки, </w:t>
      </w:r>
      <w:r w:rsidR="00FD5ACA">
        <w:rPr>
          <w:rFonts w:ascii="Times New Roman" w:eastAsia="Times New Roman" w:hAnsi="Times New Roman" w:cs="Times New Roman"/>
        </w:rPr>
        <w:t>подстраиваются</w:t>
      </w:r>
      <w:r w:rsidR="00677D19">
        <w:rPr>
          <w:rFonts w:ascii="Times New Roman" w:eastAsia="Times New Roman" w:hAnsi="Times New Roman" w:cs="Times New Roman"/>
        </w:rPr>
        <w:t xml:space="preserve"> </w:t>
      </w:r>
      <w:r w:rsidR="00677D56">
        <w:rPr>
          <w:rFonts w:ascii="Times New Roman" w:eastAsia="Times New Roman" w:hAnsi="Times New Roman" w:cs="Times New Roman"/>
        </w:rPr>
        <w:t>под</w:t>
      </w:r>
      <w:r w:rsidR="00677D19">
        <w:rPr>
          <w:rFonts w:ascii="Times New Roman" w:eastAsia="Times New Roman" w:hAnsi="Times New Roman" w:cs="Times New Roman"/>
        </w:rPr>
        <w:t xml:space="preserve"> данную логику</w:t>
      </w:r>
      <w:r w:rsidR="00FD5ACA">
        <w:rPr>
          <w:rFonts w:ascii="Times New Roman" w:eastAsia="Times New Roman" w:hAnsi="Times New Roman" w:cs="Times New Roman"/>
        </w:rPr>
        <w:t xml:space="preserve"> развития</w:t>
      </w:r>
      <w:r w:rsidR="00677D19">
        <w:rPr>
          <w:rFonts w:ascii="Times New Roman" w:eastAsia="Times New Roman" w:hAnsi="Times New Roman" w:cs="Times New Roman"/>
        </w:rPr>
        <w:t xml:space="preserve">. </w:t>
      </w:r>
      <w:r w:rsidR="009A22A4">
        <w:rPr>
          <w:rFonts w:ascii="Times New Roman" w:eastAsia="Times New Roman" w:hAnsi="Times New Roman" w:cs="Times New Roman"/>
        </w:rPr>
        <w:t>О</w:t>
      </w:r>
      <w:r w:rsidR="00E37BF2" w:rsidRPr="00E37BF2">
        <w:rPr>
          <w:rFonts w:ascii="Times New Roman" w:eastAsia="Times New Roman" w:hAnsi="Times New Roman" w:cs="Times New Roman"/>
        </w:rPr>
        <w:t xml:space="preserve">бъем ПИИ </w:t>
      </w:r>
      <w:r w:rsidR="00951C9B">
        <w:rPr>
          <w:rFonts w:ascii="Times New Roman" w:eastAsia="Times New Roman" w:hAnsi="Times New Roman" w:cs="Times New Roman"/>
        </w:rPr>
        <w:t>в экономику Китая увеличивается</w:t>
      </w:r>
      <w:r w:rsidR="00E37BF2" w:rsidRPr="00E37BF2">
        <w:rPr>
          <w:rFonts w:ascii="Times New Roman" w:eastAsia="Times New Roman" w:hAnsi="Times New Roman" w:cs="Times New Roman"/>
        </w:rPr>
        <w:t xml:space="preserve">, несмотря на  замедление </w:t>
      </w:r>
      <w:r w:rsidR="00951C9B">
        <w:rPr>
          <w:rFonts w:ascii="Times New Roman" w:eastAsia="Times New Roman" w:hAnsi="Times New Roman" w:cs="Times New Roman"/>
        </w:rPr>
        <w:t xml:space="preserve">ее </w:t>
      </w:r>
      <w:r w:rsidR="00E37BF2" w:rsidRPr="00E37BF2">
        <w:rPr>
          <w:rFonts w:ascii="Times New Roman" w:eastAsia="Times New Roman" w:hAnsi="Times New Roman" w:cs="Times New Roman"/>
        </w:rPr>
        <w:t xml:space="preserve">роста. </w:t>
      </w:r>
      <w:r w:rsidR="00686F6F">
        <w:rPr>
          <w:rFonts w:ascii="Times New Roman" w:eastAsia="Times New Roman" w:hAnsi="Times New Roman" w:cs="Times New Roman"/>
        </w:rPr>
        <w:t>Согласно</w:t>
      </w:r>
      <w:r w:rsidR="00951C9B">
        <w:rPr>
          <w:rFonts w:ascii="Times New Roman" w:eastAsia="Times New Roman" w:hAnsi="Times New Roman" w:cs="Times New Roman"/>
        </w:rPr>
        <w:t xml:space="preserve"> данным </w:t>
      </w:r>
      <w:r w:rsidR="00951C9B">
        <w:rPr>
          <w:rFonts w:ascii="Times New Roman" w:eastAsia="Times New Roman" w:hAnsi="Times New Roman" w:cs="Times New Roman"/>
          <w:lang w:val="en-US"/>
        </w:rPr>
        <w:t>UNCTAD</w:t>
      </w:r>
      <w:r w:rsidR="00951C9B" w:rsidRPr="00640BE1">
        <w:rPr>
          <w:rFonts w:ascii="Times New Roman" w:eastAsia="Times New Roman" w:hAnsi="Times New Roman" w:cs="Times New Roman"/>
        </w:rPr>
        <w:t xml:space="preserve">, </w:t>
      </w:r>
      <w:r w:rsidR="00951C9B">
        <w:rPr>
          <w:rFonts w:ascii="Times New Roman" w:eastAsia="Times New Roman" w:hAnsi="Times New Roman" w:cs="Times New Roman"/>
        </w:rPr>
        <w:t>в</w:t>
      </w:r>
      <w:r w:rsidR="009A22A4">
        <w:rPr>
          <w:rFonts w:ascii="Times New Roman" w:eastAsia="Times New Roman" w:hAnsi="Times New Roman" w:cs="Times New Roman"/>
        </w:rPr>
        <w:t xml:space="preserve"> 2020 году Китай возглавил список крупнейших получателей ПИИ</w:t>
      </w:r>
      <w:r w:rsidR="00951C9B">
        <w:rPr>
          <w:rFonts w:ascii="Times New Roman" w:eastAsia="Times New Roman" w:hAnsi="Times New Roman" w:cs="Times New Roman"/>
        </w:rPr>
        <w:t xml:space="preserve"> (+4%), благодаря положительному росту ВВП и государственной целевой программе содействия </w:t>
      </w:r>
      <w:r w:rsidR="00951C9B" w:rsidRPr="00E507E7">
        <w:rPr>
          <w:rFonts w:ascii="Times New Roman" w:eastAsia="Times New Roman" w:hAnsi="Times New Roman" w:cs="Times New Roman"/>
        </w:rPr>
        <w:t>и</w:t>
      </w:r>
      <w:r w:rsidR="00F50C58" w:rsidRPr="00E507E7">
        <w:rPr>
          <w:rFonts w:ascii="Times New Roman" w:eastAsia="Times New Roman" w:hAnsi="Times New Roman" w:cs="Times New Roman"/>
        </w:rPr>
        <w:t>нвестициям</w:t>
      </w:r>
      <w:r w:rsidR="002A2BFD" w:rsidRPr="00E507E7">
        <w:rPr>
          <w:rFonts w:ascii="Times New Roman" w:eastAsia="Times New Roman" w:hAnsi="Times New Roman" w:cs="Times New Roman"/>
        </w:rPr>
        <w:t xml:space="preserve"> [</w:t>
      </w:r>
      <w:r w:rsidR="00814B8F" w:rsidRPr="00E507E7">
        <w:rPr>
          <w:rFonts w:ascii="Times New Roman" w:eastAsia="Times New Roman" w:hAnsi="Times New Roman" w:cs="Times New Roman"/>
        </w:rPr>
        <w:t>7</w:t>
      </w:r>
      <w:r w:rsidR="002A2BFD" w:rsidRPr="00E507E7">
        <w:rPr>
          <w:rFonts w:ascii="Times New Roman" w:eastAsia="Times New Roman" w:hAnsi="Times New Roman" w:cs="Times New Roman"/>
        </w:rPr>
        <w:t>]</w:t>
      </w:r>
      <w:r w:rsidR="00F50C58" w:rsidRPr="00E507E7">
        <w:rPr>
          <w:rFonts w:ascii="Times New Roman" w:eastAsia="Times New Roman" w:hAnsi="Times New Roman" w:cs="Times New Roman"/>
        </w:rPr>
        <w:t xml:space="preserve">. </w:t>
      </w:r>
      <w:r w:rsidR="009A22A4" w:rsidRPr="00E507E7">
        <w:rPr>
          <w:rFonts w:ascii="Times New Roman" w:eastAsia="Times New Roman" w:hAnsi="Times New Roman" w:cs="Times New Roman"/>
        </w:rPr>
        <w:t xml:space="preserve"> </w:t>
      </w:r>
      <w:r w:rsidR="00E37BF2" w:rsidRPr="00E507E7">
        <w:rPr>
          <w:rFonts w:ascii="Times New Roman" w:eastAsia="Times New Roman" w:hAnsi="Times New Roman" w:cs="Times New Roman"/>
        </w:rPr>
        <w:t>Рост</w:t>
      </w:r>
      <w:r w:rsidR="00E37BF2" w:rsidRPr="00E37BF2">
        <w:rPr>
          <w:rFonts w:ascii="Times New Roman" w:eastAsia="Times New Roman" w:hAnsi="Times New Roman" w:cs="Times New Roman"/>
        </w:rPr>
        <w:t xml:space="preserve"> </w:t>
      </w:r>
      <w:r w:rsidR="00B959A4">
        <w:rPr>
          <w:rFonts w:ascii="Times New Roman" w:eastAsia="Times New Roman" w:hAnsi="Times New Roman" w:cs="Times New Roman"/>
        </w:rPr>
        <w:t xml:space="preserve">экономики </w:t>
      </w:r>
      <w:r w:rsidR="00FF74EE">
        <w:rPr>
          <w:rFonts w:ascii="Times New Roman" w:eastAsia="Times New Roman" w:hAnsi="Times New Roman" w:cs="Times New Roman"/>
        </w:rPr>
        <w:t xml:space="preserve">Китая </w:t>
      </w:r>
      <w:r w:rsidR="00E37BF2" w:rsidRPr="00E37BF2">
        <w:rPr>
          <w:rFonts w:ascii="Times New Roman" w:eastAsia="Times New Roman" w:hAnsi="Times New Roman" w:cs="Times New Roman"/>
        </w:rPr>
        <w:t>замедляется, энергопотребление увеличивается</w:t>
      </w:r>
      <w:r w:rsidR="002D416D">
        <w:rPr>
          <w:rFonts w:ascii="Times New Roman" w:eastAsia="Times New Roman" w:hAnsi="Times New Roman" w:cs="Times New Roman"/>
        </w:rPr>
        <w:t xml:space="preserve"> </w:t>
      </w:r>
      <w:r w:rsidR="002D416D" w:rsidRPr="002D416D">
        <w:rPr>
          <w:rFonts w:ascii="Times New Roman" w:eastAsia="Times New Roman" w:hAnsi="Times New Roman" w:cs="Times New Roman"/>
        </w:rPr>
        <w:t>из-за сосредоточенности политики властей на стимулировании внутреннего</w:t>
      </w:r>
      <w:r w:rsidR="002D416D">
        <w:t xml:space="preserve"> </w:t>
      </w:r>
      <w:r w:rsidR="002D416D" w:rsidRPr="002D416D">
        <w:rPr>
          <w:rFonts w:ascii="Times New Roman" w:eastAsia="Times New Roman" w:hAnsi="Times New Roman" w:cs="Times New Roman"/>
        </w:rPr>
        <w:t>рынка</w:t>
      </w:r>
      <w:r w:rsidR="00FF74EE">
        <w:rPr>
          <w:rFonts w:ascii="Times New Roman" w:eastAsia="Times New Roman" w:hAnsi="Times New Roman" w:cs="Times New Roman"/>
        </w:rPr>
        <w:t>, игнорируя установленные ЦК КПК показатели по его снижению</w:t>
      </w:r>
      <w:r w:rsidR="00AE1B7B">
        <w:rPr>
          <w:rFonts w:ascii="Times New Roman" w:eastAsia="Times New Roman" w:hAnsi="Times New Roman" w:cs="Times New Roman"/>
        </w:rPr>
        <w:t xml:space="preserve"> </w:t>
      </w:r>
      <w:r w:rsidR="006240AF">
        <w:rPr>
          <w:rFonts w:ascii="Times New Roman" w:eastAsia="Times New Roman" w:hAnsi="Times New Roman" w:cs="Times New Roman"/>
        </w:rPr>
        <w:t xml:space="preserve">на местном уровне </w:t>
      </w:r>
      <w:r w:rsidR="00AE1B7B">
        <w:rPr>
          <w:rFonts w:ascii="Times New Roman" w:eastAsia="Times New Roman" w:hAnsi="Times New Roman" w:cs="Times New Roman"/>
        </w:rPr>
        <w:t>(</w:t>
      </w:r>
      <w:r w:rsidR="00FF74EE">
        <w:rPr>
          <w:rFonts w:ascii="Times New Roman" w:eastAsia="Times New Roman" w:hAnsi="Times New Roman" w:cs="Times New Roman"/>
        </w:rPr>
        <w:t>центры обрабатывающей промышленности в провинциях Гуандун, Чжэцзян, Цзянсу</w:t>
      </w:r>
      <w:r w:rsidR="00AE1B7B">
        <w:rPr>
          <w:rFonts w:ascii="Times New Roman" w:eastAsia="Times New Roman" w:hAnsi="Times New Roman" w:cs="Times New Roman"/>
        </w:rPr>
        <w:t>)</w:t>
      </w:r>
      <w:r w:rsidR="00E37BF2" w:rsidRPr="00E37BF2">
        <w:rPr>
          <w:rFonts w:ascii="Times New Roman" w:eastAsia="Times New Roman" w:hAnsi="Times New Roman" w:cs="Times New Roman"/>
        </w:rPr>
        <w:t xml:space="preserve">, производство энергоресурсов </w:t>
      </w:r>
      <w:r w:rsidR="00FF74EE">
        <w:rPr>
          <w:rFonts w:ascii="Times New Roman" w:eastAsia="Times New Roman" w:hAnsi="Times New Roman" w:cs="Times New Roman"/>
        </w:rPr>
        <w:t xml:space="preserve">также </w:t>
      </w:r>
      <w:r w:rsidR="00E37BF2" w:rsidRPr="00E37BF2">
        <w:rPr>
          <w:rFonts w:ascii="Times New Roman" w:eastAsia="Times New Roman" w:hAnsi="Times New Roman" w:cs="Times New Roman"/>
        </w:rPr>
        <w:t>увеличивается</w:t>
      </w:r>
      <w:r w:rsidR="000911D8">
        <w:rPr>
          <w:rFonts w:ascii="Times New Roman" w:eastAsia="Times New Roman" w:hAnsi="Times New Roman" w:cs="Times New Roman"/>
        </w:rPr>
        <w:t xml:space="preserve">. </w:t>
      </w:r>
      <w:r w:rsidR="001E2E44">
        <w:rPr>
          <w:rFonts w:ascii="Times New Roman" w:eastAsia="Times New Roman" w:hAnsi="Times New Roman" w:cs="Times New Roman"/>
        </w:rPr>
        <w:t xml:space="preserve">С точки зрения принятого мирового экономического опыта, </w:t>
      </w:r>
      <w:r w:rsidR="001E2E44">
        <w:rPr>
          <w:rFonts w:ascii="Times New Roman" w:eastAsia="Times New Roman" w:hAnsi="Times New Roman" w:cs="Times New Roman"/>
        </w:rPr>
        <w:lastRenderedPageBreak/>
        <w:t>к</w:t>
      </w:r>
      <w:r w:rsidR="006240AF">
        <w:rPr>
          <w:rFonts w:ascii="Times New Roman" w:eastAsia="Times New Roman" w:hAnsi="Times New Roman" w:cs="Times New Roman"/>
        </w:rPr>
        <w:t xml:space="preserve">итайскую экономику можно назвать экономикой противоречий, которые она успешно нивелирует. </w:t>
      </w:r>
      <w:r w:rsidR="001E2E44">
        <w:rPr>
          <w:rFonts w:ascii="Times New Roman" w:eastAsia="Times New Roman" w:hAnsi="Times New Roman" w:cs="Times New Roman"/>
        </w:rPr>
        <w:t xml:space="preserve">В данном контексте необходимо </w:t>
      </w:r>
      <w:r w:rsidR="00AC316D">
        <w:rPr>
          <w:rFonts w:ascii="Times New Roman" w:eastAsia="Times New Roman" w:hAnsi="Times New Roman" w:cs="Times New Roman"/>
        </w:rPr>
        <w:t xml:space="preserve">кратко </w:t>
      </w:r>
      <w:r w:rsidR="001E2E44">
        <w:rPr>
          <w:rFonts w:ascii="Times New Roman" w:eastAsia="Times New Roman" w:hAnsi="Times New Roman" w:cs="Times New Roman"/>
        </w:rPr>
        <w:t xml:space="preserve">рассмотреть </w:t>
      </w:r>
      <w:r w:rsidR="00677D56">
        <w:rPr>
          <w:rFonts w:ascii="Times New Roman" w:eastAsia="Times New Roman" w:hAnsi="Times New Roman" w:cs="Times New Roman"/>
        </w:rPr>
        <w:t>механизм</w:t>
      </w:r>
      <w:r w:rsidR="001E2E44">
        <w:rPr>
          <w:rFonts w:ascii="Times New Roman" w:eastAsia="Times New Roman" w:hAnsi="Times New Roman" w:cs="Times New Roman"/>
        </w:rPr>
        <w:t xml:space="preserve"> замедления китайской экономики в 21 веке</w:t>
      </w:r>
      <w:r w:rsidR="00CD2645">
        <w:rPr>
          <w:rFonts w:ascii="Times New Roman" w:eastAsia="Times New Roman" w:hAnsi="Times New Roman" w:cs="Times New Roman"/>
        </w:rPr>
        <w:t xml:space="preserve"> и влияющих на нее факторов (государственные и прямые иностранные инвестиции, трудовые ресурсы, идеология как стратегия проведения реформ</w:t>
      </w:r>
      <w:r w:rsidR="007A5F2C">
        <w:rPr>
          <w:rFonts w:ascii="Times New Roman" w:eastAsia="Times New Roman" w:hAnsi="Times New Roman" w:cs="Times New Roman"/>
        </w:rPr>
        <w:t>, мягкие бюджетные</w:t>
      </w:r>
      <w:r w:rsidR="006D03C6">
        <w:rPr>
          <w:rFonts w:ascii="Times New Roman" w:eastAsia="Times New Roman" w:hAnsi="Times New Roman" w:cs="Times New Roman"/>
        </w:rPr>
        <w:t xml:space="preserve"> ограничения)</w:t>
      </w:r>
      <w:r w:rsidR="001E2E44">
        <w:rPr>
          <w:rFonts w:ascii="Times New Roman" w:eastAsia="Times New Roman" w:hAnsi="Times New Roman" w:cs="Times New Roman"/>
        </w:rPr>
        <w:t xml:space="preserve">. </w:t>
      </w:r>
    </w:p>
    <w:p w14:paraId="250FCC05" w14:textId="23AD5467" w:rsidR="00CB1025" w:rsidRDefault="00563885" w:rsidP="00640BE1">
      <w:pPr>
        <w:pStyle w:val="a3"/>
        <w:ind w:firstLine="709"/>
        <w:jc w:val="both"/>
        <w:rPr>
          <w:b/>
        </w:rPr>
      </w:pPr>
      <w:r w:rsidRPr="001E2E44">
        <w:t xml:space="preserve">В период замедления экономического роста КНР происходит отход от модели роста, основанной на безудержной (благодаря доступности государственных источников финансирования) инвестиционной </w:t>
      </w:r>
      <w:r w:rsidRPr="00E507E7">
        <w:t>экспансии</w:t>
      </w:r>
      <w:r w:rsidR="002464E1" w:rsidRPr="00E507E7">
        <w:t xml:space="preserve"> [</w:t>
      </w:r>
      <w:r w:rsidR="00814B8F" w:rsidRPr="00E507E7">
        <w:t>8</w:t>
      </w:r>
      <w:r w:rsidR="002464E1" w:rsidRPr="00E507E7">
        <w:t>]</w:t>
      </w:r>
      <w:r w:rsidRPr="00E507E7">
        <w:t>.</w:t>
      </w:r>
      <w:r w:rsidRPr="00E507E7">
        <w:rPr>
          <w:b/>
        </w:rPr>
        <w:t xml:space="preserve"> </w:t>
      </w:r>
      <w:r w:rsidR="00CB1025" w:rsidRPr="00E507E7">
        <w:t>Инвестиционная</w:t>
      </w:r>
      <w:r w:rsidR="00CB1025" w:rsidRPr="00CB1025">
        <w:t xml:space="preserve"> экспансия</w:t>
      </w:r>
      <w:r w:rsidR="00CB1025">
        <w:rPr>
          <w:b/>
        </w:rPr>
        <w:t xml:space="preserve"> </w:t>
      </w:r>
      <w:r w:rsidR="00CB1025" w:rsidRPr="00CB1025">
        <w:t>связана с субсидированием государством предприятий,  находящихся под его кон</w:t>
      </w:r>
      <w:r w:rsidR="00CB1025" w:rsidRPr="008F6CA0">
        <w:t>тролем</w:t>
      </w:r>
      <w:r w:rsidR="009732AA">
        <w:t>. Предприятия обеспечиваются ресурсами, не допускается их банкротство,</w:t>
      </w:r>
      <w:r w:rsidR="009732AA" w:rsidRPr="009732AA">
        <w:t xml:space="preserve"> </w:t>
      </w:r>
      <w:r w:rsidR="009732AA" w:rsidRPr="008F6CA0">
        <w:t>что ведёт к смягчению бюджетных ограничений в экономике.</w:t>
      </w:r>
      <w:r w:rsidR="009732AA">
        <w:t xml:space="preserve"> </w:t>
      </w:r>
      <w:r w:rsidR="009B3A67" w:rsidRPr="008F6CA0">
        <w:t xml:space="preserve">Такая ситуация ведёт к снижению инвестиционных рисков, </w:t>
      </w:r>
      <w:r w:rsidR="009B3A67">
        <w:t>в результате</w:t>
      </w:r>
      <w:r w:rsidR="009B3A67" w:rsidRPr="008F6CA0">
        <w:t xml:space="preserve"> чего инвестиционный спр</w:t>
      </w:r>
      <w:r w:rsidR="00C86A5F">
        <w:t xml:space="preserve">ос предприятий максимизируется, что говорит о том, что в китайской экономике в отличие от западных экономик отсутствуют спросовые ограничения. </w:t>
      </w:r>
      <w:r w:rsidR="006D25A1">
        <w:t xml:space="preserve">Инвестиционный бум ведет к росту производства. Происходит перегрев экономики, который ведет к инфляции спроса, инфляции издержек, ужесточению денежной политики. Снижается экономический рост и инфляция. Ужесточение политики приводит к </w:t>
      </w:r>
      <w:r w:rsidR="0052028D">
        <w:t>ограничению спроса, для предприятий возникает проблема реализации продукции, обостряется безработица, в банковской системе обостряется проблема плохих долгов.</w:t>
      </w:r>
      <w:r w:rsidR="00D55D9F">
        <w:t xml:space="preserve"> </w:t>
      </w:r>
    </w:p>
    <w:p w14:paraId="12407610" w14:textId="1481292B" w:rsidR="00CB1025" w:rsidRDefault="00F7771B" w:rsidP="00640BE1">
      <w:pPr>
        <w:pStyle w:val="a3"/>
        <w:ind w:firstLine="709"/>
        <w:jc w:val="both"/>
      </w:pPr>
      <w:r>
        <w:t>Корректировка</w:t>
      </w:r>
      <w:r w:rsidR="00563885">
        <w:t xml:space="preserve"> </w:t>
      </w:r>
      <w:r>
        <w:t>экономической политики</w:t>
      </w:r>
      <w:r w:rsidR="00677D56">
        <w:t xml:space="preserve"> предполагает </w:t>
      </w:r>
      <w:r w:rsidR="00563885">
        <w:t xml:space="preserve">относительное ослабление </w:t>
      </w:r>
      <w:r w:rsidR="00D22324">
        <w:t xml:space="preserve">государственных </w:t>
      </w:r>
      <w:r w:rsidR="00563885">
        <w:t xml:space="preserve">инвестиций как </w:t>
      </w:r>
      <w:r w:rsidR="00C341BD">
        <w:t>главного ее драйвера и растущий вклад потребления в экономический рост</w:t>
      </w:r>
      <w:r w:rsidR="006C5E27">
        <w:t xml:space="preserve">. </w:t>
      </w:r>
    </w:p>
    <w:p w14:paraId="0DFFDBC2" w14:textId="49127F67" w:rsidR="00081C94" w:rsidRDefault="00081C94" w:rsidP="00640BE1">
      <w:pPr>
        <w:pStyle w:val="a3"/>
        <w:ind w:firstLine="709"/>
        <w:jc w:val="both"/>
      </w:pPr>
      <w:r w:rsidRPr="00081C94">
        <w:t xml:space="preserve">Подобная цикличность связана с незавершенностью </w:t>
      </w:r>
      <w:r>
        <w:t xml:space="preserve">институциональных преобразований в </w:t>
      </w:r>
      <w:r w:rsidRPr="00081C94">
        <w:t xml:space="preserve"> экономике </w:t>
      </w:r>
      <w:r>
        <w:t xml:space="preserve">Китая </w:t>
      </w:r>
      <w:r w:rsidR="000D7145">
        <w:t>–</w:t>
      </w:r>
      <w:r w:rsidRPr="00081C94">
        <w:t xml:space="preserve"> </w:t>
      </w:r>
      <w:r w:rsidR="000D7145">
        <w:t>отсутствием четких</w:t>
      </w:r>
      <w:r w:rsidRPr="00081C94">
        <w:t xml:space="preserve"> границ между государственным и частным секторами, </w:t>
      </w:r>
      <w:r w:rsidR="000D7145">
        <w:t>«слитностью»</w:t>
      </w:r>
      <w:r w:rsidRPr="00081C94">
        <w:t xml:space="preserve"> финансов предприятий и государства</w:t>
      </w:r>
      <w:r w:rsidR="000D7145">
        <w:t>, наличием феномена мягких бюджетных ограничений</w:t>
      </w:r>
      <w:r w:rsidRPr="00081C94">
        <w:t xml:space="preserve"> и соответственно </w:t>
      </w:r>
      <w:r w:rsidR="00A376ED">
        <w:t>сведением к минимуму</w:t>
      </w:r>
      <w:r w:rsidRPr="00081C94">
        <w:t xml:space="preserve"> инвестиционных </w:t>
      </w:r>
      <w:r w:rsidRPr="00E507E7">
        <w:t>рисков</w:t>
      </w:r>
      <w:r w:rsidR="002464E1" w:rsidRPr="00E507E7">
        <w:t xml:space="preserve"> [</w:t>
      </w:r>
      <w:r w:rsidR="00814B8F" w:rsidRPr="00E507E7">
        <w:t>8</w:t>
      </w:r>
      <w:r w:rsidR="002464E1" w:rsidRPr="00E507E7">
        <w:t>]</w:t>
      </w:r>
      <w:r w:rsidRPr="00E507E7">
        <w:t>.</w:t>
      </w:r>
    </w:p>
    <w:p w14:paraId="54D74199" w14:textId="1D007934" w:rsidR="002E1C63" w:rsidRDefault="00D015FD" w:rsidP="00640BE1">
      <w:pPr>
        <w:pStyle w:val="a3"/>
        <w:ind w:firstLine="709"/>
        <w:jc w:val="both"/>
      </w:pPr>
      <w:r>
        <w:t>Согласно модели</w:t>
      </w:r>
      <w:r w:rsidR="006C5E27">
        <w:t xml:space="preserve"> </w:t>
      </w:r>
      <w:r w:rsidR="00A3143B">
        <w:t xml:space="preserve">Артура У. </w:t>
      </w:r>
      <w:r>
        <w:t>Льюиса, излишек трудовых ресурсов в традиционном секторе экономики</w:t>
      </w:r>
      <w:r w:rsidR="00FB29EB">
        <w:t xml:space="preserve"> Китая почти исчерпан </w:t>
      </w:r>
      <w:r w:rsidR="001062CC">
        <w:t>(динамика миграции из деревни в город в развивающихся регионах Китая выше, чем в развитых) и рост производства в городском секторе будут сдерживать огран</w:t>
      </w:r>
      <w:r w:rsidR="00E0347E">
        <w:t>ичения предложения рабочей силы</w:t>
      </w:r>
      <w:r w:rsidR="002464E1">
        <w:t xml:space="preserve"> </w:t>
      </w:r>
      <w:r w:rsidR="002464E1" w:rsidRPr="00E507E7">
        <w:t>[</w:t>
      </w:r>
      <w:r w:rsidR="00814B8F" w:rsidRPr="00E507E7">
        <w:t>8</w:t>
      </w:r>
      <w:r w:rsidR="002464E1" w:rsidRPr="00E507E7">
        <w:t>]</w:t>
      </w:r>
      <w:r w:rsidR="00E0347E" w:rsidRPr="00E507E7">
        <w:t xml:space="preserve"> </w:t>
      </w:r>
      <w:r w:rsidR="001062CC" w:rsidRPr="00E507E7">
        <w:t>(</w:t>
      </w:r>
      <w:r w:rsidR="004E4670" w:rsidRPr="00E507E7">
        <w:t>согласно</w:t>
      </w:r>
      <w:r w:rsidR="004E4670">
        <w:t xml:space="preserve"> данным Национального </w:t>
      </w:r>
      <w:r w:rsidR="006470CC">
        <w:t>бюро статистики Китая, в  2019 году только в</w:t>
      </w:r>
      <w:r w:rsidR="00FF4DC3">
        <w:t xml:space="preserve"> провинциях Гу</w:t>
      </w:r>
      <w:r w:rsidR="006470CC">
        <w:t>й</w:t>
      </w:r>
      <w:r w:rsidR="00C73398">
        <w:t>ч</w:t>
      </w:r>
      <w:r w:rsidR="006470CC">
        <w:t xml:space="preserve">жоу, Юньнань, Ганьсу, </w:t>
      </w:r>
      <w:r w:rsidR="00A902FA">
        <w:t>автономной области Тибет</w:t>
      </w:r>
      <w:r w:rsidR="006470CC">
        <w:t xml:space="preserve"> </w:t>
      </w:r>
      <w:r w:rsidR="004E4670">
        <w:t>доля городского населения</w:t>
      </w:r>
      <w:r w:rsidR="006470CC">
        <w:t xml:space="preserve"> составила менее 50%</w:t>
      </w:r>
      <w:r w:rsidR="001062CC" w:rsidRPr="00814B8F">
        <w:t>)</w:t>
      </w:r>
      <w:r w:rsidR="00E33F01" w:rsidRPr="00814B8F">
        <w:t>.</w:t>
      </w:r>
      <w:r w:rsidR="00E33F01">
        <w:t xml:space="preserve"> </w:t>
      </w:r>
      <w:r w:rsidR="002E1C63">
        <w:t xml:space="preserve">В рамках данной модели можно говорить о том, что </w:t>
      </w:r>
      <w:r w:rsidR="00E34F74">
        <w:t>уменьшение объема</w:t>
      </w:r>
      <w:r w:rsidR="002E1C63">
        <w:t xml:space="preserve"> трудовых ресурсов в аграрном секторе влияет</w:t>
      </w:r>
      <w:r w:rsidR="000F2DE7">
        <w:t xml:space="preserve"> </w:t>
      </w:r>
      <w:r w:rsidR="002E1C63">
        <w:t>на экономический рост</w:t>
      </w:r>
      <w:r w:rsidR="00E34F74">
        <w:t xml:space="preserve"> (экстенсивная модель роста)</w:t>
      </w:r>
      <w:r w:rsidR="002E1C63">
        <w:t xml:space="preserve">. </w:t>
      </w:r>
    </w:p>
    <w:p w14:paraId="39B0605D" w14:textId="7D72C1B7" w:rsidR="002E1C63" w:rsidRDefault="002E1C63" w:rsidP="00640BE1">
      <w:pPr>
        <w:pStyle w:val="a3"/>
        <w:ind w:firstLine="709"/>
        <w:jc w:val="both"/>
      </w:pPr>
      <w:r>
        <w:t>Немаловажна и идеологическая составляющая как стратегия проведения реформ в контексте цикличного развития экономики</w:t>
      </w:r>
      <w:r w:rsidR="00075241">
        <w:t xml:space="preserve"> на этапе увеличения экономического роста</w:t>
      </w:r>
      <w:r>
        <w:t xml:space="preserve">. Экономические реформы как производная идеологии создают стимулы для увеличения производства. Экономические агенты заинтересованы в результатах своего труда. Постепенность реформ создает стабильность и механизм позитивных ожиданий, что позволяет избежать шоковых </w:t>
      </w:r>
      <w:r w:rsidR="00075241">
        <w:t>моментов (провалов в экономике).</w:t>
      </w:r>
      <w:r w:rsidR="00A82D38">
        <w:t xml:space="preserve"> Однако необходимо отметить отсутствие «конкретных» показателей к достижению (в рамках прироста ВВП) в четырнадцатой пятилетке</w:t>
      </w:r>
      <w:r w:rsidR="00EF6BFD">
        <w:t>, что зат</w:t>
      </w:r>
      <w:r w:rsidR="002F1DFB">
        <w:t>рудняет прогнозирование развития</w:t>
      </w:r>
      <w:r w:rsidR="00EF6BFD">
        <w:t xml:space="preserve"> экономики Китая.</w:t>
      </w:r>
    </w:p>
    <w:p w14:paraId="2D076B8D" w14:textId="24A37157" w:rsidR="00333ED7" w:rsidRPr="00121DD5" w:rsidRDefault="00333ED7" w:rsidP="00640BE1">
      <w:pPr>
        <w:widowControl w:val="0"/>
        <w:autoSpaceDE w:val="0"/>
        <w:autoSpaceDN w:val="0"/>
        <w:adjustRightInd w:val="0"/>
        <w:spacing w:after="240"/>
        <w:ind w:firstLine="709"/>
        <w:jc w:val="both"/>
        <w:rPr>
          <w:rFonts w:ascii="Times New Roman" w:hAnsi="Times New Roman" w:cs="Times New Roman"/>
          <w:lang w:eastAsia="ru-RU"/>
        </w:rPr>
      </w:pPr>
      <w:r w:rsidRPr="00121DD5">
        <w:rPr>
          <w:rFonts w:ascii="Times New Roman" w:hAnsi="Times New Roman" w:cs="Times New Roman"/>
          <w:lang w:eastAsia="ru-RU"/>
        </w:rPr>
        <w:t>Сырьевые отрасли</w:t>
      </w:r>
      <w:r>
        <w:rPr>
          <w:rFonts w:ascii="Times New Roman" w:hAnsi="Times New Roman" w:cs="Times New Roman"/>
          <w:lang w:eastAsia="ru-RU"/>
        </w:rPr>
        <w:t xml:space="preserve"> являются </w:t>
      </w:r>
      <w:r w:rsidRPr="00121DD5">
        <w:rPr>
          <w:rFonts w:ascii="Times New Roman" w:hAnsi="Times New Roman" w:cs="Times New Roman"/>
          <w:lang w:eastAsia="ru-RU"/>
        </w:rPr>
        <w:t xml:space="preserve">традиционно </w:t>
      </w:r>
      <w:r>
        <w:rPr>
          <w:rFonts w:ascii="Times New Roman" w:hAnsi="Times New Roman" w:cs="Times New Roman"/>
          <w:lang w:eastAsia="ru-RU"/>
        </w:rPr>
        <w:t>«узкими»</w:t>
      </w:r>
      <w:r w:rsidRPr="00121DD5">
        <w:rPr>
          <w:rFonts w:ascii="Times New Roman" w:hAnsi="Times New Roman" w:cs="Times New Roman"/>
          <w:lang w:eastAsia="ru-RU"/>
        </w:rPr>
        <w:t xml:space="preserve"> </w:t>
      </w:r>
      <w:r>
        <w:rPr>
          <w:rFonts w:ascii="Times New Roman" w:hAnsi="Times New Roman" w:cs="Times New Roman"/>
          <w:lang w:eastAsia="ru-RU"/>
        </w:rPr>
        <w:t>местами</w:t>
      </w:r>
      <w:r w:rsidRPr="00121DD5">
        <w:rPr>
          <w:rFonts w:ascii="Times New Roman" w:hAnsi="Times New Roman" w:cs="Times New Roman"/>
          <w:lang w:eastAsia="ru-RU"/>
        </w:rPr>
        <w:t xml:space="preserve"> китайской экономики</w:t>
      </w:r>
      <w:r w:rsidR="00D2206E">
        <w:rPr>
          <w:rFonts w:ascii="Times New Roman" w:hAnsi="Times New Roman" w:cs="Times New Roman"/>
          <w:lang w:eastAsia="ru-RU"/>
        </w:rPr>
        <w:t>.</w:t>
      </w:r>
      <w:r w:rsidRPr="00121DD5">
        <w:rPr>
          <w:rFonts w:ascii="Times New Roman" w:hAnsi="Times New Roman" w:cs="Times New Roman"/>
          <w:lang w:eastAsia="ru-RU"/>
        </w:rPr>
        <w:t xml:space="preserve"> </w:t>
      </w:r>
      <w:r w:rsidR="00D2206E">
        <w:rPr>
          <w:rFonts w:ascii="Times New Roman" w:hAnsi="Times New Roman" w:cs="Times New Roman"/>
          <w:lang w:eastAsia="ru-RU"/>
        </w:rPr>
        <w:t>Обострение проблем</w:t>
      </w:r>
      <w:r w:rsidRPr="00121DD5">
        <w:rPr>
          <w:rFonts w:ascii="Times New Roman" w:hAnsi="Times New Roman" w:cs="Times New Roman"/>
          <w:lang w:eastAsia="ru-RU"/>
        </w:rPr>
        <w:t xml:space="preserve"> </w:t>
      </w:r>
      <w:r w:rsidR="00D2206E">
        <w:rPr>
          <w:rFonts w:ascii="Times New Roman" w:hAnsi="Times New Roman" w:cs="Times New Roman"/>
          <w:lang w:eastAsia="ru-RU"/>
        </w:rPr>
        <w:t xml:space="preserve">происходит в случае </w:t>
      </w:r>
      <w:r w:rsidRPr="00121DD5">
        <w:rPr>
          <w:rFonts w:ascii="Times New Roman" w:hAnsi="Times New Roman" w:cs="Times New Roman"/>
          <w:lang w:eastAsia="ru-RU"/>
        </w:rPr>
        <w:t>перегрев</w:t>
      </w:r>
      <w:r w:rsidR="00D2206E">
        <w:rPr>
          <w:rFonts w:ascii="Times New Roman" w:hAnsi="Times New Roman" w:cs="Times New Roman"/>
          <w:lang w:eastAsia="ru-RU"/>
        </w:rPr>
        <w:t>а</w:t>
      </w:r>
      <w:r w:rsidRPr="00121DD5">
        <w:rPr>
          <w:rFonts w:ascii="Times New Roman" w:hAnsi="Times New Roman" w:cs="Times New Roman"/>
          <w:lang w:eastAsia="ru-RU"/>
        </w:rPr>
        <w:t xml:space="preserve"> экономики, когда рост цен порождает инфляцию издержек. Предприятия вынуждены останавливаться </w:t>
      </w:r>
      <w:r w:rsidR="002434A2">
        <w:rPr>
          <w:rFonts w:ascii="Times New Roman" w:hAnsi="Times New Roman" w:cs="Times New Roman"/>
          <w:lang w:eastAsia="ru-RU"/>
        </w:rPr>
        <w:t>ввиду</w:t>
      </w:r>
      <w:r w:rsidRPr="00121DD5">
        <w:rPr>
          <w:rFonts w:ascii="Times New Roman" w:hAnsi="Times New Roman" w:cs="Times New Roman"/>
          <w:lang w:eastAsia="ru-RU"/>
        </w:rPr>
        <w:t xml:space="preserve"> нехватки энергии</w:t>
      </w:r>
      <w:r w:rsidR="002975B1">
        <w:rPr>
          <w:rFonts w:ascii="Times New Roman" w:hAnsi="Times New Roman" w:cs="Times New Roman"/>
          <w:lang w:eastAsia="ru-RU"/>
        </w:rPr>
        <w:t>.</w:t>
      </w:r>
      <w:r w:rsidR="00733200">
        <w:rPr>
          <w:rFonts w:ascii="Times New Roman" w:hAnsi="Times New Roman" w:cs="Times New Roman"/>
          <w:lang w:eastAsia="ru-RU"/>
        </w:rPr>
        <w:t xml:space="preserve"> </w:t>
      </w:r>
    </w:p>
    <w:p w14:paraId="77794677" w14:textId="02913234" w:rsidR="00B04594" w:rsidRPr="00C41C6D" w:rsidRDefault="00B04594" w:rsidP="00640BE1">
      <w:pPr>
        <w:pStyle w:val="a3"/>
        <w:jc w:val="center"/>
        <w:rPr>
          <w:b/>
          <w:i/>
        </w:rPr>
      </w:pPr>
      <w:r w:rsidRPr="00C41C6D">
        <w:rPr>
          <w:b/>
          <w:i/>
        </w:rPr>
        <w:lastRenderedPageBreak/>
        <w:t>Региональный разрез</w:t>
      </w:r>
    </w:p>
    <w:p w14:paraId="2814CF49" w14:textId="16C6AD42" w:rsidR="006450F6" w:rsidRDefault="006450F6" w:rsidP="00640BE1">
      <w:pPr>
        <w:widowControl w:val="0"/>
        <w:autoSpaceDE w:val="0"/>
        <w:autoSpaceDN w:val="0"/>
        <w:adjustRightInd w:val="0"/>
        <w:spacing w:after="240"/>
        <w:ind w:firstLine="709"/>
        <w:jc w:val="both"/>
        <w:rPr>
          <w:rFonts w:ascii="Arial" w:hAnsi="Arial" w:cs="Arial"/>
          <w:color w:val="000000"/>
          <w:sz w:val="32"/>
          <w:szCs w:val="32"/>
        </w:rPr>
      </w:pPr>
      <w:r>
        <w:rPr>
          <w:rFonts w:ascii="Times New Roman" w:hAnsi="Times New Roman" w:cs="Times New Roman"/>
          <w:lang w:eastAsia="ru-RU"/>
        </w:rPr>
        <w:t xml:space="preserve">Население восточных провинций </w:t>
      </w:r>
      <w:r w:rsidR="002F1DFB">
        <w:rPr>
          <w:rFonts w:ascii="Times New Roman" w:hAnsi="Times New Roman" w:cs="Times New Roman"/>
          <w:lang w:eastAsia="ru-RU"/>
        </w:rPr>
        <w:t xml:space="preserve">Китая </w:t>
      </w:r>
      <w:r>
        <w:rPr>
          <w:rFonts w:ascii="Times New Roman" w:hAnsi="Times New Roman" w:cs="Times New Roman"/>
          <w:lang w:eastAsia="ru-RU"/>
        </w:rPr>
        <w:t>относи</w:t>
      </w:r>
      <w:r w:rsidRPr="00C56313">
        <w:rPr>
          <w:rFonts w:ascii="Times New Roman" w:hAnsi="Times New Roman" w:cs="Times New Roman"/>
          <w:lang w:eastAsia="ru-RU"/>
        </w:rPr>
        <w:t xml:space="preserve">тся к среднему классу или </w:t>
      </w:r>
      <w:r>
        <w:rPr>
          <w:rFonts w:ascii="Times New Roman" w:hAnsi="Times New Roman" w:cs="Times New Roman"/>
          <w:lang w:eastAsia="ru-RU"/>
        </w:rPr>
        <w:t>среднему зажиточному классу</w:t>
      </w:r>
      <w:r w:rsidRPr="00C56313">
        <w:rPr>
          <w:rFonts w:ascii="Times New Roman" w:hAnsi="Times New Roman" w:cs="Times New Roman"/>
          <w:lang w:eastAsia="ru-RU"/>
        </w:rPr>
        <w:t xml:space="preserve">. </w:t>
      </w:r>
      <w:r>
        <w:rPr>
          <w:rFonts w:ascii="Times New Roman" w:hAnsi="Times New Roman" w:cs="Times New Roman"/>
          <w:lang w:eastAsia="ru-RU"/>
        </w:rPr>
        <w:t>Данный класс склонен</w:t>
      </w:r>
      <w:r w:rsidRPr="00C56313">
        <w:rPr>
          <w:rFonts w:ascii="Times New Roman" w:hAnsi="Times New Roman" w:cs="Times New Roman"/>
          <w:lang w:eastAsia="ru-RU"/>
        </w:rPr>
        <w:t xml:space="preserve"> к </w:t>
      </w:r>
      <w:r>
        <w:rPr>
          <w:rFonts w:ascii="Times New Roman" w:hAnsi="Times New Roman" w:cs="Times New Roman"/>
          <w:lang w:eastAsia="ru-RU"/>
        </w:rPr>
        <w:t>приобретению</w:t>
      </w:r>
      <w:r w:rsidR="005F7E58">
        <w:rPr>
          <w:rFonts w:ascii="Times New Roman" w:hAnsi="Times New Roman" w:cs="Times New Roman"/>
          <w:lang w:eastAsia="ru-RU"/>
        </w:rPr>
        <w:t xml:space="preserve"> статусных товаров (недвижимости, автомобилей</w:t>
      </w:r>
      <w:r>
        <w:rPr>
          <w:rFonts w:ascii="Times New Roman" w:hAnsi="Times New Roman" w:cs="Times New Roman"/>
          <w:lang w:eastAsia="ru-RU"/>
        </w:rPr>
        <w:t>), стимулируя</w:t>
      </w:r>
      <w:r w:rsidRPr="00C56313">
        <w:rPr>
          <w:rFonts w:ascii="Times New Roman" w:hAnsi="Times New Roman" w:cs="Times New Roman"/>
          <w:lang w:eastAsia="ru-RU"/>
        </w:rPr>
        <w:t xml:space="preserve"> спрос на эти товары. Значительная часть </w:t>
      </w:r>
      <w:r>
        <w:rPr>
          <w:rFonts w:ascii="Times New Roman" w:hAnsi="Times New Roman" w:cs="Times New Roman"/>
          <w:lang w:eastAsia="ru-RU"/>
        </w:rPr>
        <w:t xml:space="preserve">населения восточных провинций </w:t>
      </w:r>
      <w:r w:rsidRPr="00C56313">
        <w:rPr>
          <w:rFonts w:ascii="Times New Roman" w:hAnsi="Times New Roman" w:cs="Times New Roman"/>
          <w:lang w:eastAsia="ru-RU"/>
        </w:rPr>
        <w:t>занята в экспортном секторе</w:t>
      </w:r>
      <w:r w:rsidR="002E53C0">
        <w:rPr>
          <w:rFonts w:ascii="Times New Roman" w:hAnsi="Times New Roman" w:cs="Times New Roman"/>
          <w:lang w:eastAsia="ru-RU"/>
        </w:rPr>
        <w:t xml:space="preserve"> (экспортоориентированные экономики)</w:t>
      </w:r>
      <w:r w:rsidRPr="00C56313">
        <w:rPr>
          <w:rFonts w:ascii="Times New Roman" w:hAnsi="Times New Roman" w:cs="Times New Roman"/>
          <w:lang w:eastAsia="ru-RU"/>
        </w:rPr>
        <w:t>, в том числе</w:t>
      </w:r>
      <w:r>
        <w:rPr>
          <w:rFonts w:ascii="Times New Roman" w:hAnsi="Times New Roman" w:cs="Times New Roman"/>
          <w:lang w:eastAsia="ru-RU"/>
        </w:rPr>
        <w:t xml:space="preserve"> </w:t>
      </w:r>
      <w:r w:rsidR="00A06EC9">
        <w:rPr>
          <w:rFonts w:ascii="Times New Roman" w:hAnsi="Times New Roman" w:cs="Times New Roman"/>
          <w:lang w:eastAsia="ru-RU"/>
        </w:rPr>
        <w:t>на</w:t>
      </w:r>
      <w:r>
        <w:rPr>
          <w:rFonts w:ascii="Times New Roman" w:hAnsi="Times New Roman" w:cs="Times New Roman"/>
          <w:lang w:eastAsia="ru-RU"/>
        </w:rPr>
        <w:t xml:space="preserve"> предприятия</w:t>
      </w:r>
      <w:r w:rsidRPr="00C56313">
        <w:rPr>
          <w:rFonts w:ascii="Times New Roman" w:hAnsi="Times New Roman" w:cs="Times New Roman"/>
          <w:lang w:eastAsia="ru-RU"/>
        </w:rPr>
        <w:t>х с иностранными</w:t>
      </w:r>
      <w:r>
        <w:rPr>
          <w:rFonts w:ascii="Times New Roman" w:hAnsi="Times New Roman" w:cs="Times New Roman"/>
          <w:lang w:eastAsia="ru-RU"/>
        </w:rPr>
        <w:t xml:space="preserve"> инвестициями. </w:t>
      </w:r>
      <w:r w:rsidR="00A06EC9">
        <w:rPr>
          <w:rFonts w:ascii="Times New Roman" w:hAnsi="Times New Roman" w:cs="Times New Roman"/>
          <w:lang w:eastAsia="ru-RU"/>
        </w:rPr>
        <w:t>Когда н</w:t>
      </w:r>
      <w:r w:rsidR="001E5D2E">
        <w:rPr>
          <w:rFonts w:ascii="Times New Roman" w:hAnsi="Times New Roman" w:cs="Times New Roman"/>
          <w:lang w:eastAsia="ru-RU"/>
        </w:rPr>
        <w:t>а внутреннем рынке Китая</w:t>
      </w:r>
      <w:r w:rsidRPr="00C56313">
        <w:rPr>
          <w:rFonts w:ascii="Times New Roman" w:hAnsi="Times New Roman" w:cs="Times New Roman"/>
          <w:lang w:eastAsia="ru-RU"/>
        </w:rPr>
        <w:t xml:space="preserve"> сохраняется </w:t>
      </w:r>
      <w:r w:rsidR="00A06EC9">
        <w:rPr>
          <w:rFonts w:ascii="Times New Roman" w:hAnsi="Times New Roman" w:cs="Times New Roman"/>
          <w:lang w:eastAsia="ru-RU"/>
        </w:rPr>
        <w:t>избыточное предложение, б</w:t>
      </w:r>
      <w:r w:rsidRPr="00C56313">
        <w:rPr>
          <w:rFonts w:ascii="Times New Roman" w:hAnsi="Times New Roman" w:cs="Times New Roman"/>
          <w:lang w:eastAsia="ru-RU"/>
        </w:rPr>
        <w:t xml:space="preserve">ольшая часть населения существует в условиях перепроизводства, которое </w:t>
      </w:r>
      <w:r w:rsidR="00A06EC9">
        <w:rPr>
          <w:rFonts w:ascii="Times New Roman" w:hAnsi="Times New Roman" w:cs="Times New Roman"/>
          <w:lang w:eastAsia="ru-RU"/>
        </w:rPr>
        <w:t>не исчезает</w:t>
      </w:r>
      <w:r w:rsidRPr="00C56313">
        <w:rPr>
          <w:rFonts w:ascii="Times New Roman" w:hAnsi="Times New Roman" w:cs="Times New Roman"/>
          <w:lang w:eastAsia="ru-RU"/>
        </w:rPr>
        <w:t xml:space="preserve"> и поддерживается низким уровн</w:t>
      </w:r>
      <w:r w:rsidR="00A06EC9">
        <w:rPr>
          <w:rFonts w:ascii="Times New Roman" w:hAnsi="Times New Roman" w:cs="Times New Roman"/>
          <w:lang w:eastAsia="ru-RU"/>
        </w:rPr>
        <w:t>ем доходов и мягкими</w:t>
      </w:r>
      <w:r w:rsidRPr="00C56313">
        <w:rPr>
          <w:rFonts w:ascii="Times New Roman" w:hAnsi="Times New Roman" w:cs="Times New Roman"/>
          <w:lang w:eastAsia="ru-RU"/>
        </w:rPr>
        <w:t xml:space="preserve"> </w:t>
      </w:r>
      <w:r w:rsidR="00A06EC9">
        <w:rPr>
          <w:rFonts w:ascii="Times New Roman" w:hAnsi="Times New Roman" w:cs="Times New Roman"/>
          <w:lang w:eastAsia="ru-RU"/>
        </w:rPr>
        <w:t>бюджетными</w:t>
      </w:r>
      <w:r>
        <w:rPr>
          <w:rFonts w:ascii="Times New Roman" w:hAnsi="Times New Roman" w:cs="Times New Roman"/>
          <w:lang w:eastAsia="ru-RU"/>
        </w:rPr>
        <w:t xml:space="preserve"> ограничения</w:t>
      </w:r>
      <w:r w:rsidR="00A06EC9">
        <w:rPr>
          <w:rFonts w:ascii="Times New Roman" w:hAnsi="Times New Roman" w:cs="Times New Roman"/>
          <w:lang w:eastAsia="ru-RU"/>
        </w:rPr>
        <w:t>ми</w:t>
      </w:r>
      <w:r w:rsidRPr="00C56313">
        <w:rPr>
          <w:rFonts w:ascii="Times New Roman" w:hAnsi="Times New Roman" w:cs="Times New Roman"/>
          <w:lang w:eastAsia="ru-RU"/>
        </w:rPr>
        <w:t xml:space="preserve">. Это порождает создание новых избыточных мощностей. </w:t>
      </w:r>
      <w:r w:rsidR="00F543AC">
        <w:rPr>
          <w:rFonts w:ascii="Times New Roman" w:hAnsi="Times New Roman" w:cs="Times New Roman"/>
          <w:lang w:eastAsia="ru-RU"/>
        </w:rPr>
        <w:t xml:space="preserve">В </w:t>
      </w:r>
      <w:r w:rsidR="00334360">
        <w:rPr>
          <w:rFonts w:ascii="Times New Roman" w:hAnsi="Times New Roman" w:cs="Times New Roman"/>
          <w:lang w:eastAsia="ru-RU"/>
        </w:rPr>
        <w:t>китайской</w:t>
      </w:r>
      <w:r w:rsidR="00F543AC">
        <w:rPr>
          <w:rFonts w:ascii="Times New Roman" w:hAnsi="Times New Roman" w:cs="Times New Roman"/>
          <w:lang w:eastAsia="ru-RU"/>
        </w:rPr>
        <w:t xml:space="preserve"> экономике</w:t>
      </w:r>
      <w:r w:rsidRPr="00C56313">
        <w:rPr>
          <w:rFonts w:ascii="Times New Roman" w:hAnsi="Times New Roman" w:cs="Times New Roman"/>
          <w:lang w:eastAsia="ru-RU"/>
        </w:rPr>
        <w:t xml:space="preserve"> сосуществуют различные виды макроэкономических дисбалансов: в одном</w:t>
      </w:r>
      <w:r>
        <w:rPr>
          <w:rFonts w:ascii="Arial" w:hAnsi="Arial" w:cs="Arial"/>
          <w:color w:val="000000"/>
          <w:sz w:val="32"/>
          <w:szCs w:val="32"/>
        </w:rPr>
        <w:t xml:space="preserve"> </w:t>
      </w:r>
      <w:r w:rsidRPr="00C56313">
        <w:rPr>
          <w:rFonts w:ascii="Times New Roman" w:hAnsi="Times New Roman" w:cs="Times New Roman"/>
          <w:lang w:eastAsia="ru-RU"/>
        </w:rPr>
        <w:t>секторе - инфляция, в другом секторе - дефляция. В пре</w:t>
      </w:r>
      <w:r w:rsidR="003F3187">
        <w:rPr>
          <w:rFonts w:ascii="Times New Roman" w:hAnsi="Times New Roman" w:cs="Times New Roman"/>
          <w:lang w:eastAsia="ru-RU"/>
        </w:rPr>
        <w:t>дыдущие десятилетия инфляция и дефляция</w:t>
      </w:r>
      <w:r w:rsidRPr="00C56313">
        <w:rPr>
          <w:rFonts w:ascii="Times New Roman" w:hAnsi="Times New Roman" w:cs="Times New Roman"/>
          <w:lang w:eastAsia="ru-RU"/>
        </w:rPr>
        <w:t xml:space="preserve"> </w:t>
      </w:r>
      <w:r w:rsidR="003F3187">
        <w:rPr>
          <w:rFonts w:ascii="Times New Roman" w:hAnsi="Times New Roman" w:cs="Times New Roman"/>
          <w:lang w:eastAsia="ru-RU"/>
        </w:rPr>
        <w:t xml:space="preserve">чередовались друг с другом на </w:t>
      </w:r>
      <w:r w:rsidRPr="00C56313">
        <w:rPr>
          <w:rFonts w:ascii="Times New Roman" w:hAnsi="Times New Roman" w:cs="Times New Roman"/>
          <w:lang w:eastAsia="ru-RU"/>
        </w:rPr>
        <w:t xml:space="preserve">разных фазах экономического </w:t>
      </w:r>
      <w:r w:rsidR="003F3187">
        <w:rPr>
          <w:rFonts w:ascii="Times New Roman" w:hAnsi="Times New Roman" w:cs="Times New Roman"/>
          <w:lang w:eastAsia="ru-RU"/>
        </w:rPr>
        <w:t>развития</w:t>
      </w:r>
      <w:r w:rsidRPr="00C56313">
        <w:rPr>
          <w:rFonts w:ascii="Times New Roman" w:hAnsi="Times New Roman" w:cs="Times New Roman"/>
          <w:lang w:eastAsia="ru-RU"/>
        </w:rPr>
        <w:t xml:space="preserve">. </w:t>
      </w:r>
      <w:r w:rsidR="003C77DF">
        <w:rPr>
          <w:rFonts w:ascii="Times New Roman" w:hAnsi="Times New Roman" w:cs="Times New Roman"/>
          <w:lang w:eastAsia="ru-RU"/>
        </w:rPr>
        <w:t>В современной экономике Китая инфляция и дефляция могут присутствовать</w:t>
      </w:r>
      <w:r w:rsidRPr="00C56313">
        <w:rPr>
          <w:rFonts w:ascii="Times New Roman" w:hAnsi="Times New Roman" w:cs="Times New Roman"/>
          <w:lang w:eastAsia="ru-RU"/>
        </w:rPr>
        <w:t xml:space="preserve"> одновременно, </w:t>
      </w:r>
      <w:r w:rsidR="003C77DF">
        <w:rPr>
          <w:rFonts w:ascii="Times New Roman" w:hAnsi="Times New Roman" w:cs="Times New Roman"/>
          <w:lang w:eastAsia="ru-RU"/>
        </w:rPr>
        <w:t>что</w:t>
      </w:r>
      <w:r w:rsidRPr="00C56313">
        <w:rPr>
          <w:rFonts w:ascii="Times New Roman" w:hAnsi="Times New Roman" w:cs="Times New Roman"/>
          <w:lang w:eastAsia="ru-RU"/>
        </w:rPr>
        <w:t xml:space="preserve"> сужает </w:t>
      </w:r>
      <w:r w:rsidR="00690933">
        <w:rPr>
          <w:rFonts w:ascii="Times New Roman" w:hAnsi="Times New Roman" w:cs="Times New Roman"/>
          <w:lang w:eastAsia="ru-RU"/>
        </w:rPr>
        <w:t>окно возможностей</w:t>
      </w:r>
      <w:r w:rsidRPr="00C56313">
        <w:rPr>
          <w:rFonts w:ascii="Times New Roman" w:hAnsi="Times New Roman" w:cs="Times New Roman"/>
          <w:lang w:eastAsia="ru-RU"/>
        </w:rPr>
        <w:t xml:space="preserve"> для </w:t>
      </w:r>
      <w:r w:rsidR="00700897">
        <w:rPr>
          <w:rFonts w:ascii="Times New Roman" w:hAnsi="Times New Roman" w:cs="Times New Roman"/>
          <w:lang w:eastAsia="ru-RU"/>
        </w:rPr>
        <w:t xml:space="preserve">проведения </w:t>
      </w:r>
      <w:r w:rsidRPr="00C56313">
        <w:rPr>
          <w:rFonts w:ascii="Times New Roman" w:hAnsi="Times New Roman" w:cs="Times New Roman"/>
          <w:lang w:eastAsia="ru-RU"/>
        </w:rPr>
        <w:t>экономической политики.</w:t>
      </w:r>
      <w:r>
        <w:rPr>
          <w:rFonts w:ascii="Arial" w:hAnsi="Arial" w:cs="Arial"/>
          <w:color w:val="000000"/>
          <w:sz w:val="32"/>
          <w:szCs w:val="32"/>
        </w:rPr>
        <w:t xml:space="preserve"> </w:t>
      </w:r>
      <w:r w:rsidR="00A55134">
        <w:rPr>
          <w:rFonts w:ascii="Times New Roman" w:hAnsi="Times New Roman" w:cs="Times New Roman"/>
          <w:lang w:eastAsia="ru-RU"/>
        </w:rPr>
        <w:t>В</w:t>
      </w:r>
      <w:r w:rsidR="005C66E6" w:rsidRPr="005C66E6">
        <w:rPr>
          <w:rFonts w:ascii="Times New Roman" w:hAnsi="Times New Roman" w:cs="Times New Roman"/>
          <w:lang w:eastAsia="ru-RU"/>
        </w:rPr>
        <w:t xml:space="preserve"> условиях дефляции, когда выявилась ограниченность платежеспособного спроса экономики, </w:t>
      </w:r>
      <w:r w:rsidR="00C20A3B">
        <w:rPr>
          <w:rFonts w:ascii="Times New Roman" w:hAnsi="Times New Roman" w:cs="Times New Roman"/>
          <w:lang w:eastAsia="ru-RU"/>
        </w:rPr>
        <w:t xml:space="preserve">региональная </w:t>
      </w:r>
      <w:r w:rsidR="005C66E6" w:rsidRPr="005C66E6">
        <w:rPr>
          <w:rFonts w:ascii="Times New Roman" w:hAnsi="Times New Roman" w:cs="Times New Roman"/>
          <w:lang w:eastAsia="ru-RU"/>
        </w:rPr>
        <w:t>дифференц</w:t>
      </w:r>
      <w:r w:rsidR="003930C9">
        <w:rPr>
          <w:rFonts w:ascii="Times New Roman" w:hAnsi="Times New Roman" w:cs="Times New Roman"/>
          <w:lang w:eastAsia="ru-RU"/>
        </w:rPr>
        <w:t>иац</w:t>
      </w:r>
      <w:r w:rsidR="005C66E6" w:rsidRPr="005C66E6">
        <w:rPr>
          <w:rFonts w:ascii="Times New Roman" w:hAnsi="Times New Roman" w:cs="Times New Roman"/>
          <w:lang w:eastAsia="ru-RU"/>
        </w:rPr>
        <w:t xml:space="preserve">ия, которая выступала раньше стимулом, стала </w:t>
      </w:r>
      <w:r w:rsidR="00C20A3B">
        <w:rPr>
          <w:rFonts w:ascii="Times New Roman" w:hAnsi="Times New Roman" w:cs="Times New Roman"/>
          <w:lang w:eastAsia="ru-RU"/>
        </w:rPr>
        <w:t>сдерживающим фактором</w:t>
      </w:r>
      <w:r w:rsidR="005C66E6" w:rsidRPr="005C66E6">
        <w:rPr>
          <w:rFonts w:ascii="Times New Roman" w:hAnsi="Times New Roman" w:cs="Times New Roman"/>
          <w:lang w:eastAsia="ru-RU"/>
        </w:rPr>
        <w:t xml:space="preserve"> для развития Китая.</w:t>
      </w:r>
      <w:r w:rsidR="005C66E6">
        <w:rPr>
          <w:rFonts w:ascii="Arial" w:hAnsi="Arial" w:cs="Arial"/>
          <w:color w:val="000000"/>
          <w:sz w:val="32"/>
          <w:szCs w:val="32"/>
        </w:rPr>
        <w:t xml:space="preserve"> </w:t>
      </w:r>
    </w:p>
    <w:p w14:paraId="26514983" w14:textId="6047C92E" w:rsidR="00696E7B" w:rsidRPr="00AD0D56" w:rsidRDefault="009347DC" w:rsidP="00640BE1">
      <w:pPr>
        <w:widowControl w:val="0"/>
        <w:autoSpaceDE w:val="0"/>
        <w:autoSpaceDN w:val="0"/>
        <w:adjustRightInd w:val="0"/>
        <w:spacing w:after="240"/>
        <w:ind w:firstLine="709"/>
        <w:jc w:val="both"/>
        <w:rPr>
          <w:rFonts w:ascii="Times New Roman" w:hAnsi="Times New Roman" w:cs="Times New Roman"/>
          <w:lang w:eastAsia="ru-RU"/>
        </w:rPr>
      </w:pPr>
      <w:r>
        <w:rPr>
          <w:rFonts w:ascii="Times New Roman" w:hAnsi="Times New Roman" w:cs="Times New Roman"/>
          <w:lang w:eastAsia="ru-RU"/>
        </w:rPr>
        <w:t xml:space="preserve">Темпы экономического роста региональных экономик различаются. До 2010 года </w:t>
      </w:r>
      <w:r w:rsidR="008837B6">
        <w:rPr>
          <w:rFonts w:ascii="Times New Roman" w:hAnsi="Times New Roman" w:cs="Times New Roman"/>
          <w:lang w:eastAsia="ru-RU"/>
        </w:rPr>
        <w:t>все</w:t>
      </w:r>
      <w:r>
        <w:rPr>
          <w:rFonts w:ascii="Times New Roman" w:hAnsi="Times New Roman" w:cs="Times New Roman"/>
          <w:lang w:eastAsia="ru-RU"/>
        </w:rPr>
        <w:t xml:space="preserve"> </w:t>
      </w:r>
      <w:r w:rsidR="008837B6">
        <w:rPr>
          <w:rFonts w:ascii="Times New Roman" w:hAnsi="Times New Roman" w:cs="Times New Roman"/>
          <w:lang w:eastAsia="ru-RU"/>
        </w:rPr>
        <w:t>регионы</w:t>
      </w:r>
      <w:r>
        <w:rPr>
          <w:rFonts w:ascii="Times New Roman" w:hAnsi="Times New Roman" w:cs="Times New Roman"/>
          <w:lang w:eastAsia="ru-RU"/>
        </w:rPr>
        <w:t xml:space="preserve"> Китая показали экономический рост. После 2010 года </w:t>
      </w:r>
      <w:r w:rsidR="008837B6">
        <w:rPr>
          <w:rFonts w:ascii="Times New Roman" w:hAnsi="Times New Roman" w:cs="Times New Roman"/>
          <w:lang w:eastAsia="ru-RU"/>
        </w:rPr>
        <w:t xml:space="preserve">(для Восточных регионов с 2008 г.) </w:t>
      </w:r>
      <w:r>
        <w:rPr>
          <w:rFonts w:ascii="Times New Roman" w:hAnsi="Times New Roman" w:cs="Times New Roman"/>
          <w:lang w:eastAsia="ru-RU"/>
        </w:rPr>
        <w:t>началась фаза снижения экономического роста</w:t>
      </w:r>
      <w:r w:rsidR="005E61FF">
        <w:rPr>
          <w:rFonts w:ascii="Times New Roman" w:hAnsi="Times New Roman" w:cs="Times New Roman"/>
          <w:lang w:eastAsia="ru-RU"/>
        </w:rPr>
        <w:t>, или</w:t>
      </w:r>
      <w:r>
        <w:rPr>
          <w:rFonts w:ascii="Times New Roman" w:hAnsi="Times New Roman" w:cs="Times New Roman"/>
          <w:lang w:eastAsia="ru-RU"/>
        </w:rPr>
        <w:t xml:space="preserve"> </w:t>
      </w:r>
      <w:r w:rsidR="00E507E7">
        <w:rPr>
          <w:rFonts w:ascii="Times New Roman" w:hAnsi="Times New Roman" w:cs="Times New Roman"/>
          <w:lang w:eastAsia="ru-RU"/>
        </w:rPr>
        <w:t>«</w:t>
      </w:r>
      <w:r>
        <w:rPr>
          <w:rFonts w:ascii="Times New Roman" w:hAnsi="Times New Roman" w:cs="Times New Roman"/>
          <w:lang w:eastAsia="ru-RU"/>
        </w:rPr>
        <w:t>новая нормальность» в реги</w:t>
      </w:r>
      <w:r w:rsidR="005E61FF">
        <w:rPr>
          <w:rFonts w:ascii="Times New Roman" w:hAnsi="Times New Roman" w:cs="Times New Roman"/>
          <w:lang w:eastAsia="ru-RU"/>
        </w:rPr>
        <w:t>ональном разрезе</w:t>
      </w:r>
      <w:r>
        <w:rPr>
          <w:rFonts w:ascii="Times New Roman" w:hAnsi="Times New Roman" w:cs="Times New Roman"/>
          <w:lang w:eastAsia="ru-RU"/>
        </w:rPr>
        <w:t xml:space="preserve">. </w:t>
      </w:r>
      <w:r w:rsidR="00F12224">
        <w:rPr>
          <w:rFonts w:ascii="Times New Roman" w:hAnsi="Times New Roman" w:cs="Times New Roman"/>
          <w:lang w:eastAsia="ru-RU"/>
        </w:rPr>
        <w:t xml:space="preserve">Более активное снижение экономического роста наблюдалось </w:t>
      </w:r>
      <w:r w:rsidR="008837B6">
        <w:rPr>
          <w:rFonts w:ascii="Times New Roman" w:hAnsi="Times New Roman" w:cs="Times New Roman"/>
          <w:lang w:eastAsia="ru-RU"/>
        </w:rPr>
        <w:t>у экономик Восточного региона ввиду снижения мирового спроса на  продукцию Китая.</w:t>
      </w:r>
    </w:p>
    <w:p w14:paraId="06A17D45" w14:textId="3875660C" w:rsidR="00992513" w:rsidRDefault="0043397D" w:rsidP="0043397D">
      <w:pPr>
        <w:widowControl w:val="0"/>
        <w:autoSpaceDE w:val="0"/>
        <w:autoSpaceDN w:val="0"/>
        <w:adjustRightInd w:val="0"/>
        <w:spacing w:after="240"/>
        <w:jc w:val="center"/>
        <w:rPr>
          <w:rFonts w:ascii="Times New Roman" w:hAnsi="Times New Roman" w:cs="Times New Roman"/>
          <w:b/>
          <w:sz w:val="32"/>
          <w:szCs w:val="32"/>
          <w:vertAlign w:val="superscript"/>
          <w:lang w:eastAsia="ru-RU"/>
        </w:rPr>
      </w:pPr>
      <w:r>
        <w:rPr>
          <w:rFonts w:ascii="Times New Roman" w:hAnsi="Times New Roman" w:cs="Times New Roman"/>
          <w:b/>
          <w:lang w:eastAsia="ru-RU"/>
        </w:rPr>
        <w:t xml:space="preserve">                                </w:t>
      </w:r>
      <w:r w:rsidR="00992513">
        <w:rPr>
          <w:rFonts w:ascii="Times New Roman" w:hAnsi="Times New Roman" w:cs="Times New Roman"/>
          <w:b/>
          <w:lang w:eastAsia="ru-RU"/>
        </w:rPr>
        <w:t xml:space="preserve">Совокупные </w:t>
      </w:r>
      <w:r>
        <w:rPr>
          <w:rFonts w:ascii="Times New Roman" w:hAnsi="Times New Roman" w:cs="Times New Roman"/>
          <w:b/>
          <w:lang w:eastAsia="ru-RU"/>
        </w:rPr>
        <w:t>годовые</w:t>
      </w:r>
      <w:r w:rsidRPr="000A0751">
        <w:rPr>
          <w:rFonts w:ascii="Times New Roman" w:hAnsi="Times New Roman" w:cs="Times New Roman"/>
          <w:b/>
          <w:lang w:eastAsia="ru-RU"/>
        </w:rPr>
        <w:t xml:space="preserve"> </w:t>
      </w:r>
      <w:r w:rsidR="00992513" w:rsidRPr="000A0751">
        <w:rPr>
          <w:rFonts w:ascii="Times New Roman" w:hAnsi="Times New Roman" w:cs="Times New Roman"/>
          <w:b/>
          <w:lang w:eastAsia="ru-RU"/>
        </w:rPr>
        <w:t>темпы прироста ВРП</w:t>
      </w:r>
      <w:r w:rsidR="00992513">
        <w:rPr>
          <w:rFonts w:ascii="Times New Roman" w:hAnsi="Times New Roman" w:cs="Times New Roman"/>
          <w:b/>
          <w:lang w:eastAsia="ru-RU"/>
        </w:rPr>
        <w:t xml:space="preserve"> (%)</w:t>
      </w:r>
      <w:r>
        <w:rPr>
          <w:rFonts w:ascii="Times New Roman" w:hAnsi="Times New Roman" w:cs="Times New Roman"/>
          <w:b/>
          <w:lang w:eastAsia="ru-RU"/>
        </w:rPr>
        <w:t xml:space="preserve">            </w:t>
      </w:r>
      <w:r w:rsidRPr="0043397D">
        <w:rPr>
          <w:rFonts w:ascii="Times New Roman" w:hAnsi="Times New Roman" w:cs="Times New Roman"/>
          <w:b/>
          <w:sz w:val="32"/>
          <w:szCs w:val="32"/>
          <w:vertAlign w:val="superscript"/>
          <w:lang w:eastAsia="ru-RU"/>
        </w:rPr>
        <w:t>Таблица 5</w:t>
      </w:r>
    </w:p>
    <w:p w14:paraId="06E9C876" w14:textId="3B1727AD" w:rsidR="0043397D" w:rsidRPr="0043397D" w:rsidRDefault="0043397D" w:rsidP="0043397D">
      <w:pPr>
        <w:widowControl w:val="0"/>
        <w:autoSpaceDE w:val="0"/>
        <w:autoSpaceDN w:val="0"/>
        <w:adjustRightInd w:val="0"/>
        <w:spacing w:after="240"/>
        <w:jc w:val="center"/>
        <w:rPr>
          <w:rFonts w:ascii="Times New Roman" w:hAnsi="Times New Roman" w:cs="Times New Roman"/>
          <w:b/>
          <w:lang w:val="en-US" w:eastAsia="ru-RU"/>
        </w:rPr>
      </w:pPr>
      <w:r>
        <w:rPr>
          <w:rFonts w:ascii="Times New Roman" w:hAnsi="Times New Roman" w:cs="Times New Roman"/>
          <w:b/>
          <w:lang w:eastAsia="ru-RU"/>
        </w:rPr>
        <w:t xml:space="preserve">                                      Compound annual growth rate </w:t>
      </w:r>
      <w:r>
        <w:rPr>
          <w:rFonts w:ascii="Times New Roman" w:hAnsi="Times New Roman" w:cs="Times New Roman"/>
          <w:b/>
          <w:lang w:val="en-US" w:eastAsia="ru-RU"/>
        </w:rPr>
        <w:t xml:space="preserve">of GDP </w:t>
      </w:r>
      <w:r>
        <w:rPr>
          <w:rFonts w:ascii="Times New Roman" w:hAnsi="Times New Roman" w:cs="Times New Roman"/>
          <w:b/>
          <w:lang w:eastAsia="ru-RU"/>
        </w:rPr>
        <w:t>(%)</w:t>
      </w:r>
      <w:r>
        <w:rPr>
          <w:rFonts w:ascii="Times New Roman" w:hAnsi="Times New Roman" w:cs="Times New Roman"/>
          <w:b/>
          <w:lang w:eastAsia="ru-RU"/>
        </w:rPr>
        <w:t xml:space="preserve">                      </w:t>
      </w:r>
      <w:r w:rsidRPr="0043397D">
        <w:rPr>
          <w:rFonts w:ascii="Times New Roman" w:hAnsi="Times New Roman" w:cs="Times New Roman"/>
          <w:b/>
          <w:sz w:val="32"/>
          <w:szCs w:val="32"/>
          <w:vertAlign w:val="superscript"/>
          <w:lang w:eastAsia="ru-RU"/>
        </w:rPr>
        <w:t>Table 5</w:t>
      </w:r>
    </w:p>
    <w:tbl>
      <w:tblPr>
        <w:tblStyle w:val="ab"/>
        <w:tblW w:w="8506" w:type="dxa"/>
        <w:tblInd w:w="103" w:type="dxa"/>
        <w:tblLayout w:type="fixed"/>
        <w:tblLook w:val="04A0" w:firstRow="1" w:lastRow="0" w:firstColumn="1" w:lastColumn="0" w:noHBand="0" w:noVBand="1"/>
      </w:tblPr>
      <w:tblGrid>
        <w:gridCol w:w="1877"/>
        <w:gridCol w:w="1384"/>
        <w:gridCol w:w="1298"/>
        <w:gridCol w:w="1395"/>
        <w:gridCol w:w="1276"/>
        <w:gridCol w:w="1276"/>
      </w:tblGrid>
      <w:tr w:rsidR="00992513" w14:paraId="341DD405" w14:textId="77777777" w:rsidTr="002B27D8">
        <w:tc>
          <w:tcPr>
            <w:tcW w:w="1877" w:type="dxa"/>
          </w:tcPr>
          <w:p w14:paraId="7C4F7184" w14:textId="77777777" w:rsidR="00992513" w:rsidRDefault="00992513" w:rsidP="00640BE1">
            <w:pPr>
              <w:widowControl w:val="0"/>
              <w:autoSpaceDE w:val="0"/>
              <w:autoSpaceDN w:val="0"/>
              <w:adjustRightInd w:val="0"/>
              <w:spacing w:after="240"/>
              <w:jc w:val="center"/>
              <w:rPr>
                <w:rFonts w:ascii="Times New Roman" w:hAnsi="Times New Roman" w:cs="Times New Roman"/>
                <w:lang w:eastAsia="ru-RU"/>
              </w:rPr>
            </w:pPr>
            <w:r>
              <w:rPr>
                <w:rFonts w:ascii="Times New Roman" w:hAnsi="Times New Roman" w:cs="Times New Roman"/>
                <w:lang w:eastAsia="ru-RU"/>
              </w:rPr>
              <w:t>Регион</w:t>
            </w:r>
          </w:p>
        </w:tc>
        <w:tc>
          <w:tcPr>
            <w:tcW w:w="1384" w:type="dxa"/>
          </w:tcPr>
          <w:p w14:paraId="0EC2D0AA" w14:textId="77777777" w:rsidR="00992513" w:rsidRDefault="00992513" w:rsidP="00640BE1">
            <w:pPr>
              <w:widowControl w:val="0"/>
              <w:autoSpaceDE w:val="0"/>
              <w:autoSpaceDN w:val="0"/>
              <w:adjustRightInd w:val="0"/>
              <w:spacing w:after="240"/>
              <w:jc w:val="center"/>
              <w:rPr>
                <w:rFonts w:ascii="Times New Roman" w:hAnsi="Times New Roman" w:cs="Times New Roman"/>
                <w:lang w:eastAsia="ru-RU"/>
              </w:rPr>
            </w:pPr>
            <w:r>
              <w:rPr>
                <w:rFonts w:ascii="Times New Roman" w:hAnsi="Times New Roman" w:cs="Times New Roman"/>
                <w:lang w:eastAsia="ru-RU"/>
              </w:rPr>
              <w:t>1995-2000</w:t>
            </w:r>
          </w:p>
        </w:tc>
        <w:tc>
          <w:tcPr>
            <w:tcW w:w="1298" w:type="dxa"/>
          </w:tcPr>
          <w:p w14:paraId="62CBB909" w14:textId="77777777" w:rsidR="00992513" w:rsidRDefault="00992513" w:rsidP="00640BE1">
            <w:pPr>
              <w:widowControl w:val="0"/>
              <w:autoSpaceDE w:val="0"/>
              <w:autoSpaceDN w:val="0"/>
              <w:adjustRightInd w:val="0"/>
              <w:spacing w:after="240"/>
              <w:jc w:val="center"/>
              <w:rPr>
                <w:rFonts w:ascii="Times New Roman" w:hAnsi="Times New Roman" w:cs="Times New Roman"/>
                <w:lang w:eastAsia="ru-RU"/>
              </w:rPr>
            </w:pPr>
            <w:r>
              <w:rPr>
                <w:rFonts w:ascii="Times New Roman" w:hAnsi="Times New Roman" w:cs="Times New Roman"/>
                <w:lang w:eastAsia="ru-RU"/>
              </w:rPr>
              <w:t>2000-2005</w:t>
            </w:r>
          </w:p>
        </w:tc>
        <w:tc>
          <w:tcPr>
            <w:tcW w:w="1395" w:type="dxa"/>
          </w:tcPr>
          <w:p w14:paraId="3C867FB6" w14:textId="77777777" w:rsidR="00992513" w:rsidRDefault="00992513" w:rsidP="00640BE1">
            <w:pPr>
              <w:widowControl w:val="0"/>
              <w:autoSpaceDE w:val="0"/>
              <w:autoSpaceDN w:val="0"/>
              <w:adjustRightInd w:val="0"/>
              <w:spacing w:after="240"/>
              <w:jc w:val="center"/>
              <w:rPr>
                <w:rFonts w:ascii="Times New Roman" w:hAnsi="Times New Roman" w:cs="Times New Roman"/>
                <w:lang w:eastAsia="ru-RU"/>
              </w:rPr>
            </w:pPr>
            <w:r>
              <w:rPr>
                <w:rFonts w:ascii="Times New Roman" w:hAnsi="Times New Roman" w:cs="Times New Roman"/>
                <w:lang w:eastAsia="ru-RU"/>
              </w:rPr>
              <w:t>2005-2010</w:t>
            </w:r>
          </w:p>
        </w:tc>
        <w:tc>
          <w:tcPr>
            <w:tcW w:w="1276" w:type="dxa"/>
          </w:tcPr>
          <w:p w14:paraId="0EDE431C" w14:textId="77777777" w:rsidR="00992513" w:rsidRDefault="00992513" w:rsidP="00640BE1">
            <w:pPr>
              <w:widowControl w:val="0"/>
              <w:autoSpaceDE w:val="0"/>
              <w:autoSpaceDN w:val="0"/>
              <w:adjustRightInd w:val="0"/>
              <w:spacing w:after="240"/>
              <w:jc w:val="center"/>
              <w:rPr>
                <w:rFonts w:ascii="Times New Roman" w:hAnsi="Times New Roman" w:cs="Times New Roman"/>
                <w:lang w:eastAsia="ru-RU"/>
              </w:rPr>
            </w:pPr>
            <w:r>
              <w:rPr>
                <w:rFonts w:ascii="Times New Roman" w:hAnsi="Times New Roman" w:cs="Times New Roman"/>
                <w:lang w:eastAsia="ru-RU"/>
              </w:rPr>
              <w:t>2010-2015</w:t>
            </w:r>
          </w:p>
        </w:tc>
        <w:tc>
          <w:tcPr>
            <w:tcW w:w="1276" w:type="dxa"/>
          </w:tcPr>
          <w:p w14:paraId="7FC1426A" w14:textId="77777777" w:rsidR="00992513" w:rsidRDefault="00992513" w:rsidP="00640BE1">
            <w:pPr>
              <w:widowControl w:val="0"/>
              <w:autoSpaceDE w:val="0"/>
              <w:autoSpaceDN w:val="0"/>
              <w:adjustRightInd w:val="0"/>
              <w:spacing w:after="240"/>
              <w:jc w:val="center"/>
              <w:rPr>
                <w:rFonts w:ascii="Times New Roman" w:hAnsi="Times New Roman" w:cs="Times New Roman"/>
                <w:lang w:eastAsia="ru-RU"/>
              </w:rPr>
            </w:pPr>
            <w:r>
              <w:rPr>
                <w:rFonts w:ascii="Times New Roman" w:hAnsi="Times New Roman" w:cs="Times New Roman"/>
                <w:lang w:eastAsia="ru-RU"/>
              </w:rPr>
              <w:t>2015-2018</w:t>
            </w:r>
          </w:p>
        </w:tc>
      </w:tr>
      <w:tr w:rsidR="00992513" w14:paraId="5DBB8626" w14:textId="77777777" w:rsidTr="002B27D8">
        <w:tc>
          <w:tcPr>
            <w:tcW w:w="1877" w:type="dxa"/>
          </w:tcPr>
          <w:p w14:paraId="775B92DD"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Восточный</w:t>
            </w:r>
          </w:p>
        </w:tc>
        <w:tc>
          <w:tcPr>
            <w:tcW w:w="1384" w:type="dxa"/>
          </w:tcPr>
          <w:p w14:paraId="0F1E1A54"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8,4</w:t>
            </w:r>
          </w:p>
        </w:tc>
        <w:tc>
          <w:tcPr>
            <w:tcW w:w="1298" w:type="dxa"/>
          </w:tcPr>
          <w:p w14:paraId="10E4CDAD"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10,1</w:t>
            </w:r>
          </w:p>
        </w:tc>
        <w:tc>
          <w:tcPr>
            <w:tcW w:w="1395" w:type="dxa"/>
          </w:tcPr>
          <w:p w14:paraId="34B3326D"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8,9</w:t>
            </w:r>
          </w:p>
        </w:tc>
        <w:tc>
          <w:tcPr>
            <w:tcW w:w="1276" w:type="dxa"/>
          </w:tcPr>
          <w:p w14:paraId="59A24B80"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6,0</w:t>
            </w:r>
          </w:p>
        </w:tc>
        <w:tc>
          <w:tcPr>
            <w:tcW w:w="1276" w:type="dxa"/>
          </w:tcPr>
          <w:p w14:paraId="4237476A"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6,8</w:t>
            </w:r>
          </w:p>
        </w:tc>
      </w:tr>
      <w:tr w:rsidR="00992513" w14:paraId="2C3CC74F" w14:textId="77777777" w:rsidTr="002B27D8">
        <w:tc>
          <w:tcPr>
            <w:tcW w:w="1877" w:type="dxa"/>
          </w:tcPr>
          <w:p w14:paraId="7E163512"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Центральный</w:t>
            </w:r>
          </w:p>
        </w:tc>
        <w:tc>
          <w:tcPr>
            <w:tcW w:w="1384" w:type="dxa"/>
          </w:tcPr>
          <w:p w14:paraId="34FEE881"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7,5</w:t>
            </w:r>
          </w:p>
        </w:tc>
        <w:tc>
          <w:tcPr>
            <w:tcW w:w="1298" w:type="dxa"/>
          </w:tcPr>
          <w:p w14:paraId="322A652C"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10,7</w:t>
            </w:r>
          </w:p>
        </w:tc>
        <w:tc>
          <w:tcPr>
            <w:tcW w:w="1395" w:type="dxa"/>
          </w:tcPr>
          <w:p w14:paraId="1F780754"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11,8</w:t>
            </w:r>
          </w:p>
        </w:tc>
        <w:tc>
          <w:tcPr>
            <w:tcW w:w="1276" w:type="dxa"/>
          </w:tcPr>
          <w:p w14:paraId="5ABDD9C9"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7,4</w:t>
            </w:r>
          </w:p>
        </w:tc>
        <w:tc>
          <w:tcPr>
            <w:tcW w:w="1276" w:type="dxa"/>
          </w:tcPr>
          <w:p w14:paraId="4058DDAB"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6,6</w:t>
            </w:r>
          </w:p>
        </w:tc>
      </w:tr>
      <w:tr w:rsidR="00992513" w14:paraId="1DA34321" w14:textId="77777777" w:rsidTr="002B27D8">
        <w:tc>
          <w:tcPr>
            <w:tcW w:w="1877" w:type="dxa"/>
          </w:tcPr>
          <w:p w14:paraId="32B6E18A"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Западный</w:t>
            </w:r>
          </w:p>
        </w:tc>
        <w:tc>
          <w:tcPr>
            <w:tcW w:w="1384" w:type="dxa"/>
          </w:tcPr>
          <w:p w14:paraId="2CF73BAF"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6,8</w:t>
            </w:r>
          </w:p>
        </w:tc>
        <w:tc>
          <w:tcPr>
            <w:tcW w:w="1298" w:type="dxa"/>
          </w:tcPr>
          <w:p w14:paraId="23B9662B"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10,4</w:t>
            </w:r>
          </w:p>
        </w:tc>
        <w:tc>
          <w:tcPr>
            <w:tcW w:w="1395" w:type="dxa"/>
          </w:tcPr>
          <w:p w14:paraId="1A913EF0"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11,7</w:t>
            </w:r>
          </w:p>
        </w:tc>
        <w:tc>
          <w:tcPr>
            <w:tcW w:w="1276" w:type="dxa"/>
          </w:tcPr>
          <w:p w14:paraId="51284352"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9,2</w:t>
            </w:r>
          </w:p>
        </w:tc>
        <w:tc>
          <w:tcPr>
            <w:tcW w:w="1276" w:type="dxa"/>
          </w:tcPr>
          <w:p w14:paraId="10AB7B3B"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6,7</w:t>
            </w:r>
          </w:p>
        </w:tc>
      </w:tr>
      <w:tr w:rsidR="00992513" w14:paraId="7D3AEA0F" w14:textId="77777777" w:rsidTr="002B27D8">
        <w:tc>
          <w:tcPr>
            <w:tcW w:w="1877" w:type="dxa"/>
          </w:tcPr>
          <w:p w14:paraId="1B530169"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Северо-Восточный</w:t>
            </w:r>
          </w:p>
        </w:tc>
        <w:tc>
          <w:tcPr>
            <w:tcW w:w="1384" w:type="dxa"/>
          </w:tcPr>
          <w:p w14:paraId="5A69EA5E"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12,4</w:t>
            </w:r>
          </w:p>
        </w:tc>
        <w:tc>
          <w:tcPr>
            <w:tcW w:w="1298" w:type="dxa"/>
          </w:tcPr>
          <w:p w14:paraId="2C50EE18"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11,0</w:t>
            </w:r>
          </w:p>
        </w:tc>
        <w:tc>
          <w:tcPr>
            <w:tcW w:w="1395" w:type="dxa"/>
          </w:tcPr>
          <w:p w14:paraId="37CACF4F"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14,5</w:t>
            </w:r>
          </w:p>
        </w:tc>
        <w:tc>
          <w:tcPr>
            <w:tcW w:w="1276" w:type="dxa"/>
          </w:tcPr>
          <w:p w14:paraId="7A7FD333"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eastAsia="ru-RU"/>
              </w:rPr>
            </w:pPr>
            <w:r w:rsidRPr="00F16BAE">
              <w:rPr>
                <w:rFonts w:ascii="Times New Roman" w:hAnsi="Times New Roman" w:cs="Times New Roman"/>
                <w:lang w:eastAsia="ru-RU"/>
              </w:rPr>
              <w:t>9,9</w:t>
            </w:r>
          </w:p>
        </w:tc>
        <w:tc>
          <w:tcPr>
            <w:tcW w:w="1276" w:type="dxa"/>
          </w:tcPr>
          <w:p w14:paraId="14D65300" w14:textId="77777777" w:rsidR="00992513" w:rsidRPr="00F16BAE" w:rsidRDefault="00992513" w:rsidP="00640BE1">
            <w:pPr>
              <w:widowControl w:val="0"/>
              <w:autoSpaceDE w:val="0"/>
              <w:autoSpaceDN w:val="0"/>
              <w:adjustRightInd w:val="0"/>
              <w:spacing w:after="240"/>
              <w:jc w:val="center"/>
              <w:rPr>
                <w:rFonts w:ascii="Times New Roman" w:hAnsi="Times New Roman" w:cs="Times New Roman"/>
                <w:lang w:val="en-US" w:eastAsia="ru-RU"/>
              </w:rPr>
            </w:pPr>
            <w:r w:rsidRPr="00F16BAE">
              <w:rPr>
                <w:rFonts w:ascii="Times New Roman" w:hAnsi="Times New Roman" w:cs="Times New Roman"/>
                <w:lang w:eastAsia="ru-RU"/>
              </w:rPr>
              <w:t>2,5</w:t>
            </w:r>
          </w:p>
        </w:tc>
      </w:tr>
    </w:tbl>
    <w:p w14:paraId="1987EE16" w14:textId="473B59A5" w:rsidR="00347CC8" w:rsidRPr="00640BE1" w:rsidRDefault="00347CC8" w:rsidP="00347CC8">
      <w:pPr>
        <w:pStyle w:val="a3"/>
        <w:jc w:val="both"/>
        <w:rPr>
          <w:i/>
        </w:rPr>
      </w:pPr>
      <w:r>
        <w:rPr>
          <w:i/>
        </w:rPr>
        <w:t>Источник: [</w:t>
      </w:r>
      <w:r>
        <w:rPr>
          <w:i/>
        </w:rPr>
        <w:t>4</w:t>
      </w:r>
      <w:r>
        <w:rPr>
          <w:i/>
        </w:rPr>
        <w:t>]</w:t>
      </w:r>
    </w:p>
    <w:p w14:paraId="2CF1DCFB" w14:textId="5511CCB8" w:rsidR="001E710E" w:rsidRDefault="00914025" w:rsidP="00640BE1">
      <w:pPr>
        <w:widowControl w:val="0"/>
        <w:autoSpaceDE w:val="0"/>
        <w:autoSpaceDN w:val="0"/>
        <w:adjustRightInd w:val="0"/>
        <w:spacing w:after="240"/>
        <w:ind w:firstLine="709"/>
        <w:jc w:val="both"/>
        <w:rPr>
          <w:rFonts w:ascii="Times New Roman" w:hAnsi="Times New Roman" w:cs="Times New Roman"/>
          <w:lang w:eastAsia="ru-RU"/>
        </w:rPr>
      </w:pPr>
      <w:r>
        <w:rPr>
          <w:rFonts w:ascii="Times New Roman" w:hAnsi="Times New Roman" w:cs="Times New Roman"/>
          <w:lang w:eastAsia="ru-RU"/>
        </w:rPr>
        <w:t xml:space="preserve">Для Китая характерна неоднородность его региональных экономик. </w:t>
      </w:r>
      <w:r w:rsidR="00CC5196">
        <w:rPr>
          <w:rFonts w:ascii="Times New Roman" w:hAnsi="Times New Roman" w:cs="Times New Roman"/>
          <w:lang w:eastAsia="ru-RU"/>
        </w:rPr>
        <w:t xml:space="preserve">Экономический потенциал ряда провинций Китая (Гуандун, Цзянсу, Шаньдун) сопоставим с потенциалом ряда развитых стран. </w:t>
      </w:r>
      <w:r w:rsidR="00E83E07">
        <w:rPr>
          <w:rFonts w:ascii="Times New Roman" w:hAnsi="Times New Roman" w:cs="Times New Roman"/>
          <w:lang w:eastAsia="ru-RU"/>
        </w:rPr>
        <w:t xml:space="preserve">Ряд центральных провинций Ганьсу, Юньнань – с Марокко и Монголией соответственно. </w:t>
      </w:r>
      <w:r w:rsidR="007C61B5">
        <w:rPr>
          <w:rFonts w:ascii="Times New Roman" w:hAnsi="Times New Roman" w:cs="Times New Roman"/>
          <w:lang w:eastAsia="ru-RU"/>
        </w:rPr>
        <w:t xml:space="preserve">По ВРП на душу населения (по ППС) города центрального подчинения Тяньцзинь, Пекин, Шанхай сравнимы с Португалией, Литвой и Польшей соответственно. </w:t>
      </w:r>
      <w:r w:rsidR="0047266C">
        <w:rPr>
          <w:rFonts w:ascii="Times New Roman" w:hAnsi="Times New Roman" w:cs="Times New Roman"/>
          <w:lang w:eastAsia="ru-RU"/>
        </w:rPr>
        <w:t>Наличие несоответствий в структурах региональных экономик</w:t>
      </w:r>
      <w:r w:rsidR="00564DB6">
        <w:rPr>
          <w:rFonts w:ascii="Times New Roman" w:hAnsi="Times New Roman" w:cs="Times New Roman"/>
          <w:lang w:eastAsia="ru-RU"/>
        </w:rPr>
        <w:t xml:space="preserve"> (Пекин и Шанхай – постиндустриальные экономики; провинции Цинхай, Хэнань, Шаньси – индустриальные экономики)</w:t>
      </w:r>
      <w:r w:rsidR="0047266C">
        <w:rPr>
          <w:rFonts w:ascii="Times New Roman" w:hAnsi="Times New Roman" w:cs="Times New Roman"/>
          <w:lang w:eastAsia="ru-RU"/>
        </w:rPr>
        <w:t xml:space="preserve">, различий в хозяйственном потенциале, отраслевых структурах </w:t>
      </w:r>
      <w:r w:rsidR="00FF58EF">
        <w:rPr>
          <w:rFonts w:ascii="Times New Roman" w:hAnsi="Times New Roman" w:cs="Times New Roman"/>
          <w:lang w:eastAsia="ru-RU"/>
        </w:rPr>
        <w:t>промышленности (восточные</w:t>
      </w:r>
      <w:r w:rsidR="004672C0">
        <w:rPr>
          <w:rFonts w:ascii="Times New Roman" w:hAnsi="Times New Roman" w:cs="Times New Roman"/>
          <w:lang w:eastAsia="ru-RU"/>
        </w:rPr>
        <w:t xml:space="preserve"> провинции экспортоориентирован</w:t>
      </w:r>
      <w:r w:rsidR="00FF58EF">
        <w:rPr>
          <w:rFonts w:ascii="Times New Roman" w:hAnsi="Times New Roman" w:cs="Times New Roman"/>
          <w:lang w:eastAsia="ru-RU"/>
        </w:rPr>
        <w:t xml:space="preserve">ы,  внутренние </w:t>
      </w:r>
      <w:r w:rsidR="00FF58EF">
        <w:rPr>
          <w:rFonts w:ascii="Times New Roman" w:hAnsi="Times New Roman" w:cs="Times New Roman"/>
          <w:lang w:eastAsia="ru-RU"/>
        </w:rPr>
        <w:lastRenderedPageBreak/>
        <w:t xml:space="preserve">провинции – </w:t>
      </w:r>
      <w:r w:rsidR="00564DB6">
        <w:rPr>
          <w:rFonts w:ascii="Times New Roman" w:hAnsi="Times New Roman" w:cs="Times New Roman"/>
          <w:lang w:eastAsia="ru-RU"/>
        </w:rPr>
        <w:t>ориентированы на внутренний рынок</w:t>
      </w:r>
      <w:r w:rsidR="00FF58EF">
        <w:rPr>
          <w:rFonts w:ascii="Times New Roman" w:hAnsi="Times New Roman" w:cs="Times New Roman"/>
          <w:lang w:eastAsia="ru-RU"/>
        </w:rPr>
        <w:t>) делает невозможным наличие сходной динамики экономического роста</w:t>
      </w:r>
      <w:r w:rsidR="00E12296">
        <w:rPr>
          <w:rFonts w:ascii="Times New Roman" w:hAnsi="Times New Roman" w:cs="Times New Roman"/>
          <w:lang w:eastAsia="ru-RU"/>
        </w:rPr>
        <w:t xml:space="preserve"> </w:t>
      </w:r>
      <w:r w:rsidR="00B96D3D">
        <w:rPr>
          <w:rFonts w:ascii="Times New Roman" w:hAnsi="Times New Roman" w:cs="Times New Roman"/>
          <w:lang w:eastAsia="ru-RU"/>
        </w:rPr>
        <w:t>и суще</w:t>
      </w:r>
      <w:r w:rsidR="00B80E25">
        <w:rPr>
          <w:rFonts w:ascii="Times New Roman" w:hAnsi="Times New Roman" w:cs="Times New Roman"/>
          <w:lang w:eastAsia="ru-RU"/>
        </w:rPr>
        <w:t>с</w:t>
      </w:r>
      <w:r w:rsidR="00B96D3D">
        <w:rPr>
          <w:rFonts w:ascii="Times New Roman" w:hAnsi="Times New Roman" w:cs="Times New Roman"/>
          <w:lang w:eastAsia="ru-RU"/>
        </w:rPr>
        <w:t>твования единой экономической модели</w:t>
      </w:r>
      <w:r w:rsidR="00063D65">
        <w:rPr>
          <w:rFonts w:ascii="Times New Roman" w:hAnsi="Times New Roman" w:cs="Times New Roman"/>
          <w:lang w:eastAsia="ru-RU"/>
        </w:rPr>
        <w:t xml:space="preserve"> [9]</w:t>
      </w:r>
      <w:r w:rsidR="00041646">
        <w:rPr>
          <w:rFonts w:ascii="Times New Roman" w:hAnsi="Times New Roman" w:cs="Times New Roman"/>
          <w:lang w:eastAsia="ru-RU"/>
        </w:rPr>
        <w:t xml:space="preserve">. </w:t>
      </w:r>
      <w:r w:rsidR="00FF58EF">
        <w:rPr>
          <w:rFonts w:ascii="Times New Roman" w:hAnsi="Times New Roman" w:cs="Times New Roman"/>
          <w:lang w:eastAsia="ru-RU"/>
        </w:rPr>
        <w:t xml:space="preserve">  </w:t>
      </w:r>
      <w:r w:rsidR="0078674D">
        <w:rPr>
          <w:rFonts w:ascii="Times New Roman" w:hAnsi="Times New Roman" w:cs="Times New Roman"/>
          <w:lang w:eastAsia="ru-RU"/>
        </w:rPr>
        <w:t>Cеверные, центральные и юго-западные</w:t>
      </w:r>
      <w:r w:rsidR="00957A7A">
        <w:rPr>
          <w:rFonts w:ascii="Times New Roman" w:hAnsi="Times New Roman" w:cs="Times New Roman"/>
          <w:lang w:eastAsia="ru-RU"/>
        </w:rPr>
        <w:t xml:space="preserve"> провинции</w:t>
      </w:r>
      <w:r w:rsidR="00B80E25" w:rsidRPr="0078674D">
        <w:rPr>
          <w:rFonts w:ascii="Times New Roman" w:hAnsi="Times New Roman" w:cs="Times New Roman"/>
          <w:lang w:eastAsia="ru-RU"/>
        </w:rPr>
        <w:t xml:space="preserve"> Китая </w:t>
      </w:r>
      <w:r w:rsidR="00A964FB">
        <w:rPr>
          <w:rFonts w:ascii="Times New Roman" w:hAnsi="Times New Roman" w:cs="Times New Roman"/>
          <w:lang w:eastAsia="ru-RU"/>
        </w:rPr>
        <w:t>углеориентирован</w:t>
      </w:r>
      <w:r w:rsidR="0078674D">
        <w:rPr>
          <w:rFonts w:ascii="Times New Roman" w:hAnsi="Times New Roman" w:cs="Times New Roman"/>
          <w:lang w:eastAsia="ru-RU"/>
        </w:rPr>
        <w:t>ы</w:t>
      </w:r>
      <w:r w:rsidR="00B80E25" w:rsidRPr="0078674D">
        <w:rPr>
          <w:rFonts w:ascii="Times New Roman" w:hAnsi="Times New Roman" w:cs="Times New Roman"/>
          <w:lang w:eastAsia="ru-RU"/>
        </w:rPr>
        <w:t xml:space="preserve"> (добыча угля ведется на территории 27 регионов), северо-запад, восток и юго-восток  – нефтеориентирован, центральные и западные части страны – газориентированы. </w:t>
      </w:r>
      <w:r w:rsidR="00EE64F8">
        <w:rPr>
          <w:rFonts w:ascii="Times New Roman" w:hAnsi="Times New Roman" w:cs="Times New Roman"/>
          <w:lang w:eastAsia="ru-RU"/>
        </w:rPr>
        <w:t>Экономики восточных</w:t>
      </w:r>
      <w:r w:rsidR="00EE64F8" w:rsidRPr="00EE64F8">
        <w:rPr>
          <w:rFonts w:ascii="Times New Roman" w:hAnsi="Times New Roman" w:cs="Times New Roman"/>
          <w:lang w:eastAsia="ru-RU"/>
        </w:rPr>
        <w:t>,</w:t>
      </w:r>
      <w:r w:rsidR="00EE64F8" w:rsidRPr="001D078A">
        <w:rPr>
          <w:rFonts w:eastAsia="Times New Roman"/>
        </w:rPr>
        <w:t xml:space="preserve"> </w:t>
      </w:r>
      <w:r w:rsidR="00EE64F8">
        <w:rPr>
          <w:rFonts w:ascii="Times New Roman" w:hAnsi="Times New Roman" w:cs="Times New Roman"/>
          <w:lang w:eastAsia="ru-RU"/>
        </w:rPr>
        <w:t>юго-восточных</w:t>
      </w:r>
      <w:r w:rsidR="00EE64F8" w:rsidRPr="00EE64F8">
        <w:rPr>
          <w:rFonts w:ascii="Times New Roman" w:hAnsi="Times New Roman" w:cs="Times New Roman"/>
          <w:lang w:eastAsia="ru-RU"/>
        </w:rPr>
        <w:t xml:space="preserve"> </w:t>
      </w:r>
      <w:r w:rsidR="00EE64F8">
        <w:rPr>
          <w:rFonts w:ascii="Times New Roman" w:hAnsi="Times New Roman" w:cs="Times New Roman"/>
          <w:lang w:eastAsia="ru-RU"/>
        </w:rPr>
        <w:t>провинций</w:t>
      </w:r>
      <w:r w:rsidR="00EE64F8" w:rsidRPr="00EE64F8">
        <w:rPr>
          <w:rFonts w:ascii="Times New Roman" w:hAnsi="Times New Roman" w:cs="Times New Roman"/>
          <w:lang w:eastAsia="ru-RU"/>
        </w:rPr>
        <w:t xml:space="preserve"> характеризуются более высоким и быстрым уровнем развития</w:t>
      </w:r>
      <w:r w:rsidR="00EE64F8">
        <w:rPr>
          <w:rFonts w:ascii="Times New Roman" w:hAnsi="Times New Roman" w:cs="Times New Roman"/>
          <w:lang w:eastAsia="ru-RU"/>
        </w:rPr>
        <w:t>, что способствует  преобладанию</w:t>
      </w:r>
      <w:r w:rsidR="00EE64F8" w:rsidRPr="00EE64F8">
        <w:rPr>
          <w:rFonts w:ascii="Times New Roman" w:hAnsi="Times New Roman" w:cs="Times New Roman"/>
          <w:lang w:eastAsia="ru-RU"/>
        </w:rPr>
        <w:t xml:space="preserve"> в структуре потребления энергоресурсов альтернативных источников энергии.</w:t>
      </w:r>
      <w:r w:rsidR="00043582">
        <w:rPr>
          <w:rFonts w:ascii="Times New Roman" w:hAnsi="Times New Roman" w:cs="Times New Roman"/>
          <w:lang w:eastAsia="ru-RU"/>
        </w:rPr>
        <w:t xml:space="preserve"> </w:t>
      </w:r>
      <w:r w:rsidR="006E25EE">
        <w:rPr>
          <w:rFonts w:ascii="Times New Roman" w:hAnsi="Times New Roman" w:cs="Times New Roman"/>
          <w:lang w:eastAsia="ru-RU"/>
        </w:rPr>
        <w:t>Такие провинции являются получателями энергоресурсов. Они</w:t>
      </w:r>
      <w:r w:rsidR="00CC62AC">
        <w:rPr>
          <w:rFonts w:ascii="Times New Roman" w:hAnsi="Times New Roman" w:cs="Times New Roman"/>
          <w:lang w:eastAsia="ru-RU"/>
        </w:rPr>
        <w:t xml:space="preserve"> притягивают иностранные инвестиции, в том числе </w:t>
      </w:r>
      <w:r w:rsidR="00D4426E">
        <w:rPr>
          <w:rFonts w:ascii="Times New Roman" w:hAnsi="Times New Roman" w:cs="Times New Roman"/>
          <w:lang w:eastAsia="ru-RU"/>
        </w:rPr>
        <w:t>и в развитие технологичности энергетического сектора</w:t>
      </w:r>
      <w:r w:rsidR="008F2E4A">
        <w:rPr>
          <w:rFonts w:ascii="Times New Roman" w:hAnsi="Times New Roman" w:cs="Times New Roman"/>
          <w:lang w:eastAsia="ru-RU"/>
        </w:rPr>
        <w:t xml:space="preserve"> своим научным и инновационным потенциалом</w:t>
      </w:r>
      <w:r w:rsidR="00D4426E">
        <w:rPr>
          <w:rFonts w:ascii="Times New Roman" w:hAnsi="Times New Roman" w:cs="Times New Roman"/>
          <w:lang w:eastAsia="ru-RU"/>
        </w:rPr>
        <w:t xml:space="preserve">. </w:t>
      </w:r>
      <w:r w:rsidR="0061734C">
        <w:rPr>
          <w:rFonts w:ascii="Times New Roman" w:hAnsi="Times New Roman" w:cs="Times New Roman"/>
          <w:lang w:eastAsia="ru-RU"/>
        </w:rPr>
        <w:t>Прибрежные провинции обладают привлекательными условиями для развития ВИЭ, в частности ветряной</w:t>
      </w:r>
      <w:r w:rsidR="008F2E4A">
        <w:rPr>
          <w:rFonts w:ascii="Times New Roman" w:hAnsi="Times New Roman" w:cs="Times New Roman"/>
          <w:lang w:eastAsia="ru-RU"/>
        </w:rPr>
        <w:t>, солнечной</w:t>
      </w:r>
      <w:r w:rsidR="0061734C">
        <w:rPr>
          <w:rFonts w:ascii="Times New Roman" w:hAnsi="Times New Roman" w:cs="Times New Roman"/>
          <w:lang w:eastAsia="ru-RU"/>
        </w:rPr>
        <w:t xml:space="preserve"> и </w:t>
      </w:r>
      <w:r w:rsidR="0042000D">
        <w:rPr>
          <w:rFonts w:ascii="Times New Roman" w:hAnsi="Times New Roman" w:cs="Times New Roman"/>
          <w:lang w:eastAsia="ru-RU"/>
        </w:rPr>
        <w:t xml:space="preserve">гидротермальной энергии, </w:t>
      </w:r>
      <w:r w:rsidR="00C046FB">
        <w:rPr>
          <w:rFonts w:ascii="Times New Roman" w:hAnsi="Times New Roman" w:cs="Times New Roman"/>
          <w:lang w:eastAsia="ru-RU"/>
        </w:rPr>
        <w:t>энергии биомассы (провинция Цзянсу)</w:t>
      </w:r>
      <w:r w:rsidR="000D2088">
        <w:rPr>
          <w:rFonts w:ascii="Times New Roman" w:hAnsi="Times New Roman" w:cs="Times New Roman"/>
          <w:lang w:eastAsia="ru-RU"/>
        </w:rPr>
        <w:t xml:space="preserve">, что особенно актуально в рамках </w:t>
      </w:r>
      <w:r w:rsidR="00206CF9">
        <w:rPr>
          <w:rFonts w:ascii="Times New Roman" w:hAnsi="Times New Roman" w:cs="Times New Roman"/>
          <w:lang w:eastAsia="ru-RU"/>
        </w:rPr>
        <w:t xml:space="preserve">развития мировой «зеленой» экономики. </w:t>
      </w:r>
    </w:p>
    <w:p w14:paraId="5B935E7B" w14:textId="57523649" w:rsidR="005B083A" w:rsidRPr="00924441" w:rsidRDefault="000E61AE" w:rsidP="002E403C">
      <w:pPr>
        <w:widowControl w:val="0"/>
        <w:autoSpaceDE w:val="0"/>
        <w:autoSpaceDN w:val="0"/>
        <w:adjustRightInd w:val="0"/>
        <w:spacing w:after="240"/>
        <w:ind w:firstLine="709"/>
        <w:jc w:val="both"/>
        <w:rPr>
          <w:rFonts w:ascii="Times New Roman" w:hAnsi="Times New Roman" w:cs="Times New Roman"/>
          <w:lang w:eastAsia="ru-RU"/>
        </w:rPr>
      </w:pPr>
      <w:r w:rsidRPr="00A84944">
        <w:rPr>
          <w:rFonts w:ascii="Times New Roman" w:hAnsi="Times New Roman" w:cs="Times New Roman"/>
          <w:lang w:eastAsia="ru-RU"/>
        </w:rPr>
        <w:t xml:space="preserve">Не прибегая к эконометрическому анализу, можно сделать вывод о том, что </w:t>
      </w:r>
      <w:r w:rsidR="002A0B8A">
        <w:rPr>
          <w:rFonts w:ascii="Times New Roman" w:hAnsi="Times New Roman" w:cs="Times New Roman"/>
          <w:lang w:eastAsia="ru-RU"/>
        </w:rPr>
        <w:t>на энергоемкость</w:t>
      </w:r>
      <w:r w:rsidR="00514510" w:rsidRPr="00A84944">
        <w:rPr>
          <w:rFonts w:ascii="Times New Roman" w:hAnsi="Times New Roman" w:cs="Times New Roman"/>
          <w:lang w:eastAsia="ru-RU"/>
        </w:rPr>
        <w:t xml:space="preserve"> региональных экономик Китая </w:t>
      </w:r>
      <w:r w:rsidR="008D14D7">
        <w:rPr>
          <w:rFonts w:ascii="Times New Roman" w:hAnsi="Times New Roman" w:cs="Times New Roman"/>
          <w:lang w:eastAsia="ru-RU"/>
        </w:rPr>
        <w:t>влияют</w:t>
      </w:r>
      <w:r w:rsidR="002A0B8A">
        <w:rPr>
          <w:rFonts w:ascii="Times New Roman" w:hAnsi="Times New Roman" w:cs="Times New Roman"/>
          <w:lang w:eastAsia="ru-RU"/>
        </w:rPr>
        <w:t xml:space="preserve"> специфика и модель их экономического развития.</w:t>
      </w:r>
      <w:r w:rsidRPr="00A84944">
        <w:rPr>
          <w:rFonts w:ascii="Times New Roman" w:hAnsi="Times New Roman" w:cs="Times New Roman"/>
          <w:lang w:eastAsia="ru-RU"/>
        </w:rPr>
        <w:t xml:space="preserve"> </w:t>
      </w:r>
      <w:r w:rsidR="002A0B8A">
        <w:rPr>
          <w:rFonts w:ascii="Times New Roman" w:hAnsi="Times New Roman" w:cs="Times New Roman"/>
          <w:lang w:eastAsia="ru-RU"/>
        </w:rPr>
        <w:t xml:space="preserve">Процесс </w:t>
      </w:r>
      <w:r w:rsidR="00DF5BA7">
        <w:rPr>
          <w:rFonts w:ascii="Times New Roman" w:hAnsi="Times New Roman" w:cs="Times New Roman"/>
          <w:lang w:eastAsia="ru-RU"/>
        </w:rPr>
        <w:t>индустриализации</w:t>
      </w:r>
      <w:r w:rsidR="002A0B8A">
        <w:rPr>
          <w:rFonts w:ascii="Times New Roman" w:hAnsi="Times New Roman" w:cs="Times New Roman"/>
          <w:lang w:eastAsia="ru-RU"/>
        </w:rPr>
        <w:t xml:space="preserve"> будет оказывать негативное влияние на </w:t>
      </w:r>
      <w:r w:rsidR="00DF5BA7">
        <w:rPr>
          <w:rFonts w:ascii="Times New Roman" w:hAnsi="Times New Roman" w:cs="Times New Roman"/>
          <w:lang w:eastAsia="ru-RU"/>
        </w:rPr>
        <w:t>снижение энергоемкости</w:t>
      </w:r>
      <w:r w:rsidR="002A0B8A">
        <w:rPr>
          <w:rFonts w:ascii="Times New Roman" w:hAnsi="Times New Roman" w:cs="Times New Roman"/>
          <w:lang w:eastAsia="ru-RU"/>
        </w:rPr>
        <w:t xml:space="preserve"> </w:t>
      </w:r>
      <w:r w:rsidR="00DF5BA7">
        <w:rPr>
          <w:rFonts w:ascii="Times New Roman" w:hAnsi="Times New Roman" w:cs="Times New Roman"/>
          <w:lang w:eastAsia="ru-RU"/>
        </w:rPr>
        <w:t>развивающихся</w:t>
      </w:r>
      <w:r w:rsidR="002A0B8A">
        <w:rPr>
          <w:rFonts w:ascii="Times New Roman" w:hAnsi="Times New Roman" w:cs="Times New Roman"/>
          <w:lang w:eastAsia="ru-RU"/>
        </w:rPr>
        <w:t xml:space="preserve"> экономик</w:t>
      </w:r>
      <w:r w:rsidR="00DF5BA7">
        <w:rPr>
          <w:rFonts w:ascii="Times New Roman" w:hAnsi="Times New Roman" w:cs="Times New Roman"/>
          <w:lang w:eastAsia="ru-RU"/>
        </w:rPr>
        <w:t xml:space="preserve"> ввиду </w:t>
      </w:r>
      <w:r w:rsidR="008F18B0">
        <w:rPr>
          <w:rFonts w:ascii="Times New Roman" w:hAnsi="Times New Roman" w:cs="Times New Roman"/>
          <w:lang w:eastAsia="ru-RU"/>
        </w:rPr>
        <w:t>экстенсивного использования ресурсов</w:t>
      </w:r>
      <w:r w:rsidR="002A0B8A">
        <w:rPr>
          <w:rFonts w:ascii="Times New Roman" w:hAnsi="Times New Roman" w:cs="Times New Roman"/>
          <w:lang w:eastAsia="ru-RU"/>
        </w:rPr>
        <w:t xml:space="preserve">. </w:t>
      </w:r>
      <w:r w:rsidR="008F18B0">
        <w:rPr>
          <w:rFonts w:ascii="Times New Roman" w:hAnsi="Times New Roman" w:cs="Times New Roman"/>
          <w:lang w:eastAsia="ru-RU"/>
        </w:rPr>
        <w:t xml:space="preserve">Однако </w:t>
      </w:r>
      <w:r w:rsidR="00516822">
        <w:rPr>
          <w:rFonts w:ascii="Times New Roman" w:hAnsi="Times New Roman" w:cs="Times New Roman"/>
          <w:lang w:eastAsia="ru-RU"/>
        </w:rPr>
        <w:t xml:space="preserve">адаптационная политика китайских властей </w:t>
      </w:r>
      <w:r w:rsidR="008C4254">
        <w:rPr>
          <w:rFonts w:ascii="Times New Roman" w:hAnsi="Times New Roman" w:cs="Times New Roman"/>
          <w:lang w:eastAsia="ru-RU"/>
        </w:rPr>
        <w:t xml:space="preserve">(инвестиции, модернизация производства и т.д.) </w:t>
      </w:r>
      <w:r w:rsidR="00516822">
        <w:rPr>
          <w:rFonts w:ascii="Times New Roman" w:hAnsi="Times New Roman" w:cs="Times New Roman"/>
          <w:lang w:eastAsia="ru-RU"/>
        </w:rPr>
        <w:t xml:space="preserve">позволяет снижать </w:t>
      </w:r>
      <w:r w:rsidR="008C4254">
        <w:rPr>
          <w:rFonts w:ascii="Times New Roman" w:hAnsi="Times New Roman" w:cs="Times New Roman"/>
          <w:lang w:eastAsia="ru-RU"/>
        </w:rPr>
        <w:t>риски резкого увеличения энергоемкости их экономик.</w:t>
      </w:r>
    </w:p>
    <w:p w14:paraId="1ED3720F" w14:textId="65A8E6D0" w:rsidR="000B20DF" w:rsidRPr="00C41C6D" w:rsidRDefault="00C41C6D" w:rsidP="00640BE1">
      <w:pPr>
        <w:pStyle w:val="a3"/>
        <w:jc w:val="center"/>
        <w:rPr>
          <w:b/>
          <w:i/>
        </w:rPr>
      </w:pPr>
      <w:r w:rsidRPr="00C41C6D">
        <w:rPr>
          <w:b/>
          <w:i/>
        </w:rPr>
        <w:t>Заключение</w:t>
      </w:r>
    </w:p>
    <w:p w14:paraId="30CB7487" w14:textId="42D7CE03" w:rsidR="000B20DF" w:rsidRDefault="000C502E" w:rsidP="00640BE1">
      <w:pPr>
        <w:pStyle w:val="a3"/>
        <w:ind w:firstLine="709"/>
        <w:jc w:val="both"/>
      </w:pPr>
      <w:r>
        <w:t>В период мирового энергетического перехода</w:t>
      </w:r>
      <w:r w:rsidR="009A2E87">
        <w:t>, нестабильности мировой экономики</w:t>
      </w:r>
      <w:r>
        <w:t xml:space="preserve"> как развитые, так и развивающиеся экономики стремятся снизить энергоемкость своих экономик (содействие интенсивной модели развития), повысить энергоэффективность и энергообеспеченность.  </w:t>
      </w:r>
      <w:r w:rsidR="007F26CC">
        <w:t xml:space="preserve">Общепринятым мнением считается, что при замедлении экономического роста замедляется технологическое </w:t>
      </w:r>
      <w:r w:rsidR="007F26CC" w:rsidRPr="00267B35">
        <w:t>развитие  и прогресс технологий производства</w:t>
      </w:r>
      <w:r w:rsidR="007F26CC">
        <w:t xml:space="preserve"> товаров, снижаются  инвестиции в энергетические проекты. Повышается энергоемкость экономики, снижается ее энергетическая обеспеченность.</w:t>
      </w:r>
      <w:r w:rsidR="00981B95">
        <w:t xml:space="preserve"> </w:t>
      </w:r>
      <w:r w:rsidR="00C74AF2">
        <w:t>Наличие условно</w:t>
      </w:r>
      <w:r w:rsidR="000B4F59">
        <w:t>-</w:t>
      </w:r>
      <w:r w:rsidR="00C74AF2">
        <w:t xml:space="preserve"> постоянных </w:t>
      </w:r>
      <w:r w:rsidR="00043466">
        <w:t>расходов энергии в проектах</w:t>
      </w:r>
      <w:r w:rsidR="00C74AF2">
        <w:t xml:space="preserve"> так же не способствует снижению энергоемкости. </w:t>
      </w:r>
      <w:r w:rsidR="00EB65A2">
        <w:t>Все более негативное влияние на экономики оказывают макрофакто</w:t>
      </w:r>
      <w:r w:rsidR="003960C4">
        <w:t>ры, которые отодвигают вопрос с</w:t>
      </w:r>
      <w:r w:rsidR="00EB65A2">
        <w:t>нижения энергоемкости на второй план.</w:t>
      </w:r>
      <w:r w:rsidR="00582B70">
        <w:t xml:space="preserve"> В таких условиях интересен и полезен опыт Китая в снижении энергоемкости его экономики в контексте замедления экономического роста. </w:t>
      </w:r>
      <w:r w:rsidR="002F5A4C">
        <w:t xml:space="preserve">Определяющее </w:t>
      </w:r>
      <w:r w:rsidR="004848A2">
        <w:t>влияние</w:t>
      </w:r>
      <w:r w:rsidR="002F5A4C">
        <w:t xml:space="preserve"> на динамику</w:t>
      </w:r>
      <w:r w:rsidR="000B20DF" w:rsidRPr="00F32341">
        <w:t xml:space="preserve"> энергоемкости экономики Китая </w:t>
      </w:r>
      <w:r w:rsidR="002D489E">
        <w:t>оказывает</w:t>
      </w:r>
      <w:r w:rsidR="009255C7">
        <w:t xml:space="preserve"> </w:t>
      </w:r>
      <w:r w:rsidR="002D489E">
        <w:t>специфика</w:t>
      </w:r>
      <w:r w:rsidR="000B20DF">
        <w:t xml:space="preserve"> </w:t>
      </w:r>
      <w:r w:rsidR="00CF2D2A">
        <w:t xml:space="preserve">его </w:t>
      </w:r>
      <w:r w:rsidR="000B20DF">
        <w:t>экономического развития</w:t>
      </w:r>
      <w:r w:rsidR="00CF2D2A">
        <w:t xml:space="preserve"> (</w:t>
      </w:r>
      <w:r w:rsidR="005F4259">
        <w:t>цикличность развития: череда скачков и упадков</w:t>
      </w:r>
      <w:r w:rsidR="00486335">
        <w:t>, преимущественно, из-за наличия мягких бюджетных ограничений</w:t>
      </w:r>
      <w:r w:rsidR="00CF2D2A">
        <w:t>)</w:t>
      </w:r>
      <w:r w:rsidR="009E5050">
        <w:t xml:space="preserve">. Однако </w:t>
      </w:r>
      <w:r w:rsidR="00D076D4">
        <w:t>сложно</w:t>
      </w:r>
      <w:r w:rsidR="00543BF1">
        <w:t xml:space="preserve"> </w:t>
      </w:r>
      <w:r w:rsidR="00106773">
        <w:t>с</w:t>
      </w:r>
      <w:r w:rsidR="00543BF1">
        <w:t>делать</w:t>
      </w:r>
      <w:r w:rsidR="00106773">
        <w:t xml:space="preserve"> однозначные выводы</w:t>
      </w:r>
      <w:r w:rsidR="00543BF1">
        <w:t xml:space="preserve"> ввиду перманентного развития китайской экономики и эволюции системы</w:t>
      </w:r>
      <w:r w:rsidR="009E5050">
        <w:t>.</w:t>
      </w:r>
      <w:r w:rsidR="000B20DF">
        <w:t xml:space="preserve"> </w:t>
      </w:r>
      <w:r w:rsidR="001639B4">
        <w:t xml:space="preserve">На национальном уровне </w:t>
      </w:r>
      <w:r w:rsidR="00130ED4">
        <w:t xml:space="preserve">в период снижения экономического роста энергоемкость экономики </w:t>
      </w:r>
      <w:r w:rsidR="00735304">
        <w:t xml:space="preserve">незначительно </w:t>
      </w:r>
      <w:r w:rsidR="00EA63A1">
        <w:t>снижается</w:t>
      </w:r>
      <w:r w:rsidR="00CF2D2A">
        <w:t>.</w:t>
      </w:r>
      <w:r w:rsidR="00130ED4">
        <w:t xml:space="preserve"> В период повышения экономического роста </w:t>
      </w:r>
      <w:r w:rsidR="005B151D">
        <w:t xml:space="preserve">энергоемкость </w:t>
      </w:r>
      <w:r w:rsidR="00390DBC">
        <w:t>тоже снижается</w:t>
      </w:r>
      <w:r w:rsidR="00735304">
        <w:t>.</w:t>
      </w:r>
      <w:r w:rsidR="00130ED4">
        <w:t xml:space="preserve"> </w:t>
      </w:r>
      <w:r w:rsidR="00D21CB3">
        <w:t xml:space="preserve">В региональном разрезе дальнейший процесс </w:t>
      </w:r>
      <w:r w:rsidR="00C83BB2">
        <w:t>индустриализации</w:t>
      </w:r>
      <w:r w:rsidR="00D21CB3">
        <w:t xml:space="preserve"> будет накладывать </w:t>
      </w:r>
      <w:r w:rsidR="00464ADD">
        <w:t xml:space="preserve">ограничения на активное снижение энергоемкости региональных </w:t>
      </w:r>
      <w:r w:rsidR="00C83BB2">
        <w:t xml:space="preserve">развивающихся </w:t>
      </w:r>
      <w:r w:rsidR="00464ADD">
        <w:t>экономик.</w:t>
      </w:r>
      <w:r w:rsidR="00EC071E">
        <w:t xml:space="preserve"> </w:t>
      </w:r>
      <w:r w:rsidR="002D6852">
        <w:t xml:space="preserve">Несмотря на зависимость национальной экономики от традиционных источников энергии, Китай масштабно развивает новые технологии в области нетрадиционных источников энергии, выводит из эксплуатации старые мощности, </w:t>
      </w:r>
      <w:r w:rsidR="00B334AE">
        <w:t>проводит модернизацию</w:t>
      </w:r>
      <w:r w:rsidR="002D6852">
        <w:t xml:space="preserve">  </w:t>
      </w:r>
      <w:r w:rsidR="00B334AE">
        <w:t xml:space="preserve">трудоемких отраслей и источников энергии. </w:t>
      </w:r>
      <w:r w:rsidR="001639B4">
        <w:t>Политика</w:t>
      </w:r>
      <w:r w:rsidR="009E5050">
        <w:t xml:space="preserve"> китайских властей </w:t>
      </w:r>
      <w:r w:rsidR="00496F0C">
        <w:t>использует скорее адаптационные</w:t>
      </w:r>
      <w:r w:rsidR="009E5050">
        <w:t xml:space="preserve"> </w:t>
      </w:r>
      <w:r w:rsidR="00496F0C">
        <w:t>механизмы для корректировки будущей энергетической политики</w:t>
      </w:r>
      <w:r w:rsidR="00B334AE">
        <w:t>, что позволяет снижать</w:t>
      </w:r>
      <w:r w:rsidR="000A6EE5">
        <w:t xml:space="preserve"> энергоемкость </w:t>
      </w:r>
      <w:r w:rsidR="00690492">
        <w:t>в период экономического роста и</w:t>
      </w:r>
      <w:r w:rsidR="002D6852">
        <w:t xml:space="preserve"> при его замедлении. </w:t>
      </w:r>
    </w:p>
    <w:p w14:paraId="27F67300" w14:textId="1D327B1C" w:rsidR="00791A06" w:rsidRPr="00F55C83" w:rsidRDefault="00791A06" w:rsidP="00640BE1">
      <w:pPr>
        <w:ind w:firstLine="709"/>
        <w:jc w:val="both"/>
        <w:rPr>
          <w:rFonts w:ascii="Times New Roman" w:eastAsia="Times New Roman" w:hAnsi="Times New Roman" w:cs="Times New Roman"/>
          <w:color w:val="000000"/>
          <w:shd w:val="clear" w:color="auto" w:fill="FFFFFF"/>
          <w:lang w:eastAsia="ru-RU"/>
        </w:rPr>
      </w:pPr>
      <w:r w:rsidRPr="00F55C83">
        <w:rPr>
          <w:rFonts w:ascii="Times New Roman" w:eastAsia="Times New Roman" w:hAnsi="Times New Roman" w:cs="Times New Roman"/>
          <w:color w:val="000000"/>
          <w:shd w:val="clear" w:color="auto" w:fill="FFFFFF"/>
          <w:lang w:eastAsia="ru-RU"/>
        </w:rPr>
        <w:lastRenderedPageBreak/>
        <w:t xml:space="preserve">В условиях увеличения </w:t>
      </w:r>
      <w:r>
        <w:rPr>
          <w:rFonts w:ascii="Times New Roman" w:eastAsia="Times New Roman" w:hAnsi="Times New Roman" w:cs="Times New Roman"/>
          <w:color w:val="000000"/>
          <w:shd w:val="clear" w:color="auto" w:fill="FFFFFF"/>
          <w:lang w:eastAsia="ru-RU"/>
        </w:rPr>
        <w:t xml:space="preserve">общего </w:t>
      </w:r>
      <w:r w:rsidRPr="00F55C83">
        <w:rPr>
          <w:rFonts w:ascii="Times New Roman" w:eastAsia="Times New Roman" w:hAnsi="Times New Roman" w:cs="Times New Roman"/>
          <w:color w:val="000000"/>
          <w:shd w:val="clear" w:color="auto" w:fill="FFFFFF"/>
          <w:lang w:eastAsia="ru-RU"/>
        </w:rPr>
        <w:t xml:space="preserve">потребления энергии, в том числе и секторального, замедления экономического роста национальной экономики, </w:t>
      </w:r>
      <w:r>
        <w:rPr>
          <w:rFonts w:ascii="Times New Roman" w:eastAsia="Times New Roman" w:hAnsi="Times New Roman" w:cs="Times New Roman"/>
          <w:color w:val="000000"/>
          <w:shd w:val="clear" w:color="auto" w:fill="FFFFFF"/>
          <w:lang w:eastAsia="ru-RU"/>
        </w:rPr>
        <w:t>несхожей динамики экономического роста региональных экономик, роста влияния макроэкономических факторов развивающимся экономикам составлены следующие общепризнанные рекомендации по снижению энергоемкости их экономик</w:t>
      </w:r>
      <w:r w:rsidR="006709D9">
        <w:rPr>
          <w:rFonts w:ascii="Times New Roman" w:eastAsia="Times New Roman" w:hAnsi="Times New Roman" w:cs="Times New Roman"/>
          <w:color w:val="000000"/>
          <w:shd w:val="clear" w:color="auto" w:fill="FFFFFF"/>
          <w:lang w:eastAsia="ru-RU"/>
        </w:rPr>
        <w:t>:</w:t>
      </w:r>
    </w:p>
    <w:p w14:paraId="34A691C8" w14:textId="77777777" w:rsidR="00791A06" w:rsidRDefault="00791A06" w:rsidP="00640BE1">
      <w:pPr>
        <w:jc w:val="both"/>
        <w:rPr>
          <w:rFonts w:ascii="Times New Roman" w:eastAsia="Times New Roman" w:hAnsi="Times New Roman" w:cs="Times New Roman"/>
          <w:b/>
          <w:color w:val="000000"/>
          <w:shd w:val="clear" w:color="auto" w:fill="FFFFFF"/>
          <w:lang w:eastAsia="ru-RU"/>
        </w:rPr>
      </w:pPr>
      <w:r>
        <w:rPr>
          <w:rFonts w:ascii="Times New Roman" w:eastAsia="Times New Roman" w:hAnsi="Times New Roman" w:cs="Times New Roman"/>
          <w:b/>
          <w:color w:val="000000"/>
          <w:shd w:val="clear" w:color="auto" w:fill="FFFFFF"/>
          <w:lang w:eastAsia="ru-RU"/>
        </w:rPr>
        <w:t>Общие</w:t>
      </w:r>
      <w:r w:rsidRPr="002F1B3B">
        <w:rPr>
          <w:rFonts w:ascii="Times New Roman" w:eastAsia="Times New Roman" w:hAnsi="Times New Roman" w:cs="Times New Roman"/>
          <w:b/>
          <w:color w:val="000000"/>
          <w:shd w:val="clear" w:color="auto" w:fill="FFFFFF"/>
          <w:lang w:eastAsia="ru-RU"/>
        </w:rPr>
        <w:t>:</w:t>
      </w:r>
    </w:p>
    <w:p w14:paraId="753363C5" w14:textId="77777777" w:rsidR="00791A06" w:rsidRDefault="00791A06" w:rsidP="00640BE1">
      <w:pPr>
        <w:pStyle w:val="a4"/>
        <w:numPr>
          <w:ilvl w:val="0"/>
          <w:numId w:val="20"/>
        </w:numPr>
        <w:jc w:val="both"/>
        <w:rPr>
          <w:rFonts w:ascii="Times New Roman" w:eastAsia="Times New Roman" w:hAnsi="Times New Roman" w:cs="Times New Roman"/>
          <w:color w:val="000000"/>
          <w:shd w:val="clear" w:color="auto" w:fill="FFFFFF"/>
          <w:lang w:eastAsia="ru-RU"/>
        </w:rPr>
      </w:pPr>
      <w:r w:rsidRPr="00B15D9D">
        <w:rPr>
          <w:rFonts w:ascii="Times New Roman" w:eastAsia="Times New Roman" w:hAnsi="Times New Roman" w:cs="Times New Roman"/>
          <w:color w:val="000000"/>
          <w:shd w:val="clear" w:color="auto" w:fill="FFFFFF"/>
          <w:lang w:eastAsia="ru-RU"/>
        </w:rPr>
        <w:t xml:space="preserve">Развитие </w:t>
      </w:r>
      <w:r>
        <w:rPr>
          <w:rFonts w:ascii="Times New Roman" w:eastAsia="Times New Roman" w:hAnsi="Times New Roman" w:cs="Times New Roman"/>
          <w:color w:val="000000"/>
          <w:shd w:val="clear" w:color="auto" w:fill="FFFFFF"/>
          <w:lang w:eastAsia="ru-RU"/>
        </w:rPr>
        <w:t xml:space="preserve">энергетики на основе концепции «зеленого квадрата»: ветряной, солнечной, гидро и атомной энергий. </w:t>
      </w:r>
    </w:p>
    <w:p w14:paraId="4F876CA9" w14:textId="77777777" w:rsidR="00791A06" w:rsidRDefault="00791A06" w:rsidP="00640BE1">
      <w:pPr>
        <w:pStyle w:val="a4"/>
        <w:numPr>
          <w:ilvl w:val="0"/>
          <w:numId w:val="20"/>
        </w:numPr>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 xml:space="preserve">Развитие использования петротермальных источников энергии. Преимущество такого вида энергии заключается в ее длительной «эксплуатации» без учета возобновления энергии, а также возможности достижения нормированной себестоимости электроэнергии до 6 центов </w:t>
      </w:r>
      <w:r w:rsidRPr="002434A2">
        <w:rPr>
          <w:rFonts w:ascii="Times New Roman" w:eastAsia="Times New Roman" w:hAnsi="Times New Roman" w:cs="Times New Roman"/>
          <w:color w:val="000000"/>
          <w:shd w:val="clear" w:color="auto" w:fill="FFFFFF"/>
          <w:lang w:eastAsia="ru-RU"/>
        </w:rPr>
        <w:t>за кВт</w:t>
      </w:r>
      <w:r w:rsidRPr="00640BE1">
        <w:rPr>
          <w:rFonts w:ascii="Times New Roman" w:eastAsia="Times New Roman" w:hAnsi="Times New Roman" w:cs="Times New Roman"/>
          <w:color w:val="000000"/>
          <w:shd w:val="clear" w:color="auto" w:fill="FFFFFF"/>
          <w:lang w:eastAsia="ru-RU"/>
        </w:rPr>
        <w:t>*</w:t>
      </w:r>
      <w:r w:rsidRPr="002434A2">
        <w:rPr>
          <w:rFonts w:ascii="Times New Roman" w:eastAsia="Times New Roman" w:hAnsi="Times New Roman" w:cs="Times New Roman"/>
          <w:color w:val="000000"/>
          <w:shd w:val="clear" w:color="auto" w:fill="FFFFFF"/>
          <w:lang w:eastAsia="ru-RU"/>
        </w:rPr>
        <w:t>час (</w:t>
      </w:r>
      <w:r>
        <w:rPr>
          <w:rFonts w:ascii="Times New Roman" w:eastAsia="Times New Roman" w:hAnsi="Times New Roman" w:cs="Times New Roman"/>
          <w:color w:val="000000"/>
          <w:shd w:val="clear" w:color="auto" w:fill="FFFFFF"/>
          <w:lang w:eastAsia="ru-RU"/>
        </w:rPr>
        <w:t>США, Австралия, Россия).</w:t>
      </w:r>
    </w:p>
    <w:p w14:paraId="19605F0C" w14:textId="77777777" w:rsidR="00791A06" w:rsidRPr="009832C9" w:rsidRDefault="00791A06" w:rsidP="00640BE1">
      <w:pPr>
        <w:jc w:val="both"/>
        <w:rPr>
          <w:rFonts w:ascii="Times New Roman" w:eastAsia="Times New Roman" w:hAnsi="Times New Roman" w:cs="Times New Roman"/>
          <w:b/>
          <w:color w:val="000000" w:themeColor="text1"/>
          <w:shd w:val="clear" w:color="auto" w:fill="FFFFFF"/>
          <w:lang w:eastAsia="ru-RU"/>
        </w:rPr>
      </w:pPr>
      <w:r w:rsidRPr="009832C9">
        <w:rPr>
          <w:rFonts w:ascii="Times New Roman" w:eastAsia="Times New Roman" w:hAnsi="Times New Roman" w:cs="Times New Roman"/>
          <w:b/>
          <w:color w:val="000000" w:themeColor="text1"/>
          <w:shd w:val="clear" w:color="auto" w:fill="FFFFFF"/>
          <w:lang w:eastAsia="ru-RU"/>
        </w:rPr>
        <w:t>Для развитых экономик:</w:t>
      </w:r>
    </w:p>
    <w:p w14:paraId="212B060F" w14:textId="77777777" w:rsidR="00791A06" w:rsidRPr="009832C9" w:rsidRDefault="00791A06" w:rsidP="00640BE1">
      <w:pPr>
        <w:pStyle w:val="a4"/>
        <w:numPr>
          <w:ilvl w:val="0"/>
          <w:numId w:val="23"/>
        </w:numPr>
        <w:jc w:val="both"/>
        <w:rPr>
          <w:rFonts w:ascii="Times New Roman" w:eastAsia="Times New Roman" w:hAnsi="Times New Roman" w:cs="Times New Roman"/>
          <w:color w:val="000000"/>
          <w:shd w:val="clear" w:color="auto" w:fill="FFFFFF"/>
          <w:lang w:eastAsia="ru-RU"/>
        </w:rPr>
      </w:pPr>
      <w:r w:rsidRPr="009832C9">
        <w:rPr>
          <w:rFonts w:ascii="Times New Roman" w:hAnsi="Times New Roman" w:cs="Times New Roman"/>
          <w:color w:val="000000" w:themeColor="text1"/>
        </w:rPr>
        <w:t>Для</w:t>
      </w:r>
      <w:r w:rsidRPr="009832C9">
        <w:rPr>
          <w:rFonts w:ascii="Times New Roman" w:eastAsia="Times New Roman" w:hAnsi="Times New Roman" w:cs="Times New Roman"/>
          <w:color w:val="000000"/>
          <w:shd w:val="clear" w:color="auto" w:fill="FFFFFF"/>
          <w:lang w:eastAsia="ru-RU"/>
        </w:rPr>
        <w:t xml:space="preserve"> сохранения и поддержания стабильного функционирования энергетической системы странам потребуется ускоренный переход к более эффективной и гибкой энергетике, способной преодолеть имеющиеся проблемы и  адекватно ответить на вызовы и угрозы, возникающие в ее сфере.</w:t>
      </w:r>
    </w:p>
    <w:p w14:paraId="0A9437DB" w14:textId="77777777" w:rsidR="00791A06" w:rsidRDefault="00791A06" w:rsidP="00640BE1">
      <w:pPr>
        <w:jc w:val="both"/>
        <w:rPr>
          <w:rFonts w:ascii="Times New Roman" w:eastAsia="Times New Roman" w:hAnsi="Times New Roman" w:cs="Times New Roman"/>
          <w:color w:val="000000"/>
          <w:shd w:val="clear" w:color="auto" w:fill="FFFFFF"/>
          <w:lang w:eastAsia="ru-RU"/>
        </w:rPr>
      </w:pPr>
      <w:r w:rsidRPr="009832C9">
        <w:rPr>
          <w:rFonts w:ascii="Times New Roman" w:eastAsia="Times New Roman" w:hAnsi="Times New Roman" w:cs="Times New Roman"/>
          <w:b/>
          <w:color w:val="000000" w:themeColor="text1"/>
          <w:shd w:val="clear" w:color="auto" w:fill="FFFFFF"/>
          <w:lang w:eastAsia="ru-RU"/>
        </w:rPr>
        <w:t xml:space="preserve"> Д</w:t>
      </w:r>
      <w:r w:rsidRPr="009832C9">
        <w:rPr>
          <w:rFonts w:ascii="Times New Roman" w:eastAsia="Times New Roman" w:hAnsi="Times New Roman" w:cs="Times New Roman"/>
          <w:b/>
          <w:color w:val="000000"/>
          <w:shd w:val="clear" w:color="auto" w:fill="FFFFFF"/>
          <w:lang w:eastAsia="ru-RU"/>
        </w:rPr>
        <w:t>ля развивающихся экономик</w:t>
      </w:r>
      <w:r>
        <w:rPr>
          <w:rFonts w:ascii="Times New Roman" w:eastAsia="Times New Roman" w:hAnsi="Times New Roman" w:cs="Times New Roman"/>
          <w:color w:val="000000"/>
          <w:shd w:val="clear" w:color="auto" w:fill="FFFFFF"/>
          <w:lang w:eastAsia="ru-RU"/>
        </w:rPr>
        <w:t xml:space="preserve"> (если решена проблема с обеспечением доступа населения к энергоресурсам):</w:t>
      </w:r>
    </w:p>
    <w:p w14:paraId="732F8E31" w14:textId="77777777" w:rsidR="00791A06" w:rsidRPr="004937F2" w:rsidRDefault="00791A06" w:rsidP="00640BE1">
      <w:pPr>
        <w:pStyle w:val="a4"/>
        <w:numPr>
          <w:ilvl w:val="0"/>
          <w:numId w:val="18"/>
        </w:numPr>
        <w:jc w:val="both"/>
        <w:rPr>
          <w:rFonts w:ascii="Times New Roman" w:eastAsia="Times New Roman" w:hAnsi="Times New Roman" w:cs="Times New Roman"/>
          <w:color w:val="000000"/>
          <w:shd w:val="clear" w:color="auto" w:fill="FFFFFF"/>
          <w:lang w:eastAsia="ru-RU"/>
        </w:rPr>
      </w:pPr>
      <w:r w:rsidRPr="004937F2">
        <w:rPr>
          <w:rFonts w:ascii="Times New Roman" w:eastAsia="Times New Roman" w:hAnsi="Times New Roman" w:cs="Times New Roman"/>
          <w:color w:val="000000"/>
          <w:shd w:val="clear" w:color="auto" w:fill="FFFFFF"/>
          <w:lang w:eastAsia="ru-RU"/>
        </w:rPr>
        <w:t>Развитие энергосберегающих и внедрение инновационных технологий;</w:t>
      </w:r>
    </w:p>
    <w:p w14:paraId="026EF281" w14:textId="77777777" w:rsidR="00791A06" w:rsidRPr="005F2045" w:rsidRDefault="00791A06" w:rsidP="00640BE1">
      <w:pPr>
        <w:pStyle w:val="a4"/>
        <w:numPr>
          <w:ilvl w:val="0"/>
          <w:numId w:val="18"/>
        </w:numPr>
        <w:jc w:val="both"/>
        <w:rPr>
          <w:rFonts w:ascii="Times New Roman" w:eastAsia="Times New Roman" w:hAnsi="Times New Roman" w:cs="Times New Roman"/>
          <w:color w:val="000000"/>
          <w:shd w:val="clear" w:color="auto" w:fill="FFFFFF"/>
          <w:lang w:eastAsia="ru-RU"/>
        </w:rPr>
      </w:pPr>
      <w:r>
        <w:rPr>
          <w:rFonts w:ascii="Times New Roman" w:hAnsi="Times New Roman" w:cs="Times New Roman"/>
          <w:color w:val="000000" w:themeColor="text1"/>
        </w:rPr>
        <w:t>Введение и повышение обязательных стандартов энергетической эффективности для широкого круга оборудования;</w:t>
      </w:r>
    </w:p>
    <w:p w14:paraId="7559E659" w14:textId="77777777" w:rsidR="00791A06" w:rsidRDefault="00791A06" w:rsidP="00640BE1">
      <w:pPr>
        <w:pStyle w:val="a4"/>
        <w:numPr>
          <w:ilvl w:val="0"/>
          <w:numId w:val="18"/>
        </w:numPr>
        <w:jc w:val="both"/>
        <w:rPr>
          <w:rFonts w:ascii="Times New Roman" w:eastAsia="Times New Roman" w:hAnsi="Times New Roman" w:cs="Times New Roman"/>
          <w:color w:val="000000"/>
          <w:shd w:val="clear" w:color="auto" w:fill="FFFFFF"/>
          <w:lang w:eastAsia="ru-RU"/>
        </w:rPr>
      </w:pPr>
      <w:r>
        <w:rPr>
          <w:rFonts w:ascii="Times New Roman" w:hAnsi="Times New Roman" w:cs="Times New Roman"/>
          <w:color w:val="000000" w:themeColor="text1"/>
        </w:rPr>
        <w:t>Обязательные требования к энергосбережению в отношении энергетических компаний;</w:t>
      </w:r>
    </w:p>
    <w:p w14:paraId="14E6D9FA" w14:textId="77777777" w:rsidR="00791A06" w:rsidRDefault="00791A06" w:rsidP="00640BE1">
      <w:pPr>
        <w:pStyle w:val="a4"/>
        <w:numPr>
          <w:ilvl w:val="0"/>
          <w:numId w:val="18"/>
        </w:numPr>
        <w:jc w:val="both"/>
        <w:rPr>
          <w:rFonts w:ascii="Times New Roman" w:eastAsia="Times New Roman" w:hAnsi="Times New Roman" w:cs="Times New Roman"/>
          <w:color w:val="000000"/>
          <w:shd w:val="clear" w:color="auto" w:fill="FFFFFF"/>
          <w:lang w:eastAsia="ru-RU"/>
        </w:rPr>
      </w:pPr>
      <w:r w:rsidRPr="002F1B3B">
        <w:rPr>
          <w:rFonts w:ascii="Times New Roman" w:eastAsia="Times New Roman" w:hAnsi="Times New Roman" w:cs="Times New Roman"/>
          <w:color w:val="000000"/>
          <w:shd w:val="clear" w:color="auto" w:fill="FFFFFF"/>
          <w:lang w:eastAsia="ru-RU"/>
        </w:rPr>
        <w:t xml:space="preserve"> </w:t>
      </w:r>
      <w:r>
        <w:rPr>
          <w:rFonts w:ascii="Times New Roman" w:eastAsia="Times New Roman" w:hAnsi="Times New Roman" w:cs="Times New Roman"/>
          <w:color w:val="000000"/>
          <w:shd w:val="clear" w:color="auto" w:fill="FFFFFF"/>
          <w:lang w:eastAsia="ru-RU"/>
        </w:rPr>
        <w:t>Модернизация угольных ТЭС (примером является Китай, который уменьшил массу угля для сжигания);</w:t>
      </w:r>
    </w:p>
    <w:p w14:paraId="7744F6C0" w14:textId="77777777" w:rsidR="00791A06" w:rsidRDefault="00791A06" w:rsidP="00640BE1">
      <w:pPr>
        <w:pStyle w:val="a4"/>
        <w:numPr>
          <w:ilvl w:val="0"/>
          <w:numId w:val="18"/>
        </w:numPr>
        <w:jc w:val="both"/>
        <w:rPr>
          <w:rFonts w:ascii="Times New Roman" w:eastAsia="Times New Roman" w:hAnsi="Times New Roman" w:cs="Times New Roman"/>
          <w:color w:val="000000"/>
          <w:shd w:val="clear" w:color="auto" w:fill="FFFFFF"/>
          <w:lang w:eastAsia="ru-RU"/>
        </w:rPr>
      </w:pPr>
      <w:r>
        <w:rPr>
          <w:rFonts w:ascii="Times New Roman" w:eastAsia="Times New Roman" w:hAnsi="Times New Roman" w:cs="Times New Roman"/>
          <w:color w:val="000000"/>
          <w:shd w:val="clear" w:color="auto" w:fill="FFFFFF"/>
          <w:lang w:eastAsia="ru-RU"/>
        </w:rPr>
        <w:t>С</w:t>
      </w:r>
      <w:r w:rsidRPr="002F1B3B">
        <w:rPr>
          <w:rFonts w:ascii="Times New Roman" w:eastAsia="Times New Roman" w:hAnsi="Times New Roman" w:cs="Times New Roman"/>
          <w:color w:val="000000"/>
          <w:shd w:val="clear" w:color="auto" w:fill="FFFFFF"/>
          <w:lang w:eastAsia="ru-RU"/>
        </w:rPr>
        <w:t>троительство малых ГЭС</w:t>
      </w:r>
      <w:r>
        <w:rPr>
          <w:rFonts w:ascii="Times New Roman" w:eastAsia="Times New Roman" w:hAnsi="Times New Roman" w:cs="Times New Roman"/>
          <w:color w:val="000000"/>
          <w:shd w:val="clear" w:color="auto" w:fill="FFFFFF"/>
          <w:lang w:eastAsia="ru-RU"/>
        </w:rPr>
        <w:t xml:space="preserve"> для труднодоступных районов.  </w:t>
      </w:r>
    </w:p>
    <w:p w14:paraId="499E4467" w14:textId="77777777" w:rsidR="00BD4019" w:rsidRDefault="00BD4019" w:rsidP="00640BE1">
      <w:pPr>
        <w:pStyle w:val="a3"/>
        <w:jc w:val="both"/>
      </w:pPr>
    </w:p>
    <w:p w14:paraId="3CFDCA25" w14:textId="77777777" w:rsidR="00AD0D56" w:rsidRDefault="00AD0D56" w:rsidP="00640BE1">
      <w:pPr>
        <w:pStyle w:val="a3"/>
        <w:jc w:val="both"/>
      </w:pPr>
    </w:p>
    <w:p w14:paraId="6F40BE83" w14:textId="77777777" w:rsidR="00AD0D56" w:rsidRDefault="00AD0D56" w:rsidP="00640BE1">
      <w:pPr>
        <w:pStyle w:val="a3"/>
        <w:jc w:val="both"/>
      </w:pPr>
    </w:p>
    <w:p w14:paraId="21D995F6" w14:textId="77777777" w:rsidR="00AD0D56" w:rsidRDefault="00AD0D56" w:rsidP="00640BE1">
      <w:pPr>
        <w:pStyle w:val="a3"/>
        <w:jc w:val="both"/>
      </w:pPr>
    </w:p>
    <w:p w14:paraId="335AC746" w14:textId="77777777" w:rsidR="00AD0D56" w:rsidRDefault="00AD0D56" w:rsidP="00640BE1">
      <w:pPr>
        <w:pStyle w:val="a3"/>
        <w:jc w:val="both"/>
      </w:pPr>
    </w:p>
    <w:p w14:paraId="3C9B9827" w14:textId="77777777" w:rsidR="00AD0D56" w:rsidRDefault="00AD0D56" w:rsidP="00640BE1">
      <w:pPr>
        <w:pStyle w:val="a3"/>
        <w:jc w:val="both"/>
      </w:pPr>
    </w:p>
    <w:p w14:paraId="3828F433" w14:textId="77777777" w:rsidR="00AD0D56" w:rsidRDefault="00AD0D56" w:rsidP="00640BE1">
      <w:pPr>
        <w:pStyle w:val="a3"/>
        <w:jc w:val="both"/>
      </w:pPr>
    </w:p>
    <w:p w14:paraId="162D0ED0" w14:textId="77777777" w:rsidR="00AD0D56" w:rsidRDefault="00AD0D56" w:rsidP="00640BE1">
      <w:pPr>
        <w:pStyle w:val="a3"/>
        <w:jc w:val="both"/>
      </w:pPr>
    </w:p>
    <w:p w14:paraId="5FDA8AFE" w14:textId="77777777" w:rsidR="00705CDB" w:rsidRDefault="00705CDB" w:rsidP="00640BE1">
      <w:pPr>
        <w:pStyle w:val="a3"/>
        <w:jc w:val="both"/>
      </w:pPr>
    </w:p>
    <w:p w14:paraId="5E132EE1" w14:textId="77777777" w:rsidR="00705CDB" w:rsidRDefault="00705CDB" w:rsidP="00640BE1">
      <w:pPr>
        <w:pStyle w:val="a3"/>
        <w:jc w:val="both"/>
      </w:pPr>
    </w:p>
    <w:p w14:paraId="56DAC36E" w14:textId="77777777" w:rsidR="00640BE1" w:rsidRDefault="00640BE1" w:rsidP="00640BE1">
      <w:pPr>
        <w:pStyle w:val="a3"/>
        <w:jc w:val="both"/>
      </w:pPr>
    </w:p>
    <w:p w14:paraId="67D1B51F" w14:textId="77777777" w:rsidR="00347CC8" w:rsidRDefault="00347CC8" w:rsidP="00640BE1">
      <w:pPr>
        <w:pStyle w:val="a3"/>
        <w:jc w:val="both"/>
      </w:pPr>
    </w:p>
    <w:p w14:paraId="5C1FB572" w14:textId="77777777" w:rsidR="00E219E9" w:rsidRPr="00FD5295" w:rsidRDefault="00E219E9" w:rsidP="00FD5295">
      <w:pPr>
        <w:spacing w:line="360" w:lineRule="auto"/>
        <w:jc w:val="both"/>
        <w:rPr>
          <w:rFonts w:ascii="Times New Roman" w:eastAsia="Times New Roman" w:hAnsi="Times New Roman" w:cs="Times New Roman"/>
        </w:rPr>
      </w:pPr>
    </w:p>
    <w:p w14:paraId="04B27F1C" w14:textId="264263A3" w:rsidR="00FD5295" w:rsidRPr="00C41C6D" w:rsidRDefault="00967AC9" w:rsidP="00640BE1">
      <w:pPr>
        <w:jc w:val="center"/>
        <w:rPr>
          <w:rFonts w:ascii="Times New Roman" w:hAnsi="Times New Roman" w:cs="Times New Roman"/>
          <w:b/>
          <w:i/>
          <w:lang w:eastAsia="ru-RU"/>
        </w:rPr>
      </w:pPr>
      <w:r w:rsidRPr="00C41C6D">
        <w:rPr>
          <w:rFonts w:ascii="Times New Roman" w:hAnsi="Times New Roman" w:cs="Times New Roman"/>
          <w:b/>
          <w:i/>
          <w:lang w:eastAsia="ru-RU"/>
        </w:rPr>
        <w:t>Литература</w:t>
      </w:r>
      <w:r w:rsidR="00C41C6D" w:rsidRPr="00C41C6D">
        <w:rPr>
          <w:rFonts w:ascii="Times New Roman" w:hAnsi="Times New Roman" w:cs="Times New Roman"/>
          <w:b/>
          <w:i/>
          <w:lang w:eastAsia="ru-RU"/>
        </w:rPr>
        <w:t xml:space="preserve"> и Интернет источники</w:t>
      </w:r>
    </w:p>
    <w:p w14:paraId="3FB4FD38" w14:textId="28A3DB0F" w:rsidR="00814B8F" w:rsidRPr="00F52916" w:rsidRDefault="00814B8F" w:rsidP="00640BE1">
      <w:pPr>
        <w:pStyle w:val="a4"/>
        <w:numPr>
          <w:ilvl w:val="0"/>
          <w:numId w:val="21"/>
        </w:numPr>
        <w:pBdr>
          <w:top w:val="nil"/>
          <w:left w:val="nil"/>
          <w:bottom w:val="nil"/>
          <w:right w:val="nil"/>
          <w:between w:val="nil"/>
        </w:pBdr>
        <w:jc w:val="both"/>
        <w:rPr>
          <w:rFonts w:ascii="Times New Roman" w:hAnsi="Times New Roman" w:cs="Times New Roman"/>
          <w:lang w:eastAsia="ru-RU"/>
        </w:rPr>
      </w:pPr>
      <w:r w:rsidRPr="00F52916">
        <w:rPr>
          <w:rFonts w:ascii="Times New Roman" w:hAnsi="Times New Roman" w:cs="Times New Roman"/>
          <w:lang w:eastAsia="ru-RU"/>
        </w:rPr>
        <w:t xml:space="preserve">Показатели энергоэффективности: основы статистики </w:t>
      </w:r>
      <w:r w:rsidR="00065BA1">
        <w:rPr>
          <w:rFonts w:ascii="Times New Roman" w:hAnsi="Times New Roman" w:cs="Times New Roman"/>
          <w:lang w:eastAsia="ru-RU"/>
        </w:rPr>
        <w:t>// МЭА [Электронный ресурс] –</w:t>
      </w:r>
      <w:r w:rsidRPr="00F52916">
        <w:rPr>
          <w:rFonts w:ascii="Times New Roman" w:hAnsi="Times New Roman" w:cs="Times New Roman"/>
          <w:lang w:eastAsia="ru-RU"/>
        </w:rPr>
        <w:t xml:space="preserve"> </w:t>
      </w:r>
      <w:r w:rsidR="00065BA1">
        <w:rPr>
          <w:rFonts w:ascii="Times New Roman" w:hAnsi="Times New Roman" w:cs="Times New Roman"/>
          <w:lang w:val="en-US" w:eastAsia="ru-RU"/>
        </w:rPr>
        <w:t>Режим доступа</w:t>
      </w:r>
      <w:r w:rsidRPr="00F52916">
        <w:rPr>
          <w:rFonts w:ascii="Times New Roman" w:hAnsi="Times New Roman" w:cs="Times New Roman"/>
          <w:lang w:eastAsia="ru-RU"/>
        </w:rPr>
        <w:t xml:space="preserve">: </w:t>
      </w:r>
      <w:hyperlink r:id="rId8" w:history="1">
        <w:r w:rsidRPr="00F52916">
          <w:rPr>
            <w:rFonts w:ascii="Times New Roman" w:hAnsi="Times New Roman" w:cs="Times New Roman"/>
            <w:lang w:eastAsia="ru-RU"/>
          </w:rPr>
          <w:t>https://iea.blob.core.windows.net/assets/f27e9703-1bb0-4aa5-a1c5-0397ee9c145d/Fundamentals_RU_final_FULLWEB.PDF</w:t>
        </w:r>
      </w:hyperlink>
      <w:r w:rsidRPr="00F52916">
        <w:rPr>
          <w:rFonts w:ascii="Times New Roman" w:hAnsi="Times New Roman" w:cs="Times New Roman"/>
          <w:lang w:eastAsia="ru-RU"/>
        </w:rPr>
        <w:t xml:space="preserve"> (дата обращения: 15.03.2022)</w:t>
      </w:r>
    </w:p>
    <w:p w14:paraId="7421D983" w14:textId="327C3F86" w:rsidR="00063D65" w:rsidRPr="00063D65" w:rsidRDefault="00063D65" w:rsidP="00640BE1">
      <w:pPr>
        <w:numPr>
          <w:ilvl w:val="0"/>
          <w:numId w:val="21"/>
        </w:numPr>
        <w:pBdr>
          <w:top w:val="nil"/>
          <w:left w:val="nil"/>
          <w:bottom w:val="nil"/>
          <w:right w:val="nil"/>
          <w:between w:val="nil"/>
        </w:pBdr>
        <w:jc w:val="both"/>
        <w:rPr>
          <w:rFonts w:ascii="Times New Roman" w:hAnsi="Times New Roman" w:cs="Times New Roman"/>
          <w:lang w:eastAsia="ru-RU"/>
        </w:rPr>
      </w:pPr>
      <w:r w:rsidRPr="00EF7515">
        <w:rPr>
          <w:rFonts w:ascii="Times New Roman" w:hAnsi="Times New Roman" w:cs="Times New Roman"/>
          <w:lang w:eastAsia="ru-RU"/>
        </w:rPr>
        <w:t xml:space="preserve">Уланов В.Л., Сазонов Д.Ю. Возобновляемые источники энергии как фактор риска развития российских энергетических компаний // Известия РАН. Энергетика. </w:t>
      </w:r>
      <w:r w:rsidR="00065BA1">
        <w:rPr>
          <w:rFonts w:ascii="Times New Roman" w:hAnsi="Times New Roman" w:cs="Times New Roman"/>
          <w:lang w:eastAsia="ru-RU"/>
        </w:rPr>
        <w:t xml:space="preserve">- </w:t>
      </w:r>
      <w:r w:rsidRPr="00EF7515">
        <w:rPr>
          <w:rFonts w:ascii="Times New Roman" w:hAnsi="Times New Roman" w:cs="Times New Roman"/>
          <w:lang w:eastAsia="ru-RU"/>
        </w:rPr>
        <w:t>2018.</w:t>
      </w:r>
      <w:r w:rsidR="00065BA1">
        <w:rPr>
          <w:rFonts w:ascii="Times New Roman" w:hAnsi="Times New Roman" w:cs="Times New Roman"/>
          <w:lang w:eastAsia="ru-RU"/>
        </w:rPr>
        <w:t xml:space="preserve"> - </w:t>
      </w:r>
      <w:r w:rsidRPr="00EF7515">
        <w:rPr>
          <w:rFonts w:ascii="Times New Roman" w:hAnsi="Times New Roman" w:cs="Times New Roman"/>
          <w:lang w:eastAsia="ru-RU"/>
        </w:rPr>
        <w:t xml:space="preserve"> №4. </w:t>
      </w:r>
      <w:r w:rsidR="00065BA1">
        <w:rPr>
          <w:rFonts w:ascii="Times New Roman" w:hAnsi="Times New Roman" w:cs="Times New Roman"/>
          <w:lang w:eastAsia="ru-RU"/>
        </w:rPr>
        <w:t xml:space="preserve"> - </w:t>
      </w:r>
      <w:r w:rsidRPr="00EF7515">
        <w:rPr>
          <w:rFonts w:ascii="Times New Roman" w:hAnsi="Times New Roman" w:cs="Times New Roman"/>
          <w:lang w:eastAsia="ru-RU"/>
        </w:rPr>
        <w:t>С. 3-13.</w:t>
      </w:r>
    </w:p>
    <w:p w14:paraId="7C98D919" w14:textId="5CF7D55F" w:rsidR="00814B8F" w:rsidRPr="0085086B" w:rsidRDefault="00814B8F" w:rsidP="00640BE1">
      <w:pPr>
        <w:numPr>
          <w:ilvl w:val="0"/>
          <w:numId w:val="21"/>
        </w:numPr>
        <w:pBdr>
          <w:top w:val="nil"/>
          <w:left w:val="nil"/>
          <w:bottom w:val="nil"/>
          <w:right w:val="nil"/>
          <w:between w:val="nil"/>
        </w:pBdr>
        <w:jc w:val="both"/>
        <w:rPr>
          <w:rFonts w:ascii="Times New Roman" w:hAnsi="Times New Roman" w:cs="Times New Roman"/>
          <w:lang w:eastAsia="ru-RU"/>
        </w:rPr>
      </w:pPr>
      <w:r w:rsidRPr="0085086B">
        <w:rPr>
          <w:rFonts w:ascii="Times New Roman" w:hAnsi="Times New Roman" w:cs="Times New Roman"/>
          <w:lang w:eastAsia="ru-RU"/>
        </w:rPr>
        <w:t xml:space="preserve">Григорьев Л.М., Курдин А.А. Энергетическая эффективность: ключевой элемент новой экономики // В кн.: Доклад о человеческом развитии в Российской Федерации 2013. Устойчивое развитие: Вызовы Рио / Под общ. ред.: С.Н. Бобылев.М. : ПРООН, 2013. </w:t>
      </w:r>
      <w:r w:rsidR="00036E2C">
        <w:rPr>
          <w:rFonts w:ascii="Times New Roman" w:hAnsi="Times New Roman" w:cs="Times New Roman"/>
          <w:lang w:eastAsia="ru-RU"/>
        </w:rPr>
        <w:t xml:space="preserve">- </w:t>
      </w:r>
      <w:r w:rsidRPr="0085086B">
        <w:rPr>
          <w:rFonts w:ascii="Times New Roman" w:hAnsi="Times New Roman" w:cs="Times New Roman"/>
          <w:lang w:eastAsia="ru-RU"/>
        </w:rPr>
        <w:t>С. 102-116.</w:t>
      </w:r>
    </w:p>
    <w:p w14:paraId="7B3C4D46" w14:textId="35A335A9" w:rsidR="00814B8F" w:rsidRDefault="00814B8F" w:rsidP="00640BE1">
      <w:pPr>
        <w:numPr>
          <w:ilvl w:val="0"/>
          <w:numId w:val="21"/>
        </w:numPr>
        <w:pBdr>
          <w:top w:val="nil"/>
          <w:left w:val="nil"/>
          <w:bottom w:val="nil"/>
          <w:right w:val="nil"/>
          <w:between w:val="nil"/>
        </w:pBdr>
        <w:jc w:val="both"/>
        <w:rPr>
          <w:rFonts w:ascii="Times New Roman" w:hAnsi="Times New Roman" w:cs="Times New Roman"/>
          <w:lang w:eastAsia="ru-RU"/>
        </w:rPr>
      </w:pPr>
      <w:r w:rsidRPr="00640BE1">
        <w:rPr>
          <w:rFonts w:ascii="Times New Roman" w:hAnsi="Times New Roman" w:cs="Times New Roman"/>
          <w:lang w:val="en-US" w:eastAsia="ru-RU"/>
        </w:rPr>
        <w:t xml:space="preserve">World economic outlook October 2021. International Monetary Fund, Washigton, DC, 2021. </w:t>
      </w:r>
      <w:r w:rsidRPr="000454B1">
        <w:rPr>
          <w:rFonts w:ascii="Times New Roman" w:hAnsi="Times New Roman" w:cs="Times New Roman"/>
          <w:lang w:eastAsia="ru-RU"/>
        </w:rPr>
        <w:t>URL:</w:t>
      </w:r>
      <w:r>
        <w:rPr>
          <w:rFonts w:ascii="Times New Roman" w:hAnsi="Times New Roman" w:cs="Times New Roman"/>
          <w:lang w:eastAsia="ru-RU"/>
        </w:rPr>
        <w:t xml:space="preserve"> </w:t>
      </w:r>
      <w:r w:rsidRPr="005F603D">
        <w:rPr>
          <w:rFonts w:ascii="Times New Roman" w:hAnsi="Times New Roman" w:cs="Times New Roman"/>
          <w:lang w:eastAsia="ru-RU"/>
        </w:rPr>
        <w:t xml:space="preserve">https://www.imf.org/en/Publications/WEO </w:t>
      </w:r>
    </w:p>
    <w:p w14:paraId="598641D8" w14:textId="77777777" w:rsidR="00814B8F" w:rsidRPr="00640BE1" w:rsidRDefault="00814B8F" w:rsidP="00640BE1">
      <w:pPr>
        <w:numPr>
          <w:ilvl w:val="0"/>
          <w:numId w:val="21"/>
        </w:numPr>
        <w:pBdr>
          <w:top w:val="nil"/>
          <w:left w:val="nil"/>
          <w:bottom w:val="nil"/>
          <w:right w:val="nil"/>
          <w:between w:val="nil"/>
        </w:pBdr>
        <w:jc w:val="both"/>
        <w:rPr>
          <w:rFonts w:ascii="Times New Roman" w:hAnsi="Times New Roman" w:cs="Times New Roman"/>
          <w:lang w:val="en-US" w:eastAsia="ru-RU"/>
        </w:rPr>
      </w:pPr>
      <w:r w:rsidRPr="00640BE1">
        <w:rPr>
          <w:rFonts w:ascii="Times New Roman" w:hAnsi="Times New Roman" w:cs="Times New Roman"/>
          <w:lang w:val="en-US" w:eastAsia="ru-RU"/>
        </w:rPr>
        <w:t xml:space="preserve">National Bureau of Statistics of China. Principal Aggregate Indicators on National Economic and Social Development and Growth Rates // URL: </w:t>
      </w:r>
      <w:hyperlink r:id="rId9" w:history="1">
        <w:r w:rsidRPr="00640BE1">
          <w:rPr>
            <w:rFonts w:ascii="Times New Roman" w:hAnsi="Times New Roman" w:cs="Times New Roman"/>
            <w:lang w:val="en-US" w:eastAsia="ru-RU"/>
          </w:rPr>
          <w:t>http://www.stats.gov.cn/tjsj/ndsj/2019/indexeh.htm</w:t>
        </w:r>
      </w:hyperlink>
      <w:r w:rsidRPr="00640BE1">
        <w:rPr>
          <w:rFonts w:ascii="Times New Roman" w:hAnsi="Times New Roman" w:cs="Times New Roman"/>
          <w:lang w:val="en-US" w:eastAsia="ru-RU"/>
        </w:rPr>
        <w:t xml:space="preserve"> (</w:t>
      </w:r>
      <w:r>
        <w:rPr>
          <w:rFonts w:ascii="Times New Roman" w:hAnsi="Times New Roman" w:cs="Times New Roman"/>
          <w:lang w:eastAsia="ru-RU"/>
        </w:rPr>
        <w:t>дата</w:t>
      </w:r>
      <w:r w:rsidRPr="00640BE1">
        <w:rPr>
          <w:rFonts w:ascii="Times New Roman" w:hAnsi="Times New Roman" w:cs="Times New Roman"/>
          <w:lang w:val="en-US" w:eastAsia="ru-RU"/>
        </w:rPr>
        <w:t xml:space="preserve"> </w:t>
      </w:r>
      <w:r>
        <w:rPr>
          <w:rFonts w:ascii="Times New Roman" w:hAnsi="Times New Roman" w:cs="Times New Roman"/>
          <w:lang w:eastAsia="ru-RU"/>
        </w:rPr>
        <w:t>обращения</w:t>
      </w:r>
      <w:r w:rsidRPr="00640BE1">
        <w:rPr>
          <w:rFonts w:ascii="Times New Roman" w:hAnsi="Times New Roman" w:cs="Times New Roman"/>
          <w:lang w:val="en-US" w:eastAsia="ru-RU"/>
        </w:rPr>
        <w:t>: 07.03.20222).</w:t>
      </w:r>
    </w:p>
    <w:p w14:paraId="6F332B31" w14:textId="30285FDA" w:rsidR="00814B8F" w:rsidRPr="002D3863" w:rsidRDefault="00814B8F" w:rsidP="00640BE1">
      <w:pPr>
        <w:numPr>
          <w:ilvl w:val="0"/>
          <w:numId w:val="21"/>
        </w:numPr>
        <w:pBdr>
          <w:top w:val="nil"/>
          <w:left w:val="nil"/>
          <w:bottom w:val="nil"/>
          <w:right w:val="nil"/>
          <w:between w:val="nil"/>
        </w:pBdr>
        <w:jc w:val="both"/>
        <w:rPr>
          <w:rFonts w:ascii="Times New Roman" w:hAnsi="Times New Roman" w:cs="Times New Roman"/>
          <w:lang w:eastAsia="ru-RU"/>
        </w:rPr>
      </w:pPr>
      <w:r w:rsidRPr="002D3863">
        <w:rPr>
          <w:rFonts w:ascii="Times New Roman" w:hAnsi="Times New Roman" w:cs="Times New Roman"/>
          <w:lang w:eastAsia="ru-RU"/>
        </w:rPr>
        <w:t xml:space="preserve">Кашин В.Б., Пятачкова А.С., Смирнова В.А., Литвинов А.А., Поташев Н.А. Китайские эксперты о новом пятилетнем плане КНР // Центр комплексных европейских и международных исследований НИУ ВШЭ. </w:t>
      </w:r>
      <w:r w:rsidR="00036E2C">
        <w:rPr>
          <w:rFonts w:ascii="Times New Roman" w:hAnsi="Times New Roman" w:cs="Times New Roman"/>
          <w:lang w:eastAsia="ru-RU"/>
        </w:rPr>
        <w:t xml:space="preserve">- </w:t>
      </w:r>
      <w:r w:rsidRPr="002D3863">
        <w:rPr>
          <w:rFonts w:ascii="Times New Roman" w:hAnsi="Times New Roman" w:cs="Times New Roman"/>
          <w:lang w:eastAsia="ru-RU"/>
        </w:rPr>
        <w:t>2021.</w:t>
      </w:r>
      <w:r w:rsidR="00036E2C">
        <w:rPr>
          <w:rFonts w:ascii="Times New Roman" w:hAnsi="Times New Roman" w:cs="Times New Roman"/>
          <w:lang w:eastAsia="ru-RU"/>
        </w:rPr>
        <w:t xml:space="preserve"> -  С. 1- 24</w:t>
      </w:r>
      <w:r w:rsidRPr="002D3863">
        <w:rPr>
          <w:rFonts w:ascii="Times New Roman" w:hAnsi="Times New Roman" w:cs="Times New Roman"/>
          <w:lang w:eastAsia="ru-RU"/>
        </w:rPr>
        <w:t>.</w:t>
      </w:r>
    </w:p>
    <w:p w14:paraId="18968B4B" w14:textId="3A00394E" w:rsidR="00814B8F" w:rsidRPr="00640BE1" w:rsidRDefault="00814B8F" w:rsidP="00640BE1">
      <w:pPr>
        <w:numPr>
          <w:ilvl w:val="0"/>
          <w:numId w:val="21"/>
        </w:numPr>
        <w:pBdr>
          <w:top w:val="nil"/>
          <w:left w:val="nil"/>
          <w:bottom w:val="nil"/>
          <w:right w:val="nil"/>
          <w:between w:val="nil"/>
        </w:pBdr>
        <w:jc w:val="both"/>
        <w:rPr>
          <w:rFonts w:ascii="Times New Roman" w:hAnsi="Times New Roman" w:cs="Times New Roman"/>
          <w:lang w:val="en-US" w:eastAsia="ru-RU"/>
        </w:rPr>
      </w:pPr>
      <w:r w:rsidRPr="00640BE1">
        <w:rPr>
          <w:rFonts w:ascii="Times New Roman" w:hAnsi="Times New Roman" w:cs="Times New Roman"/>
          <w:lang w:val="en-US" w:eastAsia="ru-RU"/>
        </w:rPr>
        <w:t xml:space="preserve">General Profile: China // https://unctadstat.unctad.org/EN/ URL:  https://unctadstat.unctad.org/countryprofile/generalprofile/en-gb/156/index.html </w:t>
      </w:r>
    </w:p>
    <w:p w14:paraId="0B1F0757" w14:textId="0B8225E9" w:rsidR="00814B8F" w:rsidRPr="002D3863" w:rsidRDefault="00814B8F" w:rsidP="00640BE1">
      <w:pPr>
        <w:numPr>
          <w:ilvl w:val="0"/>
          <w:numId w:val="21"/>
        </w:numPr>
        <w:pBdr>
          <w:top w:val="nil"/>
          <w:left w:val="nil"/>
          <w:bottom w:val="nil"/>
          <w:right w:val="nil"/>
          <w:between w:val="nil"/>
        </w:pBdr>
        <w:jc w:val="both"/>
        <w:rPr>
          <w:rFonts w:ascii="Times New Roman" w:hAnsi="Times New Roman" w:cs="Times New Roman"/>
          <w:lang w:eastAsia="ru-RU"/>
        </w:rPr>
      </w:pPr>
      <w:r w:rsidRPr="002D3863">
        <w:rPr>
          <w:rFonts w:ascii="Times New Roman" w:hAnsi="Times New Roman" w:cs="Times New Roman"/>
          <w:lang w:eastAsia="ru-RU"/>
        </w:rPr>
        <w:t>Мозиас П.М. Экономика Китая: по</w:t>
      </w:r>
      <w:r w:rsidR="001E5F97">
        <w:rPr>
          <w:rFonts w:ascii="Times New Roman" w:hAnsi="Times New Roman" w:cs="Times New Roman"/>
          <w:lang w:eastAsia="ru-RU"/>
        </w:rPr>
        <w:t>гружение в «новую нормальность» // Вопросы экономики. – 2015. -  №4. -  С</w:t>
      </w:r>
      <w:r w:rsidRPr="002D3863">
        <w:rPr>
          <w:rFonts w:ascii="Times New Roman" w:hAnsi="Times New Roman" w:cs="Times New Roman"/>
          <w:lang w:eastAsia="ru-RU"/>
        </w:rPr>
        <w:t>. 134-158.</w:t>
      </w:r>
    </w:p>
    <w:p w14:paraId="7FF79E71" w14:textId="1E38E392" w:rsidR="00814B8F" w:rsidRPr="00063D65" w:rsidRDefault="00063D65" w:rsidP="00640BE1">
      <w:pPr>
        <w:numPr>
          <w:ilvl w:val="0"/>
          <w:numId w:val="21"/>
        </w:numPr>
        <w:pBdr>
          <w:top w:val="nil"/>
          <w:left w:val="nil"/>
          <w:bottom w:val="nil"/>
          <w:right w:val="nil"/>
          <w:between w:val="nil"/>
        </w:pBdr>
        <w:jc w:val="both"/>
        <w:rPr>
          <w:rFonts w:ascii="Times New Roman" w:hAnsi="Times New Roman" w:cs="Times New Roman"/>
          <w:lang w:eastAsia="ru-RU"/>
        </w:rPr>
      </w:pPr>
      <w:r w:rsidRPr="002D3863">
        <w:rPr>
          <w:rFonts w:ascii="Times New Roman" w:hAnsi="Times New Roman" w:cs="Times New Roman"/>
          <w:lang w:eastAsia="ru-RU"/>
        </w:rPr>
        <w:t xml:space="preserve">Самбурова Е.Н. Региональные диспропорции современного развития экономики Китая // Вестник Московского университета. Серия 5: География. </w:t>
      </w:r>
      <w:r w:rsidR="001E5F97">
        <w:rPr>
          <w:rFonts w:ascii="Times New Roman" w:hAnsi="Times New Roman" w:cs="Times New Roman"/>
          <w:lang w:eastAsia="ru-RU"/>
        </w:rPr>
        <w:t xml:space="preserve">- </w:t>
      </w:r>
      <w:r w:rsidRPr="002D3863">
        <w:rPr>
          <w:rFonts w:ascii="Times New Roman" w:hAnsi="Times New Roman" w:cs="Times New Roman"/>
          <w:lang w:eastAsia="ru-RU"/>
        </w:rPr>
        <w:t xml:space="preserve">2014. </w:t>
      </w:r>
      <w:r w:rsidR="001E5F97">
        <w:rPr>
          <w:rFonts w:ascii="Times New Roman" w:hAnsi="Times New Roman" w:cs="Times New Roman"/>
          <w:lang w:eastAsia="ru-RU"/>
        </w:rPr>
        <w:t xml:space="preserve">- </w:t>
      </w:r>
      <w:r w:rsidRPr="002D3863">
        <w:rPr>
          <w:rFonts w:ascii="Times New Roman" w:hAnsi="Times New Roman" w:cs="Times New Roman"/>
          <w:lang w:eastAsia="ru-RU"/>
        </w:rPr>
        <w:t xml:space="preserve">№4. </w:t>
      </w:r>
      <w:r w:rsidR="001E5F97">
        <w:rPr>
          <w:rFonts w:ascii="Times New Roman" w:hAnsi="Times New Roman" w:cs="Times New Roman"/>
          <w:lang w:eastAsia="ru-RU"/>
        </w:rPr>
        <w:t xml:space="preserve">- </w:t>
      </w:r>
      <w:r w:rsidRPr="002D3863">
        <w:rPr>
          <w:rFonts w:ascii="Times New Roman" w:hAnsi="Times New Roman" w:cs="Times New Roman"/>
          <w:lang w:eastAsia="ru-RU"/>
        </w:rPr>
        <w:t>С. 49-55.</w:t>
      </w:r>
    </w:p>
    <w:p w14:paraId="1DEBF7DC" w14:textId="77777777" w:rsidR="00814B8F" w:rsidRDefault="00814B8F" w:rsidP="00814B8F">
      <w:pPr>
        <w:pBdr>
          <w:top w:val="nil"/>
          <w:left w:val="nil"/>
          <w:bottom w:val="nil"/>
          <w:right w:val="nil"/>
          <w:between w:val="nil"/>
        </w:pBdr>
        <w:spacing w:line="360" w:lineRule="auto"/>
        <w:jc w:val="both"/>
        <w:rPr>
          <w:rFonts w:ascii="Times New Roman" w:hAnsi="Times New Roman" w:cs="Times New Roman"/>
          <w:lang w:eastAsia="ru-RU"/>
        </w:rPr>
      </w:pPr>
    </w:p>
    <w:p w14:paraId="536D76EE" w14:textId="77777777" w:rsidR="00814B8F" w:rsidRDefault="00814B8F" w:rsidP="00814B8F">
      <w:pPr>
        <w:pBdr>
          <w:top w:val="nil"/>
          <w:left w:val="nil"/>
          <w:bottom w:val="nil"/>
          <w:right w:val="nil"/>
          <w:between w:val="nil"/>
        </w:pBdr>
        <w:spacing w:line="360" w:lineRule="auto"/>
        <w:jc w:val="both"/>
        <w:rPr>
          <w:rFonts w:ascii="Times New Roman" w:hAnsi="Times New Roman" w:cs="Times New Roman"/>
          <w:lang w:eastAsia="ru-RU"/>
        </w:rPr>
      </w:pPr>
    </w:p>
    <w:p w14:paraId="7DDDF38E" w14:textId="77777777" w:rsidR="005C2B62" w:rsidRDefault="005C2B62" w:rsidP="005C2B62">
      <w:pPr>
        <w:pStyle w:val="a3"/>
      </w:pPr>
    </w:p>
    <w:p w14:paraId="0BB35CDC" w14:textId="77777777" w:rsidR="00705CDB" w:rsidRDefault="00705CDB" w:rsidP="005C2B62">
      <w:pPr>
        <w:pStyle w:val="a3"/>
      </w:pPr>
    </w:p>
    <w:p w14:paraId="7AFE136C" w14:textId="77777777" w:rsidR="00705CDB" w:rsidRDefault="00705CDB" w:rsidP="005C2B62">
      <w:pPr>
        <w:pStyle w:val="a3"/>
      </w:pPr>
    </w:p>
    <w:p w14:paraId="118B9160" w14:textId="77777777" w:rsidR="008A3E87" w:rsidRDefault="008A3E87" w:rsidP="005C2B62">
      <w:pPr>
        <w:pStyle w:val="a3"/>
      </w:pPr>
    </w:p>
    <w:p w14:paraId="3254D6C2" w14:textId="77777777" w:rsidR="008A3E87" w:rsidRDefault="008A3E87" w:rsidP="005C2B62">
      <w:pPr>
        <w:pStyle w:val="a3"/>
      </w:pPr>
    </w:p>
    <w:p w14:paraId="7184E3B4" w14:textId="77777777" w:rsidR="006A6CF0" w:rsidRDefault="006A6CF0" w:rsidP="005C2B62">
      <w:pPr>
        <w:pStyle w:val="a3"/>
      </w:pPr>
    </w:p>
    <w:p w14:paraId="12205D44" w14:textId="77777777" w:rsidR="006A6CF0" w:rsidRDefault="006A6CF0" w:rsidP="005C2B62">
      <w:pPr>
        <w:pStyle w:val="a3"/>
      </w:pPr>
    </w:p>
    <w:p w14:paraId="7BBFA3DE" w14:textId="23E9CB02" w:rsidR="008A3E87" w:rsidRDefault="008A3E87" w:rsidP="008A3E87">
      <w:pPr>
        <w:pStyle w:val="a3"/>
        <w:jc w:val="both"/>
      </w:pPr>
      <w:r>
        <w:t>Сведения об авторе: Власова Анастасия Валерьевна, аспирант факультета экономики НИУ-ВШЭ, ассистент кафедры мировой экономики</w:t>
      </w:r>
    </w:p>
    <w:p w14:paraId="1BD680E1" w14:textId="34061C56" w:rsidR="008A3E87" w:rsidRPr="008A3E87" w:rsidRDefault="008A3E87" w:rsidP="008A3E87">
      <w:pPr>
        <w:pStyle w:val="a3"/>
        <w:jc w:val="both"/>
        <w:rPr>
          <w:i/>
          <w:lang w:val="en-US"/>
        </w:rPr>
      </w:pPr>
      <w:r w:rsidRPr="008A3E87">
        <w:rPr>
          <w:i/>
        </w:rPr>
        <w:t>Контактная информация: e-mail: stacy7973@gmail.com</w:t>
      </w:r>
    </w:p>
    <w:p w14:paraId="1A642FB0" w14:textId="77777777" w:rsidR="00705CDB" w:rsidRDefault="00705CDB" w:rsidP="005C2B62">
      <w:pPr>
        <w:pStyle w:val="a3"/>
      </w:pPr>
    </w:p>
    <w:p w14:paraId="1469B618" w14:textId="77777777" w:rsidR="004D4CEE" w:rsidRDefault="004D4CEE" w:rsidP="005C2B62">
      <w:pPr>
        <w:pStyle w:val="a3"/>
      </w:pPr>
    </w:p>
    <w:p w14:paraId="4C2661F8" w14:textId="1742EF73" w:rsidR="00705CDB" w:rsidRDefault="00705CDB" w:rsidP="00705CDB">
      <w:pPr>
        <w:pStyle w:val="a3"/>
        <w:jc w:val="center"/>
        <w:rPr>
          <w:b/>
          <w:lang w:val="en-US"/>
        </w:rPr>
      </w:pPr>
      <w:r>
        <w:rPr>
          <w:b/>
          <w:lang w:val="en-US"/>
        </w:rPr>
        <w:t xml:space="preserve">THE IMPACT OF </w:t>
      </w:r>
      <w:r w:rsidR="003362D7">
        <w:rPr>
          <w:b/>
          <w:lang w:val="en-US"/>
        </w:rPr>
        <w:t>SLOWING ECONOMIC GROWTH</w:t>
      </w:r>
      <w:r>
        <w:rPr>
          <w:b/>
          <w:lang w:val="en-US"/>
        </w:rPr>
        <w:t xml:space="preserve"> ON ITS ENERGY INTENSITY</w:t>
      </w:r>
    </w:p>
    <w:p w14:paraId="7C0D3C7A" w14:textId="47B8227B" w:rsidR="00656609" w:rsidRDefault="00C129CB" w:rsidP="00656609">
      <w:pPr>
        <w:jc w:val="center"/>
        <w:rPr>
          <w:rFonts w:ascii="Times New Roman" w:hAnsi="Times New Roman" w:cs="Times New Roman"/>
          <w:color w:val="000000"/>
          <w:lang w:eastAsia="ru-RU"/>
        </w:rPr>
      </w:pPr>
      <w:r w:rsidRPr="00C129CB">
        <w:rPr>
          <w:rFonts w:ascii="Times New Roman" w:hAnsi="Times New Roman" w:cs="Times New Roman"/>
          <w:b/>
          <w:color w:val="000000"/>
          <w:lang w:eastAsia="ru-RU"/>
        </w:rPr>
        <w:t>Anastasia</w:t>
      </w:r>
      <w:r w:rsidR="00656609" w:rsidRPr="00C129CB">
        <w:rPr>
          <w:rFonts w:ascii="Times New Roman" w:hAnsi="Times New Roman" w:cs="Times New Roman"/>
          <w:b/>
          <w:color w:val="000000"/>
          <w:lang w:eastAsia="ru-RU"/>
        </w:rPr>
        <w:t xml:space="preserve"> </w:t>
      </w:r>
      <w:r w:rsidRPr="00C129CB">
        <w:rPr>
          <w:rFonts w:ascii="Times New Roman" w:hAnsi="Times New Roman" w:cs="Times New Roman"/>
          <w:b/>
          <w:color w:val="000000"/>
          <w:lang w:eastAsia="ru-RU"/>
        </w:rPr>
        <w:t>V</w:t>
      </w:r>
      <w:r w:rsidR="00656609" w:rsidRPr="00C129CB">
        <w:rPr>
          <w:rFonts w:ascii="Times New Roman" w:hAnsi="Times New Roman" w:cs="Times New Roman"/>
          <w:b/>
          <w:color w:val="000000"/>
          <w:lang w:eastAsia="ru-RU"/>
        </w:rPr>
        <w:t>.</w:t>
      </w:r>
      <w:r w:rsidRPr="00C129CB">
        <w:rPr>
          <w:rFonts w:ascii="Times New Roman" w:hAnsi="Times New Roman" w:cs="Times New Roman"/>
          <w:b/>
          <w:color w:val="000000"/>
          <w:lang w:eastAsia="ru-RU"/>
        </w:rPr>
        <w:t xml:space="preserve"> Vlasova</w:t>
      </w:r>
      <w:r w:rsidR="00656609" w:rsidRPr="003952EC">
        <w:rPr>
          <w:rFonts w:ascii="Times New Roman" w:hAnsi="Times New Roman" w:cs="Times New Roman"/>
          <w:color w:val="000000"/>
          <w:vertAlign w:val="superscript"/>
          <w:lang w:eastAsia="ru-RU"/>
        </w:rPr>
        <w:t>1</w:t>
      </w:r>
    </w:p>
    <w:p w14:paraId="22D615F3" w14:textId="3B9820CC" w:rsidR="00656609" w:rsidRDefault="00656609" w:rsidP="00656609">
      <w:pPr>
        <w:jc w:val="center"/>
        <w:rPr>
          <w:rFonts w:ascii="Times New Roman" w:hAnsi="Times New Roman" w:cs="Times New Roman"/>
          <w:color w:val="000000"/>
          <w:lang w:eastAsia="ru-RU"/>
        </w:rPr>
      </w:pPr>
      <w:r w:rsidRPr="006C2C48">
        <w:rPr>
          <w:rFonts w:ascii="Times New Roman" w:hAnsi="Times New Roman" w:cs="Times New Roman"/>
          <w:color w:val="000000"/>
          <w:lang w:eastAsia="ru-RU"/>
        </w:rPr>
        <w:t xml:space="preserve"> </w:t>
      </w:r>
      <w:r w:rsidRPr="003952EC">
        <w:rPr>
          <w:rFonts w:ascii="Times New Roman" w:hAnsi="Times New Roman" w:cs="Times New Roman"/>
          <w:color w:val="000000"/>
          <w:vertAlign w:val="superscript"/>
          <w:lang w:eastAsia="ru-RU"/>
        </w:rPr>
        <w:t>1</w:t>
      </w:r>
      <w:r w:rsidR="00C129CB">
        <w:rPr>
          <w:rFonts w:ascii="Times New Roman" w:hAnsi="Times New Roman" w:cs="Times New Roman"/>
          <w:color w:val="000000"/>
          <w:lang w:eastAsia="ru-RU"/>
        </w:rPr>
        <w:t>HSE University</w:t>
      </w:r>
    </w:p>
    <w:p w14:paraId="0A14C80C" w14:textId="6FB83CD3" w:rsidR="00656609" w:rsidRPr="006C2C48" w:rsidRDefault="00656609" w:rsidP="00656609">
      <w:pPr>
        <w:jc w:val="center"/>
        <w:rPr>
          <w:rFonts w:ascii="Times New Roman" w:hAnsi="Times New Roman" w:cs="Times New Roman"/>
          <w:color w:val="000000"/>
          <w:lang w:eastAsia="ru-RU"/>
        </w:rPr>
      </w:pPr>
      <w:r>
        <w:rPr>
          <w:rFonts w:ascii="Times New Roman" w:hAnsi="Times New Roman" w:cs="Times New Roman"/>
          <w:color w:val="000000"/>
          <w:lang w:eastAsia="ru-RU"/>
        </w:rPr>
        <w:t>(</w:t>
      </w:r>
      <w:r w:rsidR="00C129CB" w:rsidRPr="00C129CB">
        <w:rPr>
          <w:rFonts w:ascii="Times New Roman" w:hAnsi="Times New Roman" w:cs="Times New Roman"/>
          <w:i/>
          <w:color w:val="000000"/>
          <w:lang w:eastAsia="ru-RU"/>
        </w:rPr>
        <w:t>17 Malaya Ordynka, Moscow ,Russia,119017</w:t>
      </w:r>
      <w:r>
        <w:rPr>
          <w:rFonts w:ascii="Times New Roman" w:hAnsi="Times New Roman" w:cs="Times New Roman"/>
          <w:color w:val="000000"/>
          <w:lang w:eastAsia="ru-RU"/>
        </w:rPr>
        <w:t>)</w:t>
      </w:r>
    </w:p>
    <w:p w14:paraId="1DA27272" w14:textId="14341CAA" w:rsidR="00656609" w:rsidRPr="00656609" w:rsidRDefault="00656609" w:rsidP="00656609">
      <w:pPr>
        <w:jc w:val="center"/>
        <w:rPr>
          <w:rFonts w:ascii="Times New Roman" w:hAnsi="Times New Roman" w:cs="Times New Roman"/>
          <w:lang w:val="en-US" w:eastAsia="ru-RU"/>
        </w:rPr>
      </w:pPr>
      <w:r w:rsidRPr="00656609">
        <w:rPr>
          <w:rFonts w:ascii="Times New Roman" w:hAnsi="Times New Roman" w:cs="Times New Roman"/>
          <w:lang w:eastAsia="ru-RU"/>
        </w:rPr>
        <w:t xml:space="preserve"> </w:t>
      </w:r>
      <w:hyperlink r:id="rId10" w:history="1">
        <w:r w:rsidRPr="00656609">
          <w:rPr>
            <w:rStyle w:val="aa"/>
            <w:rFonts w:ascii="Times New Roman" w:hAnsi="Times New Roman" w:cs="Times New Roman"/>
            <w:color w:val="auto"/>
            <w:u w:val="none"/>
            <w:lang w:val="en-US" w:eastAsia="ru-RU"/>
          </w:rPr>
          <w:t>*</w:t>
        </w:r>
        <w:r w:rsidRPr="00C129CB">
          <w:rPr>
            <w:rStyle w:val="aa"/>
            <w:rFonts w:ascii="Times New Roman" w:hAnsi="Times New Roman" w:cs="Times New Roman"/>
            <w:i/>
            <w:color w:val="auto"/>
            <w:u w:val="none"/>
            <w:lang w:val="en-US" w:eastAsia="ru-RU"/>
          </w:rPr>
          <w:t>stacy7973@gmail.com</w:t>
        </w:r>
      </w:hyperlink>
    </w:p>
    <w:p w14:paraId="1BA59684" w14:textId="77777777" w:rsidR="00656609" w:rsidRPr="00656609" w:rsidRDefault="00656609" w:rsidP="00656609">
      <w:pPr>
        <w:jc w:val="center"/>
        <w:rPr>
          <w:rFonts w:ascii="Times New Roman" w:hAnsi="Times New Roman" w:cs="Times New Roman"/>
          <w:color w:val="000000"/>
          <w:lang w:val="en-US" w:eastAsia="ru-RU"/>
        </w:rPr>
      </w:pPr>
    </w:p>
    <w:tbl>
      <w:tblPr>
        <w:tblStyle w:val="ab"/>
        <w:tblW w:w="0" w:type="auto"/>
        <w:tblInd w:w="954" w:type="dxa"/>
        <w:tblLook w:val="04A0" w:firstRow="1" w:lastRow="0" w:firstColumn="1" w:lastColumn="0" w:noHBand="0" w:noVBand="1"/>
      </w:tblPr>
      <w:tblGrid>
        <w:gridCol w:w="7405"/>
      </w:tblGrid>
      <w:tr w:rsidR="00656609" w14:paraId="2B3248AD" w14:textId="77777777" w:rsidTr="00E610E9">
        <w:trPr>
          <w:trHeight w:val="5490"/>
        </w:trPr>
        <w:tc>
          <w:tcPr>
            <w:tcW w:w="7405" w:type="dxa"/>
            <w:tcBorders>
              <w:top w:val="nil"/>
              <w:left w:val="nil"/>
              <w:bottom w:val="nil"/>
              <w:right w:val="nil"/>
            </w:tcBorders>
          </w:tcPr>
          <w:p w14:paraId="49004A61" w14:textId="3104A14D" w:rsidR="00656609" w:rsidRPr="00656609" w:rsidRDefault="00656609" w:rsidP="003849B9">
            <w:pPr>
              <w:pStyle w:val="a3"/>
              <w:jc w:val="both"/>
              <w:rPr>
                <w:i/>
                <w:lang w:val="en-US"/>
              </w:rPr>
            </w:pPr>
            <w:r w:rsidRPr="00656609">
              <w:rPr>
                <w:b/>
                <w:i/>
                <w:lang w:val="en-US"/>
              </w:rPr>
              <w:t>Abstract.</w:t>
            </w:r>
            <w:r>
              <w:rPr>
                <w:i/>
                <w:lang w:val="en-US"/>
              </w:rPr>
              <w:t xml:space="preserve"> </w:t>
            </w:r>
            <w:r w:rsidRPr="00656609">
              <w:rPr>
                <w:i/>
                <w:lang w:val="en-US"/>
              </w:rPr>
              <w:t xml:space="preserve">The </w:t>
            </w:r>
            <w:r w:rsidR="00DA24A2">
              <w:rPr>
                <w:i/>
                <w:lang w:val="en-US"/>
              </w:rPr>
              <w:t>link between economic growth and</w:t>
            </w:r>
            <w:r w:rsidRPr="00656609">
              <w:rPr>
                <w:i/>
                <w:lang w:val="en-US"/>
              </w:rPr>
              <w:t xml:space="preserve"> energy i</w:t>
            </w:r>
            <w:r w:rsidR="00DA24A2">
              <w:rPr>
                <w:i/>
                <w:lang w:val="en-US"/>
              </w:rPr>
              <w:t>ntensity of an economy plays a</w:t>
            </w:r>
            <w:r w:rsidRPr="00656609">
              <w:rPr>
                <w:i/>
                <w:lang w:val="en-US"/>
              </w:rPr>
              <w:t xml:space="preserve"> </w:t>
            </w:r>
            <w:r w:rsidR="00DA24A2">
              <w:rPr>
                <w:i/>
                <w:lang w:val="en-US"/>
              </w:rPr>
              <w:t>vital</w:t>
            </w:r>
            <w:r w:rsidRPr="00656609">
              <w:rPr>
                <w:i/>
                <w:lang w:val="en-US"/>
              </w:rPr>
              <w:t xml:space="preserve"> role in </w:t>
            </w:r>
            <w:r w:rsidR="00DA24A2">
              <w:rPr>
                <w:i/>
                <w:lang w:val="en-US"/>
              </w:rPr>
              <w:t>providing insight into</w:t>
            </w:r>
            <w:r w:rsidRPr="00656609">
              <w:rPr>
                <w:i/>
                <w:lang w:val="en-US"/>
              </w:rPr>
              <w:t xml:space="preserve"> the specifics of the development of </w:t>
            </w:r>
            <w:r w:rsidR="00DA24A2">
              <w:rPr>
                <w:i/>
                <w:lang w:val="en-US"/>
              </w:rPr>
              <w:t>the variety of</w:t>
            </w:r>
            <w:r w:rsidRPr="00656609">
              <w:rPr>
                <w:i/>
                <w:lang w:val="en-US"/>
              </w:rPr>
              <w:t xml:space="preserve"> economies. It is generally </w:t>
            </w:r>
            <w:r w:rsidR="00DA24A2">
              <w:rPr>
                <w:i/>
                <w:lang w:val="en-US"/>
              </w:rPr>
              <w:t>assumed</w:t>
            </w:r>
            <w:r w:rsidRPr="00656609">
              <w:rPr>
                <w:i/>
                <w:lang w:val="en-US"/>
              </w:rPr>
              <w:t xml:space="preserve"> that economic growth slow</w:t>
            </w:r>
            <w:r w:rsidR="00DA24A2">
              <w:rPr>
                <w:i/>
                <w:lang w:val="en-US"/>
              </w:rPr>
              <w:t xml:space="preserve">ing down is coupled with the decrease of the progress of </w:t>
            </w:r>
            <w:r w:rsidRPr="00656609">
              <w:rPr>
                <w:i/>
                <w:lang w:val="en-US"/>
              </w:rPr>
              <w:t xml:space="preserve">technological development </w:t>
            </w:r>
            <w:r w:rsidR="00DA24A2">
              <w:rPr>
                <w:i/>
                <w:lang w:val="en-US"/>
              </w:rPr>
              <w:t>of</w:t>
            </w:r>
            <w:r w:rsidRPr="00656609">
              <w:rPr>
                <w:i/>
                <w:lang w:val="en-US"/>
              </w:rPr>
              <w:t xml:space="preserve"> the production of goods, investments in energy projects</w:t>
            </w:r>
            <w:r w:rsidR="00DA24A2">
              <w:rPr>
                <w:i/>
                <w:lang w:val="en-US"/>
              </w:rPr>
              <w:t xml:space="preserve"> also</w:t>
            </w:r>
            <w:r w:rsidRPr="00656609">
              <w:rPr>
                <w:i/>
                <w:lang w:val="en-US"/>
              </w:rPr>
              <w:t xml:space="preserve"> </w:t>
            </w:r>
            <w:r w:rsidR="00DA24A2">
              <w:rPr>
                <w:i/>
                <w:lang w:val="en-US"/>
              </w:rPr>
              <w:t xml:space="preserve">experience a </w:t>
            </w:r>
            <w:r w:rsidRPr="00656609">
              <w:rPr>
                <w:i/>
                <w:lang w:val="en-US"/>
              </w:rPr>
              <w:t>decrease. The en</w:t>
            </w:r>
            <w:r w:rsidR="00E407C9">
              <w:rPr>
                <w:i/>
                <w:lang w:val="en-US"/>
              </w:rPr>
              <w:t>ergy intensity of the economy increases, its energy efficiency decreases</w:t>
            </w:r>
            <w:r w:rsidRPr="00656609">
              <w:rPr>
                <w:i/>
                <w:lang w:val="en-US"/>
              </w:rPr>
              <w:t xml:space="preserve">. </w:t>
            </w:r>
            <w:r w:rsidR="00E407C9">
              <w:rPr>
                <w:i/>
                <w:lang w:val="en-US"/>
              </w:rPr>
              <w:t>C</w:t>
            </w:r>
            <w:r w:rsidRPr="00656609">
              <w:rPr>
                <w:i/>
                <w:lang w:val="en-US"/>
              </w:rPr>
              <w:t>onditionally fixed en</w:t>
            </w:r>
            <w:r w:rsidR="00E407C9">
              <w:rPr>
                <w:i/>
                <w:lang w:val="en-US"/>
              </w:rPr>
              <w:t>ergy costs in projects also do</w:t>
            </w:r>
            <w:r w:rsidRPr="00656609">
              <w:rPr>
                <w:i/>
                <w:lang w:val="en-US"/>
              </w:rPr>
              <w:t xml:space="preserve"> not contribute to r</w:t>
            </w:r>
            <w:r w:rsidR="00E407C9">
              <w:rPr>
                <w:i/>
                <w:lang w:val="en-US"/>
              </w:rPr>
              <w:t>educing energy intensity. Macro</w:t>
            </w:r>
            <w:r w:rsidRPr="00656609">
              <w:rPr>
                <w:i/>
                <w:lang w:val="en-US"/>
              </w:rPr>
              <w:t>factors</w:t>
            </w:r>
            <w:r w:rsidR="004868C1">
              <w:rPr>
                <w:i/>
                <w:lang w:val="en-US"/>
              </w:rPr>
              <w:t>,</w:t>
            </w:r>
            <w:r w:rsidRPr="00656609">
              <w:rPr>
                <w:i/>
                <w:lang w:val="en-US"/>
              </w:rPr>
              <w:t xml:space="preserve"> </w:t>
            </w:r>
            <w:r w:rsidR="00E407C9">
              <w:rPr>
                <w:i/>
                <w:lang w:val="en-US"/>
              </w:rPr>
              <w:t>with increasingly dire impacts on the economy</w:t>
            </w:r>
            <w:r w:rsidR="004868C1">
              <w:rPr>
                <w:i/>
                <w:lang w:val="en-US"/>
              </w:rPr>
              <w:t>,</w:t>
            </w:r>
            <w:r w:rsidR="00E407C9">
              <w:rPr>
                <w:i/>
                <w:lang w:val="en-US"/>
              </w:rPr>
              <w:t xml:space="preserve"> </w:t>
            </w:r>
            <w:r w:rsidRPr="00656609">
              <w:rPr>
                <w:i/>
                <w:lang w:val="en-US"/>
              </w:rPr>
              <w:t xml:space="preserve"> </w:t>
            </w:r>
            <w:r w:rsidR="00E407C9">
              <w:rPr>
                <w:i/>
                <w:lang w:val="en-US"/>
              </w:rPr>
              <w:t>overshadow</w:t>
            </w:r>
            <w:r w:rsidRPr="00656609">
              <w:rPr>
                <w:i/>
                <w:lang w:val="en-US"/>
              </w:rPr>
              <w:t xml:space="preserve"> </w:t>
            </w:r>
            <w:r w:rsidR="00E407C9">
              <w:rPr>
                <w:i/>
                <w:lang w:val="en-US"/>
              </w:rPr>
              <w:t>the reduction of</w:t>
            </w:r>
            <w:r w:rsidRPr="00656609">
              <w:rPr>
                <w:i/>
                <w:lang w:val="en-US"/>
              </w:rPr>
              <w:t xml:space="preserve"> energy intensity. The paper </w:t>
            </w:r>
            <w:r w:rsidR="00E407C9">
              <w:rPr>
                <w:i/>
                <w:lang w:val="en-US"/>
              </w:rPr>
              <w:t>reviews</w:t>
            </w:r>
            <w:r w:rsidRPr="00656609">
              <w:rPr>
                <w:i/>
                <w:lang w:val="en-US"/>
              </w:rPr>
              <w:t xml:space="preserve"> the contradictions between generally accepted trends and trends </w:t>
            </w:r>
            <w:r w:rsidR="00E407C9">
              <w:rPr>
                <w:i/>
                <w:lang w:val="en-US"/>
              </w:rPr>
              <w:t>experienced by</w:t>
            </w:r>
            <w:r w:rsidRPr="00656609">
              <w:rPr>
                <w:i/>
                <w:lang w:val="en-US"/>
              </w:rPr>
              <w:t xml:space="preserve"> a particular economy (</w:t>
            </w:r>
            <w:r w:rsidR="00E407C9">
              <w:rPr>
                <w:i/>
                <w:lang w:val="en-US"/>
              </w:rPr>
              <w:t>with</w:t>
            </w:r>
            <w:r w:rsidRPr="00656609">
              <w:rPr>
                <w:i/>
                <w:lang w:val="en-US"/>
              </w:rPr>
              <w:t xml:space="preserve"> the example of th</w:t>
            </w:r>
            <w:r w:rsidR="00E407C9">
              <w:rPr>
                <w:i/>
                <w:lang w:val="en-US"/>
              </w:rPr>
              <w:t>e Chinese economy). Despite the fact that</w:t>
            </w:r>
            <w:r w:rsidRPr="00656609">
              <w:rPr>
                <w:i/>
                <w:lang w:val="en-US"/>
              </w:rPr>
              <w:t xml:space="preserve"> a</w:t>
            </w:r>
            <w:r w:rsidR="00E407C9">
              <w:rPr>
                <w:i/>
                <w:lang w:val="en-US"/>
              </w:rPr>
              <w:t xml:space="preserve"> large number of </w:t>
            </w:r>
            <w:r w:rsidR="00E407C9" w:rsidRPr="00656609">
              <w:rPr>
                <w:i/>
                <w:lang w:val="en-US"/>
              </w:rPr>
              <w:t xml:space="preserve">foreign and domestic </w:t>
            </w:r>
            <w:r w:rsidR="00E407C9">
              <w:rPr>
                <w:i/>
                <w:lang w:val="en-US"/>
              </w:rPr>
              <w:t>studies examine</w:t>
            </w:r>
            <w:r w:rsidRPr="00656609">
              <w:rPr>
                <w:i/>
                <w:lang w:val="en-US"/>
              </w:rPr>
              <w:t xml:space="preserve"> </w:t>
            </w:r>
            <w:r w:rsidR="004868C1">
              <w:rPr>
                <w:i/>
                <w:lang w:val="en-US"/>
              </w:rPr>
              <w:t>that</w:t>
            </w:r>
            <w:r w:rsidR="00E407C9">
              <w:rPr>
                <w:i/>
                <w:lang w:val="en-US"/>
              </w:rPr>
              <w:t xml:space="preserve"> link</w:t>
            </w:r>
            <w:r w:rsidRPr="00656609">
              <w:rPr>
                <w:i/>
                <w:lang w:val="en-US"/>
              </w:rPr>
              <w:t xml:space="preserve">, </w:t>
            </w:r>
            <w:r w:rsidR="00E407C9">
              <w:rPr>
                <w:i/>
                <w:lang w:val="en-US"/>
              </w:rPr>
              <w:t>it would be inappropriate</w:t>
            </w:r>
            <w:r w:rsidRPr="00656609">
              <w:rPr>
                <w:i/>
                <w:lang w:val="en-US"/>
              </w:rPr>
              <w:t xml:space="preserve"> to </w:t>
            </w:r>
            <w:r w:rsidR="00E407C9">
              <w:rPr>
                <w:i/>
                <w:lang w:val="en-US"/>
              </w:rPr>
              <w:t>draw</w:t>
            </w:r>
            <w:r w:rsidRPr="00656609">
              <w:rPr>
                <w:i/>
                <w:lang w:val="en-US"/>
              </w:rPr>
              <w:t xml:space="preserve"> </w:t>
            </w:r>
            <w:r w:rsidR="00E407C9">
              <w:rPr>
                <w:i/>
                <w:lang w:val="en-US"/>
              </w:rPr>
              <w:t>unequivocal</w:t>
            </w:r>
            <w:r w:rsidRPr="00656609">
              <w:rPr>
                <w:i/>
                <w:lang w:val="en-US"/>
              </w:rPr>
              <w:t xml:space="preserve"> conclusions. The author comes to the conclusion that the specifics of economic development have a</w:t>
            </w:r>
            <w:r w:rsidR="00661614">
              <w:rPr>
                <w:i/>
                <w:lang w:val="en-US"/>
              </w:rPr>
              <w:t>n</w:t>
            </w:r>
            <w:r w:rsidRPr="00656609">
              <w:rPr>
                <w:i/>
                <w:lang w:val="en-US"/>
              </w:rPr>
              <w:t xml:space="preserve"> </w:t>
            </w:r>
            <w:r w:rsidR="003849B9">
              <w:rPr>
                <w:i/>
                <w:lang w:val="en-US"/>
              </w:rPr>
              <w:t>overwhelming</w:t>
            </w:r>
            <w:r w:rsidRPr="00656609">
              <w:rPr>
                <w:i/>
                <w:lang w:val="en-US"/>
              </w:rPr>
              <w:t xml:space="preserve"> influence on the dynamics of energy intensity. The policy of the Chinese authorities uses rather adaptive mechanisms to adjust the future energy policy, which makes it possible to reduce energy intensity during the period of economic growth and when it slows down.</w:t>
            </w:r>
          </w:p>
        </w:tc>
      </w:tr>
    </w:tbl>
    <w:p w14:paraId="550052A6" w14:textId="24BC103C" w:rsidR="00E610E9" w:rsidRDefault="00E610E9" w:rsidP="00E610E9">
      <w:pPr>
        <w:pStyle w:val="a3"/>
        <w:jc w:val="both"/>
        <w:rPr>
          <w:b/>
          <w:i/>
          <w:color w:val="000000"/>
        </w:rPr>
      </w:pPr>
      <w:r w:rsidRPr="00E610E9">
        <w:rPr>
          <w:b/>
          <w:i/>
          <w:color w:val="000000"/>
        </w:rPr>
        <w:t>Keywords</w:t>
      </w:r>
      <w:r w:rsidRPr="00E610E9">
        <w:rPr>
          <w:i/>
          <w:color w:val="000000"/>
        </w:rPr>
        <w:t xml:space="preserve">: </w:t>
      </w:r>
      <w:r w:rsidRPr="00E610E9">
        <w:rPr>
          <w:color w:val="000000"/>
        </w:rPr>
        <w:t>economic growth, energy consumption, energy intensity, energy efficiency, national economy, regional economie</w:t>
      </w:r>
      <w:r>
        <w:rPr>
          <w:color w:val="000000"/>
        </w:rPr>
        <w:t>s.</w:t>
      </w:r>
    </w:p>
    <w:p w14:paraId="10863F4B" w14:textId="086F9562" w:rsidR="00705CDB" w:rsidRDefault="00656609" w:rsidP="00656609">
      <w:pPr>
        <w:pStyle w:val="a3"/>
        <w:jc w:val="center"/>
        <w:rPr>
          <w:b/>
          <w:lang w:val="en-US"/>
        </w:rPr>
      </w:pPr>
      <w:r>
        <w:rPr>
          <w:b/>
          <w:lang w:val="en-US"/>
        </w:rPr>
        <w:t>References and Internet sources</w:t>
      </w:r>
    </w:p>
    <w:p w14:paraId="3657CD12" w14:textId="72F01BDA" w:rsidR="004F55F7" w:rsidRPr="004F55F7" w:rsidRDefault="004F55F7" w:rsidP="004F55F7">
      <w:pPr>
        <w:pStyle w:val="a3"/>
        <w:jc w:val="both"/>
        <w:rPr>
          <w:lang w:val="en-US"/>
        </w:rPr>
      </w:pPr>
      <w:r w:rsidRPr="004F55F7">
        <w:rPr>
          <w:lang w:val="en-US"/>
        </w:rPr>
        <w:t xml:space="preserve">1. </w:t>
      </w:r>
      <w:r w:rsidR="00070997" w:rsidRPr="00070997">
        <w:rPr>
          <w:lang w:val="en-US"/>
        </w:rPr>
        <w:t xml:space="preserve">Pokazateli energoeffektivnosti: osnovy statistiki </w:t>
      </w:r>
      <w:r w:rsidR="007C22B2">
        <w:rPr>
          <w:lang w:val="en-US"/>
        </w:rPr>
        <w:t>[Electronic resource] Available at</w:t>
      </w:r>
      <w:r w:rsidRPr="004F55F7">
        <w:rPr>
          <w:lang w:val="en-US"/>
        </w:rPr>
        <w:t xml:space="preserve">: https://iea.blob.core.windows.net/assets/f27e9703-1bb0-4aa5-a1c5-0397ee9c145d/Fundamentals_RU_final_FULLWEB.PDF </w:t>
      </w:r>
      <w:r w:rsidR="000D126A">
        <w:rPr>
          <w:lang w:val="en-US"/>
        </w:rPr>
        <w:t>(in Russ.)</w:t>
      </w:r>
    </w:p>
    <w:p w14:paraId="61630E4B" w14:textId="0E108812" w:rsidR="004F55F7" w:rsidRPr="004F55F7" w:rsidRDefault="004F55F7" w:rsidP="004F55F7">
      <w:pPr>
        <w:pStyle w:val="a3"/>
        <w:jc w:val="both"/>
        <w:rPr>
          <w:lang w:val="en-US"/>
        </w:rPr>
      </w:pPr>
      <w:r w:rsidRPr="004F55F7">
        <w:rPr>
          <w:lang w:val="en-US"/>
        </w:rPr>
        <w:t xml:space="preserve">2. Ulanov V.L., Sazonov D.Yu. </w:t>
      </w:r>
      <w:r w:rsidR="00070997" w:rsidRPr="00070997">
        <w:rPr>
          <w:lang w:val="en-US"/>
        </w:rPr>
        <w:t>Vozobnovlyaemye istochniki energii kak faktor riska razvitiya rossijskih energeticheskih kompanij</w:t>
      </w:r>
      <w:r w:rsidR="000D126A">
        <w:rPr>
          <w:lang w:val="en-US"/>
        </w:rPr>
        <w:t>.</w:t>
      </w:r>
      <w:r w:rsidRPr="004F55F7">
        <w:rPr>
          <w:lang w:val="en-US"/>
        </w:rPr>
        <w:t xml:space="preserve"> </w:t>
      </w:r>
      <w:r w:rsidR="00070997" w:rsidRPr="00070997">
        <w:rPr>
          <w:lang w:val="en-US"/>
        </w:rPr>
        <w:t>Izvestiya RAN. Energetika</w:t>
      </w:r>
      <w:r w:rsidRPr="004F55F7">
        <w:rPr>
          <w:lang w:val="en-US"/>
        </w:rPr>
        <w:t>. 2018. No. 4. pp. 3-13.</w:t>
      </w:r>
      <w:r w:rsidR="000D126A">
        <w:rPr>
          <w:lang w:val="en-US"/>
        </w:rPr>
        <w:t xml:space="preserve"> </w:t>
      </w:r>
      <w:r w:rsidR="000D126A">
        <w:rPr>
          <w:lang w:val="en-US"/>
        </w:rPr>
        <w:t>(in Russ.)</w:t>
      </w:r>
    </w:p>
    <w:p w14:paraId="30283C86" w14:textId="38BF5322" w:rsidR="004F55F7" w:rsidRPr="004F55F7" w:rsidRDefault="004F55F7" w:rsidP="004F55F7">
      <w:pPr>
        <w:pStyle w:val="a3"/>
        <w:jc w:val="both"/>
        <w:rPr>
          <w:lang w:val="en-US"/>
        </w:rPr>
      </w:pPr>
      <w:r w:rsidRPr="004F55F7">
        <w:rPr>
          <w:lang w:val="en-US"/>
        </w:rPr>
        <w:t xml:space="preserve">3. Grigoriev L.M., Kurdin A.A. </w:t>
      </w:r>
      <w:r w:rsidR="00070997" w:rsidRPr="00070997">
        <w:rPr>
          <w:lang w:val="en-US"/>
        </w:rPr>
        <w:t>Energeticheskaya effektivnost': klyuchevo</w:t>
      </w:r>
      <w:r w:rsidR="00070997">
        <w:rPr>
          <w:lang w:val="en-US"/>
        </w:rPr>
        <w:t>j element novoj ekonomiki.</w:t>
      </w:r>
      <w:r w:rsidR="00070997" w:rsidRPr="00070997">
        <w:rPr>
          <w:lang w:val="en-US"/>
        </w:rPr>
        <w:t xml:space="preserve"> V kn.: Doklad o chelovecheskom razvitii v Rossijskoj Federacii 2013. Ustojchivoe razvitie: Vyzovy Rio / Pod obshch. red</w:t>
      </w:r>
      <w:r w:rsidRPr="004F55F7">
        <w:rPr>
          <w:lang w:val="en-US"/>
        </w:rPr>
        <w:t>: S.N. Bobylev.</w:t>
      </w:r>
      <w:r w:rsidR="00070997">
        <w:rPr>
          <w:lang w:val="en-US"/>
        </w:rPr>
        <w:t xml:space="preserve"> Moskwa</w:t>
      </w:r>
      <w:r w:rsidRPr="004F55F7">
        <w:rPr>
          <w:lang w:val="en-US"/>
        </w:rPr>
        <w:t>: UNDP, 2013. pp. 102-116.</w:t>
      </w:r>
      <w:r w:rsidR="000D126A">
        <w:rPr>
          <w:lang w:val="en-US"/>
        </w:rPr>
        <w:t xml:space="preserve"> </w:t>
      </w:r>
      <w:r w:rsidR="000D126A">
        <w:rPr>
          <w:lang w:val="en-US"/>
        </w:rPr>
        <w:t>(in Russ.)</w:t>
      </w:r>
    </w:p>
    <w:p w14:paraId="12A69C07" w14:textId="42B75E1C" w:rsidR="004F55F7" w:rsidRPr="004F55F7" w:rsidRDefault="004F55F7" w:rsidP="004F55F7">
      <w:pPr>
        <w:pStyle w:val="a3"/>
        <w:jc w:val="both"/>
        <w:rPr>
          <w:lang w:val="en-US"/>
        </w:rPr>
      </w:pPr>
      <w:r w:rsidRPr="004F55F7">
        <w:rPr>
          <w:lang w:val="en-US"/>
        </w:rPr>
        <w:t>4. World economic outlook October 2021. International Monetary Fund, Washington, DC, 2021. URL: https://w</w:t>
      </w:r>
      <w:r w:rsidR="000D126A">
        <w:rPr>
          <w:lang w:val="en-US"/>
        </w:rPr>
        <w:t xml:space="preserve">ww.imf.org/en/Publications/WEO </w:t>
      </w:r>
    </w:p>
    <w:p w14:paraId="1CBC66A0" w14:textId="5A83087C" w:rsidR="004F55F7" w:rsidRPr="004F55F7" w:rsidRDefault="004F55F7" w:rsidP="004F55F7">
      <w:pPr>
        <w:pStyle w:val="a3"/>
        <w:jc w:val="both"/>
        <w:rPr>
          <w:lang w:val="en-US"/>
        </w:rPr>
      </w:pPr>
      <w:r w:rsidRPr="004F55F7">
        <w:rPr>
          <w:lang w:val="en-US"/>
        </w:rPr>
        <w:lastRenderedPageBreak/>
        <w:t>5. National Bureau of Statistics of China. Principal Aggregate Indicators on National Economic and Social Development and Growt</w:t>
      </w:r>
      <w:r w:rsidR="00397DFC">
        <w:rPr>
          <w:lang w:val="en-US"/>
        </w:rPr>
        <w:t>h Rates.</w:t>
      </w:r>
      <w:r w:rsidRPr="004F55F7">
        <w:rPr>
          <w:lang w:val="en-US"/>
        </w:rPr>
        <w:t xml:space="preserve"> URL: http://www.stats.gov.cn/tjsj/ndsj/2019/indexeh.htm (date of address: 07.03.20222).</w:t>
      </w:r>
    </w:p>
    <w:p w14:paraId="02B9D6CE" w14:textId="204ADAEC" w:rsidR="004F55F7" w:rsidRPr="004F55F7" w:rsidRDefault="004F55F7" w:rsidP="004F55F7">
      <w:pPr>
        <w:pStyle w:val="a3"/>
        <w:jc w:val="both"/>
        <w:rPr>
          <w:lang w:val="en-US"/>
        </w:rPr>
      </w:pPr>
      <w:r w:rsidRPr="004F55F7">
        <w:rPr>
          <w:lang w:val="en-US"/>
        </w:rPr>
        <w:t xml:space="preserve">6. Kashin V.B., Pyatachkova A.S., Smirnova V.A., Litvinov A.A., Potashev N.A. </w:t>
      </w:r>
      <w:r w:rsidR="00891778" w:rsidRPr="00891778">
        <w:rPr>
          <w:lang w:val="en-US"/>
        </w:rPr>
        <w:t xml:space="preserve">Kitajskie eksperty </w:t>
      </w:r>
      <w:r w:rsidR="00BC3E24">
        <w:rPr>
          <w:lang w:val="en-US"/>
        </w:rPr>
        <w:t>o novom pyatiletnem plane KNR.</w:t>
      </w:r>
      <w:r w:rsidR="00891778" w:rsidRPr="00891778">
        <w:rPr>
          <w:lang w:val="en-US"/>
        </w:rPr>
        <w:t xml:space="preserve"> Centr kompleksnyh evropejskih i mezhdunarodnyh issledovanij NIU VSHE</w:t>
      </w:r>
      <w:r w:rsidRPr="004F55F7">
        <w:rPr>
          <w:lang w:val="en-US"/>
        </w:rPr>
        <w:t>. 2021. 24 p</w:t>
      </w:r>
      <w:r w:rsidR="00397DFC">
        <w:rPr>
          <w:lang w:val="en-US"/>
        </w:rPr>
        <w:t xml:space="preserve"> </w:t>
      </w:r>
      <w:r w:rsidR="00397DFC">
        <w:rPr>
          <w:lang w:val="en-US"/>
        </w:rPr>
        <w:t>(in Russ.)</w:t>
      </w:r>
      <w:r w:rsidRPr="004F55F7">
        <w:rPr>
          <w:lang w:val="en-US"/>
        </w:rPr>
        <w:t>.</w:t>
      </w:r>
    </w:p>
    <w:p w14:paraId="2E7245AC" w14:textId="0633572A" w:rsidR="004F55F7" w:rsidRPr="004F55F7" w:rsidRDefault="00721B12" w:rsidP="004F55F7">
      <w:pPr>
        <w:pStyle w:val="a3"/>
        <w:jc w:val="both"/>
        <w:rPr>
          <w:lang w:val="en-US"/>
        </w:rPr>
      </w:pPr>
      <w:r>
        <w:rPr>
          <w:lang w:val="en-US"/>
        </w:rPr>
        <w:t>7.</w:t>
      </w:r>
      <w:r w:rsidR="00397DFC">
        <w:rPr>
          <w:lang w:val="en-US"/>
        </w:rPr>
        <w:t>General Profile: China.</w:t>
      </w:r>
      <w:r w:rsidR="004F55F7" w:rsidRPr="004F55F7">
        <w:rPr>
          <w:lang w:val="en-US"/>
        </w:rPr>
        <w:t xml:space="preserve"> ht</w:t>
      </w:r>
      <w:r w:rsidR="00397DFC">
        <w:rPr>
          <w:lang w:val="en-US"/>
        </w:rPr>
        <w:t>tps://unctadstat.unctad.org/EN.</w:t>
      </w:r>
      <w:r w:rsidR="004F55F7" w:rsidRPr="004F55F7">
        <w:rPr>
          <w:lang w:val="en-US"/>
        </w:rPr>
        <w:t xml:space="preserve"> URL: https://unctadstat.unctad.org/countryprofile/generalprofile/en-gb/156/index.html.</w:t>
      </w:r>
    </w:p>
    <w:p w14:paraId="70E7B119" w14:textId="68E87AAB" w:rsidR="004F55F7" w:rsidRPr="004F55F7" w:rsidRDefault="004F55F7" w:rsidP="004F55F7">
      <w:pPr>
        <w:pStyle w:val="a3"/>
        <w:jc w:val="both"/>
        <w:rPr>
          <w:lang w:val="en-US"/>
        </w:rPr>
      </w:pPr>
      <w:r w:rsidRPr="004F55F7">
        <w:rPr>
          <w:lang w:val="en-US"/>
        </w:rPr>
        <w:t xml:space="preserve">8. Mozias P.M. </w:t>
      </w:r>
      <w:r w:rsidR="00BC3E24" w:rsidRPr="00BC3E24">
        <w:rPr>
          <w:lang w:val="en-US"/>
        </w:rPr>
        <w:t>Ekonomika Kitaya: pogruz</w:t>
      </w:r>
      <w:r w:rsidR="00F1174D">
        <w:rPr>
          <w:lang w:val="en-US"/>
        </w:rPr>
        <w:t>henie v «novuyu normal'nost'».</w:t>
      </w:r>
      <w:r w:rsidR="00BC3E24" w:rsidRPr="00BC3E24">
        <w:rPr>
          <w:lang w:val="en-US"/>
        </w:rPr>
        <w:t xml:space="preserve"> Voprosy ekonomiki</w:t>
      </w:r>
      <w:r w:rsidRPr="004F55F7">
        <w:rPr>
          <w:lang w:val="en-US"/>
        </w:rPr>
        <w:t>, 2015, No. 4, pp. 134-158</w:t>
      </w:r>
      <w:r w:rsidR="00397DFC">
        <w:rPr>
          <w:lang w:val="en-US"/>
        </w:rPr>
        <w:t xml:space="preserve"> </w:t>
      </w:r>
      <w:r w:rsidR="00397DFC">
        <w:rPr>
          <w:lang w:val="en-US"/>
        </w:rPr>
        <w:t>(in Russ.)</w:t>
      </w:r>
      <w:r w:rsidRPr="004F55F7">
        <w:rPr>
          <w:lang w:val="en-US"/>
        </w:rPr>
        <w:t>.</w:t>
      </w:r>
    </w:p>
    <w:p w14:paraId="21B9C935" w14:textId="4E79B085" w:rsidR="004F55F7" w:rsidRDefault="004F55F7" w:rsidP="004F55F7">
      <w:pPr>
        <w:pStyle w:val="a3"/>
        <w:jc w:val="both"/>
        <w:rPr>
          <w:lang w:val="en-US"/>
        </w:rPr>
      </w:pPr>
      <w:r w:rsidRPr="004F55F7">
        <w:rPr>
          <w:lang w:val="en-US"/>
        </w:rPr>
        <w:t xml:space="preserve">9. Samburova E.N. </w:t>
      </w:r>
      <w:r w:rsidR="00496D53" w:rsidRPr="00496D53">
        <w:rPr>
          <w:lang w:val="en-US"/>
        </w:rPr>
        <w:t>Regional'nye disproporcii sovremennog</w:t>
      </w:r>
      <w:r w:rsidR="00496D53">
        <w:rPr>
          <w:lang w:val="en-US"/>
        </w:rPr>
        <w:t xml:space="preserve">o razvitiya ekonomiki Kitaya. </w:t>
      </w:r>
      <w:r w:rsidR="00496D53" w:rsidRPr="00496D53">
        <w:rPr>
          <w:lang w:val="en-US"/>
        </w:rPr>
        <w:t>Vestnik Moskovskogo universiteta. Seriya 5: Geografiya</w:t>
      </w:r>
      <w:r w:rsidRPr="004F55F7">
        <w:rPr>
          <w:lang w:val="en-US"/>
        </w:rPr>
        <w:t>. 2014. No. 4. pp. 49-55</w:t>
      </w:r>
      <w:r w:rsidR="00397DFC">
        <w:rPr>
          <w:lang w:val="en-US"/>
        </w:rPr>
        <w:t xml:space="preserve"> </w:t>
      </w:r>
      <w:r w:rsidR="00397DFC">
        <w:rPr>
          <w:lang w:val="en-US"/>
        </w:rPr>
        <w:t>(in Russ.)</w:t>
      </w:r>
      <w:r w:rsidRPr="004F55F7">
        <w:rPr>
          <w:lang w:val="en-US"/>
        </w:rPr>
        <w:t>.</w:t>
      </w:r>
      <w:r w:rsidR="00397DFC">
        <w:rPr>
          <w:lang w:val="en-US"/>
        </w:rPr>
        <w:t xml:space="preserve"> </w:t>
      </w:r>
    </w:p>
    <w:p w14:paraId="7EA6AA54" w14:textId="77777777" w:rsidR="006A6CF0" w:rsidRDefault="006A6CF0" w:rsidP="004F55F7">
      <w:pPr>
        <w:pStyle w:val="a3"/>
        <w:jc w:val="both"/>
        <w:rPr>
          <w:lang w:val="en-US"/>
        </w:rPr>
      </w:pPr>
    </w:p>
    <w:p w14:paraId="5AE1544C" w14:textId="77777777" w:rsidR="006A6CF0" w:rsidRDefault="006A6CF0" w:rsidP="004F55F7">
      <w:pPr>
        <w:pStyle w:val="a3"/>
        <w:jc w:val="both"/>
        <w:rPr>
          <w:lang w:val="en-US"/>
        </w:rPr>
      </w:pPr>
    </w:p>
    <w:p w14:paraId="116BC426" w14:textId="77777777" w:rsidR="006A6CF0" w:rsidRDefault="006A6CF0" w:rsidP="004F55F7">
      <w:pPr>
        <w:pStyle w:val="a3"/>
        <w:jc w:val="both"/>
        <w:rPr>
          <w:lang w:val="en-US"/>
        </w:rPr>
      </w:pPr>
    </w:p>
    <w:p w14:paraId="6E50A5CA" w14:textId="77777777" w:rsidR="006A6CF0" w:rsidRDefault="006A6CF0" w:rsidP="004F55F7">
      <w:pPr>
        <w:pStyle w:val="a3"/>
        <w:jc w:val="both"/>
        <w:rPr>
          <w:lang w:val="en-US"/>
        </w:rPr>
      </w:pPr>
    </w:p>
    <w:p w14:paraId="26F53B3C" w14:textId="77777777" w:rsidR="006A6CF0" w:rsidRDefault="006A6CF0" w:rsidP="004F55F7">
      <w:pPr>
        <w:pStyle w:val="a3"/>
        <w:jc w:val="both"/>
        <w:rPr>
          <w:lang w:val="en-US"/>
        </w:rPr>
      </w:pPr>
    </w:p>
    <w:p w14:paraId="28EE2239" w14:textId="77777777" w:rsidR="006A6CF0" w:rsidRDefault="006A6CF0" w:rsidP="004F55F7">
      <w:pPr>
        <w:pStyle w:val="a3"/>
        <w:jc w:val="both"/>
        <w:rPr>
          <w:lang w:val="en-US"/>
        </w:rPr>
      </w:pPr>
    </w:p>
    <w:p w14:paraId="52A3ABBD" w14:textId="77777777" w:rsidR="006A6CF0" w:rsidRDefault="006A6CF0" w:rsidP="004F55F7">
      <w:pPr>
        <w:pStyle w:val="a3"/>
        <w:jc w:val="both"/>
        <w:rPr>
          <w:lang w:val="en-US"/>
        </w:rPr>
      </w:pPr>
    </w:p>
    <w:p w14:paraId="6C0052FD" w14:textId="77777777" w:rsidR="006A6CF0" w:rsidRDefault="006A6CF0" w:rsidP="004F55F7">
      <w:pPr>
        <w:pStyle w:val="a3"/>
        <w:jc w:val="both"/>
        <w:rPr>
          <w:lang w:val="en-US"/>
        </w:rPr>
      </w:pPr>
    </w:p>
    <w:p w14:paraId="637CB23D" w14:textId="77777777" w:rsidR="006A6CF0" w:rsidRDefault="006A6CF0" w:rsidP="004F55F7">
      <w:pPr>
        <w:pStyle w:val="a3"/>
        <w:jc w:val="both"/>
        <w:rPr>
          <w:lang w:val="en-US"/>
        </w:rPr>
      </w:pPr>
    </w:p>
    <w:p w14:paraId="41CEB197" w14:textId="77777777" w:rsidR="006A6CF0" w:rsidRDefault="006A6CF0" w:rsidP="004F55F7">
      <w:pPr>
        <w:pStyle w:val="a3"/>
        <w:jc w:val="both"/>
        <w:rPr>
          <w:lang w:val="en-US"/>
        </w:rPr>
      </w:pPr>
    </w:p>
    <w:p w14:paraId="729D855D" w14:textId="77777777" w:rsidR="006A6CF0" w:rsidRDefault="006A6CF0" w:rsidP="004F55F7">
      <w:pPr>
        <w:pStyle w:val="a3"/>
        <w:jc w:val="both"/>
        <w:rPr>
          <w:lang w:val="en-US"/>
        </w:rPr>
      </w:pPr>
    </w:p>
    <w:p w14:paraId="20123DEB" w14:textId="77777777" w:rsidR="006A6CF0" w:rsidRDefault="006A6CF0" w:rsidP="004F55F7">
      <w:pPr>
        <w:pStyle w:val="a3"/>
        <w:jc w:val="both"/>
        <w:rPr>
          <w:lang w:val="en-US"/>
        </w:rPr>
      </w:pPr>
      <w:bookmarkStart w:id="0" w:name="_GoBack"/>
      <w:bookmarkEnd w:id="0"/>
    </w:p>
    <w:p w14:paraId="317FC91F" w14:textId="77777777" w:rsidR="006A6CF0" w:rsidRDefault="006A6CF0" w:rsidP="004F55F7">
      <w:pPr>
        <w:pStyle w:val="a3"/>
        <w:jc w:val="both"/>
        <w:rPr>
          <w:lang w:val="en-US"/>
        </w:rPr>
      </w:pPr>
    </w:p>
    <w:p w14:paraId="0E5366E2" w14:textId="53E18404" w:rsidR="006A6CF0" w:rsidRDefault="006A6CF0" w:rsidP="004F55F7">
      <w:pPr>
        <w:pStyle w:val="a3"/>
        <w:jc w:val="both"/>
      </w:pPr>
      <w:r>
        <w:rPr>
          <w:lang w:val="en-US"/>
        </w:rPr>
        <w:t>Information about the author</w:t>
      </w:r>
      <w:r>
        <w:t>:</w:t>
      </w:r>
    </w:p>
    <w:p w14:paraId="6B329A34" w14:textId="77777777" w:rsidR="006A6CF0" w:rsidRPr="006A6CF0" w:rsidRDefault="006A6CF0" w:rsidP="006A6CF0">
      <w:pPr>
        <w:pStyle w:val="a3"/>
        <w:jc w:val="both"/>
        <w:rPr>
          <w:lang w:val="en-US"/>
        </w:rPr>
      </w:pPr>
      <w:r>
        <w:rPr>
          <w:lang w:val="en-US"/>
        </w:rPr>
        <w:t xml:space="preserve">Vlasova Anastasia Valerievna, </w:t>
      </w:r>
      <w:r w:rsidRPr="006A6CF0">
        <w:rPr>
          <w:lang w:val="en-US"/>
        </w:rPr>
        <w:t>Postgraduate student of the Faculty of Economics of the Higher School of Economics, Assistant of the Department of World Economy</w:t>
      </w:r>
    </w:p>
    <w:p w14:paraId="702EF107" w14:textId="0F52B2AE" w:rsidR="006A6CF0" w:rsidRPr="006A6CF0" w:rsidRDefault="006A6CF0" w:rsidP="006A6CF0">
      <w:pPr>
        <w:pStyle w:val="a3"/>
        <w:jc w:val="both"/>
        <w:rPr>
          <w:lang w:val="en-US"/>
        </w:rPr>
      </w:pPr>
      <w:r w:rsidRPr="006A6CF0">
        <w:rPr>
          <w:lang w:val="en-US"/>
        </w:rPr>
        <w:t>Contact information: e-mail: stacy7973@gmail.com</w:t>
      </w:r>
      <w:r>
        <w:rPr>
          <w:lang w:val="en-US"/>
        </w:rPr>
        <w:t xml:space="preserve"> </w:t>
      </w:r>
    </w:p>
    <w:sectPr w:rsidR="006A6CF0" w:rsidRPr="006A6CF0" w:rsidSect="00D263B5">
      <w:footerReference w:type="even" r:id="rId11"/>
      <w:footerReference w:type="default" r:id="rId12"/>
      <w:pgSz w:w="1190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8737F" w14:textId="77777777" w:rsidR="005F62F1" w:rsidRDefault="005F62F1" w:rsidP="002627E2">
      <w:r>
        <w:separator/>
      </w:r>
    </w:p>
  </w:endnote>
  <w:endnote w:type="continuationSeparator" w:id="0">
    <w:p w14:paraId="2B7578D8" w14:textId="77777777" w:rsidR="005F62F1" w:rsidRDefault="005F62F1" w:rsidP="0026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8"/>
    <w:family w:val="auto"/>
    <w:pitch w:val="variable"/>
    <w:sig w:usb0="A00002BF" w:usb1="38CF7CFA" w:usb2="00000016" w:usb3="00000000" w:csb0="0014000F" w:csb1="00000000"/>
  </w:font>
  <w:font w:name="Calibri Light">
    <w:panose1 w:val="020F0302020204030204"/>
    <w:charset w:val="00"/>
    <w:family w:val="auto"/>
    <w:pitch w:val="variable"/>
    <w:sig w:usb0="A00002EF" w:usb1="4000207B" w:usb2="00000000" w:usb3="00000000" w:csb0="0000019F" w:csb1="00000000"/>
  </w:font>
  <w:font w:name="DengXian">
    <w:panose1 w:val="02010600030101010101"/>
    <w:charset w:val="88"/>
    <w:family w:val="auto"/>
    <w:pitch w:val="variable"/>
    <w:sig w:usb0="A00002BF" w:usb1="38CF7CFA" w:usb2="00000016" w:usb3="00000000" w:csb0="0014000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ABE7D" w14:textId="77777777" w:rsidR="00C47B6F" w:rsidRDefault="00C47B6F" w:rsidP="00C47B6F">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end"/>
    </w:r>
  </w:p>
  <w:p w14:paraId="47CAD2EE" w14:textId="77777777" w:rsidR="00C47B6F" w:rsidRDefault="00C47B6F">
    <w:pPr>
      <w:pStyle w:val="ac"/>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05079" w14:textId="23CA84A6" w:rsidR="00C47B6F" w:rsidRDefault="00C47B6F" w:rsidP="00C47B6F">
    <w:pPr>
      <w:pStyle w:val="ac"/>
      <w:framePr w:wrap="none"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A6CF0">
      <w:rPr>
        <w:rStyle w:val="ae"/>
        <w:noProof/>
      </w:rPr>
      <w:t>13</w:t>
    </w:r>
    <w:r>
      <w:rPr>
        <w:rStyle w:val="ae"/>
      </w:rPr>
      <w:fldChar w:fldCharType="end"/>
    </w:r>
  </w:p>
  <w:p w14:paraId="44091967" w14:textId="77777777" w:rsidR="00C47B6F" w:rsidRDefault="00C47B6F">
    <w:pPr>
      <w:pStyle w:val="ac"/>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75C602" w14:textId="77777777" w:rsidR="005F62F1" w:rsidRDefault="005F62F1" w:rsidP="002627E2">
      <w:r>
        <w:separator/>
      </w:r>
    </w:p>
  </w:footnote>
  <w:footnote w:type="continuationSeparator" w:id="0">
    <w:p w14:paraId="047AD3A5" w14:textId="77777777" w:rsidR="005F62F1" w:rsidRDefault="005F62F1" w:rsidP="002627E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BB0E3E"/>
    <w:multiLevelType w:val="hybridMultilevel"/>
    <w:tmpl w:val="D94248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6A70A0"/>
    <w:multiLevelType w:val="hybridMultilevel"/>
    <w:tmpl w:val="D8364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1E6A57"/>
    <w:multiLevelType w:val="hybridMultilevel"/>
    <w:tmpl w:val="A07A18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653878"/>
    <w:multiLevelType w:val="hybridMultilevel"/>
    <w:tmpl w:val="F9CA3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177EAB"/>
    <w:multiLevelType w:val="hybridMultilevel"/>
    <w:tmpl w:val="9D9E5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C47065"/>
    <w:multiLevelType w:val="multilevel"/>
    <w:tmpl w:val="65F2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A29002F"/>
    <w:multiLevelType w:val="multilevel"/>
    <w:tmpl w:val="6BC84AE4"/>
    <w:lvl w:ilvl="0">
      <w:start w:val="1"/>
      <w:numFmt w:val="decimal"/>
      <w:lvlText w:val="%1."/>
      <w:lvlJc w:val="left"/>
      <w:pPr>
        <w:ind w:left="0" w:firstLine="0"/>
      </w:pPr>
      <w:rPr>
        <w:b w:val="0"/>
        <w:i w:val="0"/>
        <w:color w:val="000000"/>
        <w:sz w:val="24"/>
        <w:szCs w:val="24"/>
      </w:rPr>
    </w:lvl>
    <w:lvl w:ilvl="1">
      <w:start w:val="8"/>
      <w:numFmt w:val="decimal"/>
      <w:lvlText w:val="%2."/>
      <w:lvlJc w:val="left"/>
      <w:pPr>
        <w:ind w:left="0" w:firstLine="0"/>
      </w:pPr>
      <w:rPr>
        <w:rFonts w:ascii="Times New Roman" w:eastAsia="Times New Roman" w:hAnsi="Times New Roman" w:cs="Times New Roman"/>
        <w:b w:val="0"/>
        <w:i w:val="0"/>
        <w:color w:val="000000"/>
        <w:sz w:val="28"/>
        <w:szCs w:val="28"/>
      </w:rPr>
    </w:lvl>
    <w:lvl w:ilvl="2">
      <w:start w:val="1"/>
      <w:numFmt w:val="decimal"/>
      <w:lvlText w:val="%2.%3."/>
      <w:lvlJc w:val="left"/>
      <w:pPr>
        <w:ind w:left="0" w:firstLine="284"/>
      </w:pPr>
      <w:rPr>
        <w:rFonts w:ascii="Times New Roman" w:eastAsia="Times New Roman" w:hAnsi="Times New Roman" w:cs="Times New Roman"/>
        <w:b w:val="0"/>
        <w:i w:val="0"/>
        <w:sz w:val="28"/>
        <w:szCs w:val="28"/>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3D61619F"/>
    <w:multiLevelType w:val="hybridMultilevel"/>
    <w:tmpl w:val="15BAF5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CB5482"/>
    <w:multiLevelType w:val="hybridMultilevel"/>
    <w:tmpl w:val="85E078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F433752"/>
    <w:multiLevelType w:val="hybridMultilevel"/>
    <w:tmpl w:val="EDC675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58B2509"/>
    <w:multiLevelType w:val="hybridMultilevel"/>
    <w:tmpl w:val="2FA8A6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055A39"/>
    <w:multiLevelType w:val="hybridMultilevel"/>
    <w:tmpl w:val="F8F475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A112080"/>
    <w:multiLevelType w:val="hybridMultilevel"/>
    <w:tmpl w:val="052A5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56145D"/>
    <w:multiLevelType w:val="hybridMultilevel"/>
    <w:tmpl w:val="C1264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7D21F7"/>
    <w:multiLevelType w:val="hybridMultilevel"/>
    <w:tmpl w:val="A14E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6F065D"/>
    <w:multiLevelType w:val="hybridMultilevel"/>
    <w:tmpl w:val="7936A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624615A"/>
    <w:multiLevelType w:val="hybridMultilevel"/>
    <w:tmpl w:val="2A8EF2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66D55B5"/>
    <w:multiLevelType w:val="hybridMultilevel"/>
    <w:tmpl w:val="633A08CA"/>
    <w:lvl w:ilvl="0" w:tplc="8A9276D4">
      <w:start w:val="1"/>
      <w:numFmt w:val="decimal"/>
      <w:lvlText w:val="%1."/>
      <w:lvlJc w:val="left"/>
      <w:pPr>
        <w:ind w:left="1080" w:hanging="360"/>
      </w:pPr>
      <w:rPr>
        <w:rFonts w:ascii="Times New Roman" w:hAnsi="Times New Roman" w:cs="Times New Roman" w:hint="default"/>
        <w:b w:val="0"/>
        <w:color w:val="333333"/>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5732695D"/>
    <w:multiLevelType w:val="hybridMultilevel"/>
    <w:tmpl w:val="30DE31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1D09D6"/>
    <w:multiLevelType w:val="hybridMultilevel"/>
    <w:tmpl w:val="F5961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8418B2"/>
    <w:multiLevelType w:val="hybridMultilevel"/>
    <w:tmpl w:val="B1CC6A9C"/>
    <w:lvl w:ilvl="0" w:tplc="CA5004C0">
      <w:start w:val="1"/>
      <w:numFmt w:val="decimal"/>
      <w:lvlText w:val="%1."/>
      <w:lvlJc w:val="left"/>
      <w:pPr>
        <w:ind w:left="420" w:hanging="360"/>
      </w:pPr>
      <w:rPr>
        <w:rFonts w:eastAsiaTheme="minorHAnsi" w:hint="default"/>
        <w:color w:val="000000" w:themeColor="text1"/>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747D39E2"/>
    <w:multiLevelType w:val="hybridMultilevel"/>
    <w:tmpl w:val="DB90B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8"/>
  </w:num>
  <w:num w:numId="4">
    <w:abstractNumId w:val="4"/>
  </w:num>
  <w:num w:numId="5">
    <w:abstractNumId w:val="3"/>
  </w:num>
  <w:num w:numId="6">
    <w:abstractNumId w:val="10"/>
  </w:num>
  <w:num w:numId="7">
    <w:abstractNumId w:val="22"/>
  </w:num>
  <w:num w:numId="8">
    <w:abstractNumId w:val="2"/>
  </w:num>
  <w:num w:numId="9">
    <w:abstractNumId w:val="15"/>
  </w:num>
  <w:num w:numId="10">
    <w:abstractNumId w:val="6"/>
  </w:num>
  <w:num w:numId="11">
    <w:abstractNumId w:val="17"/>
  </w:num>
  <w:num w:numId="12">
    <w:abstractNumId w:val="9"/>
  </w:num>
  <w:num w:numId="13">
    <w:abstractNumId w:val="19"/>
  </w:num>
  <w:num w:numId="14">
    <w:abstractNumId w:val="14"/>
  </w:num>
  <w:num w:numId="15">
    <w:abstractNumId w:val="0"/>
  </w:num>
  <w:num w:numId="16">
    <w:abstractNumId w:val="16"/>
  </w:num>
  <w:num w:numId="17">
    <w:abstractNumId w:val="1"/>
  </w:num>
  <w:num w:numId="18">
    <w:abstractNumId w:val="13"/>
  </w:num>
  <w:num w:numId="19">
    <w:abstractNumId w:val="21"/>
  </w:num>
  <w:num w:numId="20">
    <w:abstractNumId w:val="20"/>
  </w:num>
  <w:num w:numId="21">
    <w:abstractNumId w:val="8"/>
  </w:num>
  <w:num w:numId="22">
    <w:abstractNumId w:val="7"/>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activeWritingStyle w:appName="MSWord" w:lang="en-US" w:vendorID="64" w:dllVersion="131078" w:nlCheck="1" w:checkStyle="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6E3"/>
    <w:rsid w:val="00000CDE"/>
    <w:rsid w:val="0000373D"/>
    <w:rsid w:val="00006C09"/>
    <w:rsid w:val="00007146"/>
    <w:rsid w:val="0001012C"/>
    <w:rsid w:val="00011ED9"/>
    <w:rsid w:val="00012DB6"/>
    <w:rsid w:val="00015831"/>
    <w:rsid w:val="00016C4D"/>
    <w:rsid w:val="0002154C"/>
    <w:rsid w:val="000216EF"/>
    <w:rsid w:val="000229FC"/>
    <w:rsid w:val="00022E61"/>
    <w:rsid w:val="000259B1"/>
    <w:rsid w:val="0002699B"/>
    <w:rsid w:val="00026E32"/>
    <w:rsid w:val="0002725C"/>
    <w:rsid w:val="000275B8"/>
    <w:rsid w:val="00033DC1"/>
    <w:rsid w:val="00035F51"/>
    <w:rsid w:val="00036E2C"/>
    <w:rsid w:val="00036FD2"/>
    <w:rsid w:val="00041646"/>
    <w:rsid w:val="00043466"/>
    <w:rsid w:val="00043582"/>
    <w:rsid w:val="00043697"/>
    <w:rsid w:val="00044421"/>
    <w:rsid w:val="000454B1"/>
    <w:rsid w:val="000476E6"/>
    <w:rsid w:val="00051BF8"/>
    <w:rsid w:val="000522B9"/>
    <w:rsid w:val="000530CC"/>
    <w:rsid w:val="00053E24"/>
    <w:rsid w:val="000574E3"/>
    <w:rsid w:val="000608ED"/>
    <w:rsid w:val="00061041"/>
    <w:rsid w:val="00063155"/>
    <w:rsid w:val="00063D65"/>
    <w:rsid w:val="0006559B"/>
    <w:rsid w:val="00065BA1"/>
    <w:rsid w:val="00067B09"/>
    <w:rsid w:val="00070997"/>
    <w:rsid w:val="00072DDD"/>
    <w:rsid w:val="00073DE9"/>
    <w:rsid w:val="000744DB"/>
    <w:rsid w:val="00075241"/>
    <w:rsid w:val="00081C94"/>
    <w:rsid w:val="0009069A"/>
    <w:rsid w:val="000911D8"/>
    <w:rsid w:val="00092334"/>
    <w:rsid w:val="0009246E"/>
    <w:rsid w:val="000972A2"/>
    <w:rsid w:val="000973B5"/>
    <w:rsid w:val="000A0072"/>
    <w:rsid w:val="000A0751"/>
    <w:rsid w:val="000A097D"/>
    <w:rsid w:val="000A0B25"/>
    <w:rsid w:val="000A252F"/>
    <w:rsid w:val="000A27D6"/>
    <w:rsid w:val="000A494F"/>
    <w:rsid w:val="000A6EE5"/>
    <w:rsid w:val="000B20DF"/>
    <w:rsid w:val="000B2225"/>
    <w:rsid w:val="000B29B4"/>
    <w:rsid w:val="000B4F59"/>
    <w:rsid w:val="000B5853"/>
    <w:rsid w:val="000C2934"/>
    <w:rsid w:val="000C30A8"/>
    <w:rsid w:val="000C3A56"/>
    <w:rsid w:val="000C4B6D"/>
    <w:rsid w:val="000C502E"/>
    <w:rsid w:val="000C59D1"/>
    <w:rsid w:val="000C5A06"/>
    <w:rsid w:val="000D126A"/>
    <w:rsid w:val="000D2088"/>
    <w:rsid w:val="000D4B38"/>
    <w:rsid w:val="000D4E1E"/>
    <w:rsid w:val="000D534E"/>
    <w:rsid w:val="000D568D"/>
    <w:rsid w:val="000D58C8"/>
    <w:rsid w:val="000D5CC7"/>
    <w:rsid w:val="000D5F3B"/>
    <w:rsid w:val="000D7145"/>
    <w:rsid w:val="000E0619"/>
    <w:rsid w:val="000E1015"/>
    <w:rsid w:val="000E261C"/>
    <w:rsid w:val="000E52BD"/>
    <w:rsid w:val="000E61AE"/>
    <w:rsid w:val="000E676D"/>
    <w:rsid w:val="000F2DE7"/>
    <w:rsid w:val="000F7550"/>
    <w:rsid w:val="0010091B"/>
    <w:rsid w:val="00101CE4"/>
    <w:rsid w:val="001032F7"/>
    <w:rsid w:val="00105EE2"/>
    <w:rsid w:val="001062CC"/>
    <w:rsid w:val="00106773"/>
    <w:rsid w:val="00110042"/>
    <w:rsid w:val="00114B26"/>
    <w:rsid w:val="00121DD5"/>
    <w:rsid w:val="001225F7"/>
    <w:rsid w:val="00122960"/>
    <w:rsid w:val="001248C6"/>
    <w:rsid w:val="0013028F"/>
    <w:rsid w:val="00130ED4"/>
    <w:rsid w:val="0013104D"/>
    <w:rsid w:val="0013130E"/>
    <w:rsid w:val="0013316C"/>
    <w:rsid w:val="001345E4"/>
    <w:rsid w:val="001401A8"/>
    <w:rsid w:val="0014506C"/>
    <w:rsid w:val="00146CF1"/>
    <w:rsid w:val="001473AC"/>
    <w:rsid w:val="001526BA"/>
    <w:rsid w:val="00152FB8"/>
    <w:rsid w:val="00157C6C"/>
    <w:rsid w:val="00160EBA"/>
    <w:rsid w:val="00161904"/>
    <w:rsid w:val="00162B38"/>
    <w:rsid w:val="00162D5A"/>
    <w:rsid w:val="001639B4"/>
    <w:rsid w:val="00163B8D"/>
    <w:rsid w:val="00163FB6"/>
    <w:rsid w:val="001644A6"/>
    <w:rsid w:val="00172469"/>
    <w:rsid w:val="00172CE2"/>
    <w:rsid w:val="00173864"/>
    <w:rsid w:val="00173EB5"/>
    <w:rsid w:val="00181426"/>
    <w:rsid w:val="001846E9"/>
    <w:rsid w:val="001930DF"/>
    <w:rsid w:val="001974C7"/>
    <w:rsid w:val="001A34CA"/>
    <w:rsid w:val="001A438F"/>
    <w:rsid w:val="001A487A"/>
    <w:rsid w:val="001B03E7"/>
    <w:rsid w:val="001B4824"/>
    <w:rsid w:val="001C0981"/>
    <w:rsid w:val="001C1FB7"/>
    <w:rsid w:val="001C2749"/>
    <w:rsid w:val="001D078A"/>
    <w:rsid w:val="001D11C9"/>
    <w:rsid w:val="001D3BCB"/>
    <w:rsid w:val="001D77E2"/>
    <w:rsid w:val="001E0C3E"/>
    <w:rsid w:val="001E134E"/>
    <w:rsid w:val="001E2E44"/>
    <w:rsid w:val="001E4211"/>
    <w:rsid w:val="001E4B86"/>
    <w:rsid w:val="001E5D2E"/>
    <w:rsid w:val="001E5F97"/>
    <w:rsid w:val="001E61F8"/>
    <w:rsid w:val="001E68CD"/>
    <w:rsid w:val="001E710E"/>
    <w:rsid w:val="001E7158"/>
    <w:rsid w:val="001F479A"/>
    <w:rsid w:val="0020397C"/>
    <w:rsid w:val="00206CF9"/>
    <w:rsid w:val="002118CF"/>
    <w:rsid w:val="002120D8"/>
    <w:rsid w:val="00212A49"/>
    <w:rsid w:val="00215784"/>
    <w:rsid w:val="0021695C"/>
    <w:rsid w:val="00220859"/>
    <w:rsid w:val="002214B8"/>
    <w:rsid w:val="00234263"/>
    <w:rsid w:val="002344C1"/>
    <w:rsid w:val="002409C2"/>
    <w:rsid w:val="002434A2"/>
    <w:rsid w:val="00244ACC"/>
    <w:rsid w:val="002464E1"/>
    <w:rsid w:val="00247080"/>
    <w:rsid w:val="002627E2"/>
    <w:rsid w:val="00262E25"/>
    <w:rsid w:val="00267B35"/>
    <w:rsid w:val="00267F6C"/>
    <w:rsid w:val="00273D79"/>
    <w:rsid w:val="00274414"/>
    <w:rsid w:val="00275731"/>
    <w:rsid w:val="00277F94"/>
    <w:rsid w:val="002803B4"/>
    <w:rsid w:val="002824EC"/>
    <w:rsid w:val="00286EFF"/>
    <w:rsid w:val="00290B24"/>
    <w:rsid w:val="0029221E"/>
    <w:rsid w:val="00294B0B"/>
    <w:rsid w:val="002975B1"/>
    <w:rsid w:val="002A0B8A"/>
    <w:rsid w:val="002A0C1C"/>
    <w:rsid w:val="002A2BFD"/>
    <w:rsid w:val="002A4B44"/>
    <w:rsid w:val="002B03B7"/>
    <w:rsid w:val="002B09E0"/>
    <w:rsid w:val="002B27D8"/>
    <w:rsid w:val="002B39F1"/>
    <w:rsid w:val="002B756A"/>
    <w:rsid w:val="002B7E3A"/>
    <w:rsid w:val="002C2A03"/>
    <w:rsid w:val="002C341B"/>
    <w:rsid w:val="002C3E6F"/>
    <w:rsid w:val="002C687D"/>
    <w:rsid w:val="002D0A0B"/>
    <w:rsid w:val="002D0F8C"/>
    <w:rsid w:val="002D28EE"/>
    <w:rsid w:val="002D3863"/>
    <w:rsid w:val="002D416D"/>
    <w:rsid w:val="002D489E"/>
    <w:rsid w:val="002D6852"/>
    <w:rsid w:val="002D71A3"/>
    <w:rsid w:val="002E1264"/>
    <w:rsid w:val="002E1C63"/>
    <w:rsid w:val="002E403C"/>
    <w:rsid w:val="002E53C0"/>
    <w:rsid w:val="002E693D"/>
    <w:rsid w:val="002F1B3B"/>
    <w:rsid w:val="002F1DFB"/>
    <w:rsid w:val="002F2ED1"/>
    <w:rsid w:val="002F3BD7"/>
    <w:rsid w:val="002F43EC"/>
    <w:rsid w:val="002F588E"/>
    <w:rsid w:val="002F5A4C"/>
    <w:rsid w:val="003026C1"/>
    <w:rsid w:val="00304A01"/>
    <w:rsid w:val="00310C9A"/>
    <w:rsid w:val="003132EC"/>
    <w:rsid w:val="00317C83"/>
    <w:rsid w:val="003220EB"/>
    <w:rsid w:val="00323076"/>
    <w:rsid w:val="003245EE"/>
    <w:rsid w:val="003261C8"/>
    <w:rsid w:val="00331CBF"/>
    <w:rsid w:val="00331F13"/>
    <w:rsid w:val="0033303C"/>
    <w:rsid w:val="00333ED7"/>
    <w:rsid w:val="00334360"/>
    <w:rsid w:val="003347F3"/>
    <w:rsid w:val="0033493C"/>
    <w:rsid w:val="003362D7"/>
    <w:rsid w:val="003416EB"/>
    <w:rsid w:val="003423F9"/>
    <w:rsid w:val="00346FBF"/>
    <w:rsid w:val="003478AD"/>
    <w:rsid w:val="00347CC8"/>
    <w:rsid w:val="003533EB"/>
    <w:rsid w:val="0035488C"/>
    <w:rsid w:val="00354A25"/>
    <w:rsid w:val="00355257"/>
    <w:rsid w:val="003558D2"/>
    <w:rsid w:val="00355B22"/>
    <w:rsid w:val="00360967"/>
    <w:rsid w:val="003622E0"/>
    <w:rsid w:val="0036390B"/>
    <w:rsid w:val="00365635"/>
    <w:rsid w:val="00375F93"/>
    <w:rsid w:val="0037770A"/>
    <w:rsid w:val="0038214C"/>
    <w:rsid w:val="003849B9"/>
    <w:rsid w:val="00387069"/>
    <w:rsid w:val="00390DBC"/>
    <w:rsid w:val="003930C9"/>
    <w:rsid w:val="00393A49"/>
    <w:rsid w:val="003952EC"/>
    <w:rsid w:val="003960C4"/>
    <w:rsid w:val="003961D2"/>
    <w:rsid w:val="00396E50"/>
    <w:rsid w:val="00397DFC"/>
    <w:rsid w:val="003A0089"/>
    <w:rsid w:val="003A6F27"/>
    <w:rsid w:val="003B1757"/>
    <w:rsid w:val="003B2CCC"/>
    <w:rsid w:val="003B3082"/>
    <w:rsid w:val="003B43A7"/>
    <w:rsid w:val="003B4809"/>
    <w:rsid w:val="003C23E9"/>
    <w:rsid w:val="003C3171"/>
    <w:rsid w:val="003C593D"/>
    <w:rsid w:val="003C6FB7"/>
    <w:rsid w:val="003C77DF"/>
    <w:rsid w:val="003C7B65"/>
    <w:rsid w:val="003D3CC3"/>
    <w:rsid w:val="003E048D"/>
    <w:rsid w:val="003E0638"/>
    <w:rsid w:val="003E333F"/>
    <w:rsid w:val="003E5103"/>
    <w:rsid w:val="003E5E4A"/>
    <w:rsid w:val="003E6076"/>
    <w:rsid w:val="003E798C"/>
    <w:rsid w:val="003F3187"/>
    <w:rsid w:val="003F487E"/>
    <w:rsid w:val="003F5AC1"/>
    <w:rsid w:val="003F683A"/>
    <w:rsid w:val="003F6A9F"/>
    <w:rsid w:val="00403D39"/>
    <w:rsid w:val="00403D6C"/>
    <w:rsid w:val="0041278D"/>
    <w:rsid w:val="004130F4"/>
    <w:rsid w:val="00417498"/>
    <w:rsid w:val="0042000D"/>
    <w:rsid w:val="00420E1D"/>
    <w:rsid w:val="0042215C"/>
    <w:rsid w:val="00433611"/>
    <w:rsid w:val="0043397D"/>
    <w:rsid w:val="00434082"/>
    <w:rsid w:val="00434F34"/>
    <w:rsid w:val="00437201"/>
    <w:rsid w:val="004376CE"/>
    <w:rsid w:val="00437A17"/>
    <w:rsid w:val="004405BF"/>
    <w:rsid w:val="00442087"/>
    <w:rsid w:val="00444207"/>
    <w:rsid w:val="004509C8"/>
    <w:rsid w:val="00452263"/>
    <w:rsid w:val="004563F4"/>
    <w:rsid w:val="0045654F"/>
    <w:rsid w:val="004611E4"/>
    <w:rsid w:val="00463231"/>
    <w:rsid w:val="00464ADD"/>
    <w:rsid w:val="00466307"/>
    <w:rsid w:val="004672C0"/>
    <w:rsid w:val="0047266C"/>
    <w:rsid w:val="004734A0"/>
    <w:rsid w:val="00473924"/>
    <w:rsid w:val="00475401"/>
    <w:rsid w:val="00476BA4"/>
    <w:rsid w:val="00476BE4"/>
    <w:rsid w:val="00480526"/>
    <w:rsid w:val="004821AA"/>
    <w:rsid w:val="004848A2"/>
    <w:rsid w:val="00486335"/>
    <w:rsid w:val="004868C1"/>
    <w:rsid w:val="004900B1"/>
    <w:rsid w:val="00490B7C"/>
    <w:rsid w:val="00491B9B"/>
    <w:rsid w:val="004937A7"/>
    <w:rsid w:val="004937F2"/>
    <w:rsid w:val="0049396C"/>
    <w:rsid w:val="004943CB"/>
    <w:rsid w:val="00496D53"/>
    <w:rsid w:val="00496F0C"/>
    <w:rsid w:val="004A5B2A"/>
    <w:rsid w:val="004A5E4A"/>
    <w:rsid w:val="004A6780"/>
    <w:rsid w:val="004A6FE2"/>
    <w:rsid w:val="004A7EAE"/>
    <w:rsid w:val="004B2FB2"/>
    <w:rsid w:val="004B5153"/>
    <w:rsid w:val="004B6CC0"/>
    <w:rsid w:val="004B6D9D"/>
    <w:rsid w:val="004B7CFB"/>
    <w:rsid w:val="004C4BCF"/>
    <w:rsid w:val="004D1252"/>
    <w:rsid w:val="004D27F1"/>
    <w:rsid w:val="004D33F4"/>
    <w:rsid w:val="004D4CEE"/>
    <w:rsid w:val="004D5209"/>
    <w:rsid w:val="004D5300"/>
    <w:rsid w:val="004E4670"/>
    <w:rsid w:val="004E77AC"/>
    <w:rsid w:val="004F05FD"/>
    <w:rsid w:val="004F1EE0"/>
    <w:rsid w:val="004F20FB"/>
    <w:rsid w:val="004F55F7"/>
    <w:rsid w:val="004F7A74"/>
    <w:rsid w:val="0050751C"/>
    <w:rsid w:val="005106B2"/>
    <w:rsid w:val="00514510"/>
    <w:rsid w:val="005147DF"/>
    <w:rsid w:val="00514EA8"/>
    <w:rsid w:val="005151D6"/>
    <w:rsid w:val="00516822"/>
    <w:rsid w:val="0052028D"/>
    <w:rsid w:val="00522467"/>
    <w:rsid w:val="00522DA9"/>
    <w:rsid w:val="00523DA2"/>
    <w:rsid w:val="00524328"/>
    <w:rsid w:val="00525879"/>
    <w:rsid w:val="00525DA6"/>
    <w:rsid w:val="00527EB0"/>
    <w:rsid w:val="00531FD1"/>
    <w:rsid w:val="00541E57"/>
    <w:rsid w:val="00543BF1"/>
    <w:rsid w:val="00546CD9"/>
    <w:rsid w:val="005473FD"/>
    <w:rsid w:val="00552C2F"/>
    <w:rsid w:val="00552F09"/>
    <w:rsid w:val="00555F53"/>
    <w:rsid w:val="00556A32"/>
    <w:rsid w:val="00557C0F"/>
    <w:rsid w:val="00562531"/>
    <w:rsid w:val="00563885"/>
    <w:rsid w:val="005640D4"/>
    <w:rsid w:val="00564DB6"/>
    <w:rsid w:val="0056596A"/>
    <w:rsid w:val="00566307"/>
    <w:rsid w:val="005668C8"/>
    <w:rsid w:val="00570A42"/>
    <w:rsid w:val="00571632"/>
    <w:rsid w:val="00572A08"/>
    <w:rsid w:val="00572C61"/>
    <w:rsid w:val="0057413E"/>
    <w:rsid w:val="00582208"/>
    <w:rsid w:val="00582B70"/>
    <w:rsid w:val="00583825"/>
    <w:rsid w:val="0058405B"/>
    <w:rsid w:val="00586C10"/>
    <w:rsid w:val="00587B08"/>
    <w:rsid w:val="0059219A"/>
    <w:rsid w:val="00593969"/>
    <w:rsid w:val="00593A98"/>
    <w:rsid w:val="00594C85"/>
    <w:rsid w:val="00597B2D"/>
    <w:rsid w:val="005A39BE"/>
    <w:rsid w:val="005A4F18"/>
    <w:rsid w:val="005A5049"/>
    <w:rsid w:val="005A5C9A"/>
    <w:rsid w:val="005A73B1"/>
    <w:rsid w:val="005B02CA"/>
    <w:rsid w:val="005B083A"/>
    <w:rsid w:val="005B151D"/>
    <w:rsid w:val="005B2366"/>
    <w:rsid w:val="005B6A02"/>
    <w:rsid w:val="005C10AB"/>
    <w:rsid w:val="005C1864"/>
    <w:rsid w:val="005C21D0"/>
    <w:rsid w:val="005C2B62"/>
    <w:rsid w:val="005C5EC5"/>
    <w:rsid w:val="005C62CA"/>
    <w:rsid w:val="005C66E6"/>
    <w:rsid w:val="005C77AC"/>
    <w:rsid w:val="005D4FF4"/>
    <w:rsid w:val="005D573B"/>
    <w:rsid w:val="005D5EE6"/>
    <w:rsid w:val="005D6050"/>
    <w:rsid w:val="005D699E"/>
    <w:rsid w:val="005E50B3"/>
    <w:rsid w:val="005E54D3"/>
    <w:rsid w:val="005E61FF"/>
    <w:rsid w:val="005E68DE"/>
    <w:rsid w:val="005F03C7"/>
    <w:rsid w:val="005F2045"/>
    <w:rsid w:val="005F26E3"/>
    <w:rsid w:val="005F4259"/>
    <w:rsid w:val="005F5869"/>
    <w:rsid w:val="005F603D"/>
    <w:rsid w:val="005F62F1"/>
    <w:rsid w:val="005F7E58"/>
    <w:rsid w:val="0060462C"/>
    <w:rsid w:val="0060504B"/>
    <w:rsid w:val="00611CA0"/>
    <w:rsid w:val="00613811"/>
    <w:rsid w:val="0061734C"/>
    <w:rsid w:val="006218B6"/>
    <w:rsid w:val="006240AF"/>
    <w:rsid w:val="00624A64"/>
    <w:rsid w:val="006260BC"/>
    <w:rsid w:val="00627BA9"/>
    <w:rsid w:val="00627DD3"/>
    <w:rsid w:val="00635F3F"/>
    <w:rsid w:val="00636B4A"/>
    <w:rsid w:val="0063756E"/>
    <w:rsid w:val="00640BE1"/>
    <w:rsid w:val="0064142F"/>
    <w:rsid w:val="00641E47"/>
    <w:rsid w:val="006450F6"/>
    <w:rsid w:val="006470CC"/>
    <w:rsid w:val="0064768C"/>
    <w:rsid w:val="0065020E"/>
    <w:rsid w:val="0065113A"/>
    <w:rsid w:val="00656609"/>
    <w:rsid w:val="006577E8"/>
    <w:rsid w:val="006609A9"/>
    <w:rsid w:val="00661614"/>
    <w:rsid w:val="00661DAC"/>
    <w:rsid w:val="006634D0"/>
    <w:rsid w:val="00664AEB"/>
    <w:rsid w:val="006709C7"/>
    <w:rsid w:val="006709D9"/>
    <w:rsid w:val="0067124C"/>
    <w:rsid w:val="00672D79"/>
    <w:rsid w:val="00674131"/>
    <w:rsid w:val="00677D19"/>
    <w:rsid w:val="00677D56"/>
    <w:rsid w:val="0068084C"/>
    <w:rsid w:val="006821C6"/>
    <w:rsid w:val="0068302B"/>
    <w:rsid w:val="00684B53"/>
    <w:rsid w:val="00685F7B"/>
    <w:rsid w:val="00686F6F"/>
    <w:rsid w:val="00690492"/>
    <w:rsid w:val="00690643"/>
    <w:rsid w:val="00690933"/>
    <w:rsid w:val="00690DD5"/>
    <w:rsid w:val="00691B8D"/>
    <w:rsid w:val="00693D78"/>
    <w:rsid w:val="006953F4"/>
    <w:rsid w:val="006957BD"/>
    <w:rsid w:val="00696E7B"/>
    <w:rsid w:val="006A0938"/>
    <w:rsid w:val="006A1B5F"/>
    <w:rsid w:val="006A1C4C"/>
    <w:rsid w:val="006A20B3"/>
    <w:rsid w:val="006A23F2"/>
    <w:rsid w:val="006A2E95"/>
    <w:rsid w:val="006A3934"/>
    <w:rsid w:val="006A52D4"/>
    <w:rsid w:val="006A5F5B"/>
    <w:rsid w:val="006A6CF0"/>
    <w:rsid w:val="006A6DB5"/>
    <w:rsid w:val="006B07F0"/>
    <w:rsid w:val="006B1791"/>
    <w:rsid w:val="006B1BEA"/>
    <w:rsid w:val="006B4949"/>
    <w:rsid w:val="006C2C48"/>
    <w:rsid w:val="006C4644"/>
    <w:rsid w:val="006C5D2F"/>
    <w:rsid w:val="006C5E27"/>
    <w:rsid w:val="006C7D09"/>
    <w:rsid w:val="006D03C6"/>
    <w:rsid w:val="006D1296"/>
    <w:rsid w:val="006D25A1"/>
    <w:rsid w:val="006D27C0"/>
    <w:rsid w:val="006D32B4"/>
    <w:rsid w:val="006D3A1D"/>
    <w:rsid w:val="006D4AB1"/>
    <w:rsid w:val="006D7E9B"/>
    <w:rsid w:val="006E0C92"/>
    <w:rsid w:val="006E2578"/>
    <w:rsid w:val="006E25EE"/>
    <w:rsid w:val="006E3F96"/>
    <w:rsid w:val="006E68DD"/>
    <w:rsid w:val="006F0800"/>
    <w:rsid w:val="006F1E83"/>
    <w:rsid w:val="006F2202"/>
    <w:rsid w:val="006F3029"/>
    <w:rsid w:val="006F53CA"/>
    <w:rsid w:val="00700897"/>
    <w:rsid w:val="00701341"/>
    <w:rsid w:val="00705CDB"/>
    <w:rsid w:val="0070762C"/>
    <w:rsid w:val="00707902"/>
    <w:rsid w:val="007105DA"/>
    <w:rsid w:val="0071260B"/>
    <w:rsid w:val="00721B12"/>
    <w:rsid w:val="0072259F"/>
    <w:rsid w:val="00723E07"/>
    <w:rsid w:val="00727161"/>
    <w:rsid w:val="00727702"/>
    <w:rsid w:val="00727854"/>
    <w:rsid w:val="007304CD"/>
    <w:rsid w:val="00733200"/>
    <w:rsid w:val="00734DE0"/>
    <w:rsid w:val="00735304"/>
    <w:rsid w:val="00735EE1"/>
    <w:rsid w:val="00737B2C"/>
    <w:rsid w:val="00737F8C"/>
    <w:rsid w:val="00744B35"/>
    <w:rsid w:val="007477F2"/>
    <w:rsid w:val="0075344C"/>
    <w:rsid w:val="00756D24"/>
    <w:rsid w:val="0075718A"/>
    <w:rsid w:val="00760268"/>
    <w:rsid w:val="00761FDF"/>
    <w:rsid w:val="0076359F"/>
    <w:rsid w:val="00764026"/>
    <w:rsid w:val="007643ED"/>
    <w:rsid w:val="00766755"/>
    <w:rsid w:val="00767249"/>
    <w:rsid w:val="00770BAF"/>
    <w:rsid w:val="00770CA5"/>
    <w:rsid w:val="007737D0"/>
    <w:rsid w:val="00773D13"/>
    <w:rsid w:val="007752D8"/>
    <w:rsid w:val="007756AC"/>
    <w:rsid w:val="00775FB7"/>
    <w:rsid w:val="00781819"/>
    <w:rsid w:val="0078184F"/>
    <w:rsid w:val="00782951"/>
    <w:rsid w:val="00785545"/>
    <w:rsid w:val="0078624C"/>
    <w:rsid w:val="0078674D"/>
    <w:rsid w:val="00791114"/>
    <w:rsid w:val="00791A06"/>
    <w:rsid w:val="00792524"/>
    <w:rsid w:val="00794B31"/>
    <w:rsid w:val="00796846"/>
    <w:rsid w:val="007A11F2"/>
    <w:rsid w:val="007A28B4"/>
    <w:rsid w:val="007A44B0"/>
    <w:rsid w:val="007A5F2C"/>
    <w:rsid w:val="007A6318"/>
    <w:rsid w:val="007A679F"/>
    <w:rsid w:val="007A7869"/>
    <w:rsid w:val="007B0012"/>
    <w:rsid w:val="007B1747"/>
    <w:rsid w:val="007B1D19"/>
    <w:rsid w:val="007B5660"/>
    <w:rsid w:val="007B5B56"/>
    <w:rsid w:val="007C1D4E"/>
    <w:rsid w:val="007C22B2"/>
    <w:rsid w:val="007C3BDA"/>
    <w:rsid w:val="007C3E54"/>
    <w:rsid w:val="007C61B5"/>
    <w:rsid w:val="007D1864"/>
    <w:rsid w:val="007D1AE1"/>
    <w:rsid w:val="007D2E74"/>
    <w:rsid w:val="007D6190"/>
    <w:rsid w:val="007D6E71"/>
    <w:rsid w:val="007D73F1"/>
    <w:rsid w:val="007E1AFD"/>
    <w:rsid w:val="007E4CC3"/>
    <w:rsid w:val="007E4F5C"/>
    <w:rsid w:val="007E66F9"/>
    <w:rsid w:val="007F2061"/>
    <w:rsid w:val="007F26CC"/>
    <w:rsid w:val="007F5FD0"/>
    <w:rsid w:val="007F6BA5"/>
    <w:rsid w:val="008002B9"/>
    <w:rsid w:val="00803334"/>
    <w:rsid w:val="00805620"/>
    <w:rsid w:val="00810677"/>
    <w:rsid w:val="00814515"/>
    <w:rsid w:val="00814B8F"/>
    <w:rsid w:val="00816FC1"/>
    <w:rsid w:val="0081732C"/>
    <w:rsid w:val="00820FF4"/>
    <w:rsid w:val="0082150E"/>
    <w:rsid w:val="00821FCE"/>
    <w:rsid w:val="008220D7"/>
    <w:rsid w:val="008245CF"/>
    <w:rsid w:val="0084425F"/>
    <w:rsid w:val="008449DA"/>
    <w:rsid w:val="00845966"/>
    <w:rsid w:val="00846FC2"/>
    <w:rsid w:val="0085086B"/>
    <w:rsid w:val="0085513A"/>
    <w:rsid w:val="00855723"/>
    <w:rsid w:val="00855983"/>
    <w:rsid w:val="00856A0D"/>
    <w:rsid w:val="0086363D"/>
    <w:rsid w:val="00867BCE"/>
    <w:rsid w:val="00870D66"/>
    <w:rsid w:val="00870D6F"/>
    <w:rsid w:val="008710B5"/>
    <w:rsid w:val="00874A71"/>
    <w:rsid w:val="0088142D"/>
    <w:rsid w:val="008837B6"/>
    <w:rsid w:val="00886910"/>
    <w:rsid w:val="00887A51"/>
    <w:rsid w:val="00891778"/>
    <w:rsid w:val="00892258"/>
    <w:rsid w:val="008928A5"/>
    <w:rsid w:val="00893D3C"/>
    <w:rsid w:val="00893D80"/>
    <w:rsid w:val="00894415"/>
    <w:rsid w:val="0089567E"/>
    <w:rsid w:val="008A2E64"/>
    <w:rsid w:val="008A3376"/>
    <w:rsid w:val="008A3E87"/>
    <w:rsid w:val="008A5F62"/>
    <w:rsid w:val="008B0CB0"/>
    <w:rsid w:val="008B44EC"/>
    <w:rsid w:val="008B4EF8"/>
    <w:rsid w:val="008B5CEA"/>
    <w:rsid w:val="008C06D3"/>
    <w:rsid w:val="008C18BB"/>
    <w:rsid w:val="008C4254"/>
    <w:rsid w:val="008C72C0"/>
    <w:rsid w:val="008D0597"/>
    <w:rsid w:val="008D0DB9"/>
    <w:rsid w:val="008D14D7"/>
    <w:rsid w:val="008D14DB"/>
    <w:rsid w:val="008D1AB1"/>
    <w:rsid w:val="008D1E0B"/>
    <w:rsid w:val="008D1F4A"/>
    <w:rsid w:val="008D2885"/>
    <w:rsid w:val="008D67B7"/>
    <w:rsid w:val="008D7B1C"/>
    <w:rsid w:val="008E01FD"/>
    <w:rsid w:val="008F18B0"/>
    <w:rsid w:val="008F2E4A"/>
    <w:rsid w:val="008F3B94"/>
    <w:rsid w:val="008F416A"/>
    <w:rsid w:val="008F4CE0"/>
    <w:rsid w:val="008F4EF6"/>
    <w:rsid w:val="008F6CA0"/>
    <w:rsid w:val="0090269E"/>
    <w:rsid w:val="00902F0B"/>
    <w:rsid w:val="00903A05"/>
    <w:rsid w:val="00905480"/>
    <w:rsid w:val="00914025"/>
    <w:rsid w:val="00915059"/>
    <w:rsid w:val="009156CA"/>
    <w:rsid w:val="009227EC"/>
    <w:rsid w:val="00923C5A"/>
    <w:rsid w:val="00924441"/>
    <w:rsid w:val="00924A55"/>
    <w:rsid w:val="009255C7"/>
    <w:rsid w:val="00932208"/>
    <w:rsid w:val="009340D5"/>
    <w:rsid w:val="009347DC"/>
    <w:rsid w:val="0093539B"/>
    <w:rsid w:val="009444A8"/>
    <w:rsid w:val="00951C9B"/>
    <w:rsid w:val="0095572D"/>
    <w:rsid w:val="00957A7A"/>
    <w:rsid w:val="00962A69"/>
    <w:rsid w:val="009649C1"/>
    <w:rsid w:val="009671DE"/>
    <w:rsid w:val="00967AC9"/>
    <w:rsid w:val="00967D26"/>
    <w:rsid w:val="009732AA"/>
    <w:rsid w:val="009754DB"/>
    <w:rsid w:val="0097639B"/>
    <w:rsid w:val="009773F7"/>
    <w:rsid w:val="00977A42"/>
    <w:rsid w:val="00981B95"/>
    <w:rsid w:val="00981F95"/>
    <w:rsid w:val="009832C9"/>
    <w:rsid w:val="009870C9"/>
    <w:rsid w:val="00987D49"/>
    <w:rsid w:val="0099130E"/>
    <w:rsid w:val="0099172E"/>
    <w:rsid w:val="00992513"/>
    <w:rsid w:val="0099282F"/>
    <w:rsid w:val="0099336E"/>
    <w:rsid w:val="00993F4D"/>
    <w:rsid w:val="009945FB"/>
    <w:rsid w:val="00997EA3"/>
    <w:rsid w:val="009A22A4"/>
    <w:rsid w:val="009A2E87"/>
    <w:rsid w:val="009A339C"/>
    <w:rsid w:val="009B3A67"/>
    <w:rsid w:val="009B44EE"/>
    <w:rsid w:val="009B5E2C"/>
    <w:rsid w:val="009C1D6D"/>
    <w:rsid w:val="009C4738"/>
    <w:rsid w:val="009C4FBA"/>
    <w:rsid w:val="009C5014"/>
    <w:rsid w:val="009D4AEF"/>
    <w:rsid w:val="009D5913"/>
    <w:rsid w:val="009E16DA"/>
    <w:rsid w:val="009E2CFF"/>
    <w:rsid w:val="009E3928"/>
    <w:rsid w:val="009E3B7B"/>
    <w:rsid w:val="009E41D4"/>
    <w:rsid w:val="009E4600"/>
    <w:rsid w:val="009E4E6B"/>
    <w:rsid w:val="009E5050"/>
    <w:rsid w:val="009E63CB"/>
    <w:rsid w:val="009E7D97"/>
    <w:rsid w:val="009F37BA"/>
    <w:rsid w:val="009F78FB"/>
    <w:rsid w:val="009F7C03"/>
    <w:rsid w:val="00A00714"/>
    <w:rsid w:val="00A0667F"/>
    <w:rsid w:val="00A06EC9"/>
    <w:rsid w:val="00A074A6"/>
    <w:rsid w:val="00A075B3"/>
    <w:rsid w:val="00A11371"/>
    <w:rsid w:val="00A12B91"/>
    <w:rsid w:val="00A15F8A"/>
    <w:rsid w:val="00A161DA"/>
    <w:rsid w:val="00A16C4C"/>
    <w:rsid w:val="00A20A97"/>
    <w:rsid w:val="00A20AE8"/>
    <w:rsid w:val="00A2103B"/>
    <w:rsid w:val="00A21B4B"/>
    <w:rsid w:val="00A223EA"/>
    <w:rsid w:val="00A3143B"/>
    <w:rsid w:val="00A317D9"/>
    <w:rsid w:val="00A32CCE"/>
    <w:rsid w:val="00A376ED"/>
    <w:rsid w:val="00A424B2"/>
    <w:rsid w:val="00A500C1"/>
    <w:rsid w:val="00A512CF"/>
    <w:rsid w:val="00A5142C"/>
    <w:rsid w:val="00A52520"/>
    <w:rsid w:val="00A55134"/>
    <w:rsid w:val="00A56B86"/>
    <w:rsid w:val="00A6024F"/>
    <w:rsid w:val="00A638C7"/>
    <w:rsid w:val="00A6391C"/>
    <w:rsid w:val="00A63BF5"/>
    <w:rsid w:val="00A63E5A"/>
    <w:rsid w:val="00A65127"/>
    <w:rsid w:val="00A6657C"/>
    <w:rsid w:val="00A67AB5"/>
    <w:rsid w:val="00A71D82"/>
    <w:rsid w:val="00A73CBC"/>
    <w:rsid w:val="00A808A4"/>
    <w:rsid w:val="00A81E38"/>
    <w:rsid w:val="00A82D38"/>
    <w:rsid w:val="00A8425F"/>
    <w:rsid w:val="00A84944"/>
    <w:rsid w:val="00A84A55"/>
    <w:rsid w:val="00A86FBC"/>
    <w:rsid w:val="00A902FA"/>
    <w:rsid w:val="00A91B40"/>
    <w:rsid w:val="00A91DC2"/>
    <w:rsid w:val="00A93E7D"/>
    <w:rsid w:val="00A964FB"/>
    <w:rsid w:val="00A97360"/>
    <w:rsid w:val="00AA1123"/>
    <w:rsid w:val="00AA30F6"/>
    <w:rsid w:val="00AA6018"/>
    <w:rsid w:val="00AB479B"/>
    <w:rsid w:val="00AB6A46"/>
    <w:rsid w:val="00AB6B49"/>
    <w:rsid w:val="00AC0662"/>
    <w:rsid w:val="00AC316D"/>
    <w:rsid w:val="00AC3C93"/>
    <w:rsid w:val="00AC5BB3"/>
    <w:rsid w:val="00AC5D5B"/>
    <w:rsid w:val="00AC5EC2"/>
    <w:rsid w:val="00AC6371"/>
    <w:rsid w:val="00AC71E0"/>
    <w:rsid w:val="00AC7406"/>
    <w:rsid w:val="00AD0B08"/>
    <w:rsid w:val="00AD0D56"/>
    <w:rsid w:val="00AD2C99"/>
    <w:rsid w:val="00AE1B7B"/>
    <w:rsid w:val="00AE3D3D"/>
    <w:rsid w:val="00AE5E9F"/>
    <w:rsid w:val="00AE6B99"/>
    <w:rsid w:val="00AE6D05"/>
    <w:rsid w:val="00AF0AED"/>
    <w:rsid w:val="00AF16AB"/>
    <w:rsid w:val="00AF2213"/>
    <w:rsid w:val="00AF22AE"/>
    <w:rsid w:val="00B018CC"/>
    <w:rsid w:val="00B02FD3"/>
    <w:rsid w:val="00B04594"/>
    <w:rsid w:val="00B053D1"/>
    <w:rsid w:val="00B1057C"/>
    <w:rsid w:val="00B10D59"/>
    <w:rsid w:val="00B11BDA"/>
    <w:rsid w:val="00B12AD6"/>
    <w:rsid w:val="00B15D9D"/>
    <w:rsid w:val="00B21415"/>
    <w:rsid w:val="00B22E83"/>
    <w:rsid w:val="00B242D9"/>
    <w:rsid w:val="00B32CD8"/>
    <w:rsid w:val="00B334AE"/>
    <w:rsid w:val="00B3395A"/>
    <w:rsid w:val="00B36C6F"/>
    <w:rsid w:val="00B3743F"/>
    <w:rsid w:val="00B3750B"/>
    <w:rsid w:val="00B40023"/>
    <w:rsid w:val="00B40A5C"/>
    <w:rsid w:val="00B450C2"/>
    <w:rsid w:val="00B46D03"/>
    <w:rsid w:val="00B50854"/>
    <w:rsid w:val="00B511B6"/>
    <w:rsid w:val="00B516DD"/>
    <w:rsid w:val="00B529FA"/>
    <w:rsid w:val="00B52EA2"/>
    <w:rsid w:val="00B555CD"/>
    <w:rsid w:val="00B55E03"/>
    <w:rsid w:val="00B607B7"/>
    <w:rsid w:val="00B63B30"/>
    <w:rsid w:val="00B63CE6"/>
    <w:rsid w:val="00B65582"/>
    <w:rsid w:val="00B666A0"/>
    <w:rsid w:val="00B70394"/>
    <w:rsid w:val="00B72D64"/>
    <w:rsid w:val="00B7320E"/>
    <w:rsid w:val="00B74A2D"/>
    <w:rsid w:val="00B752A0"/>
    <w:rsid w:val="00B80E25"/>
    <w:rsid w:val="00B83527"/>
    <w:rsid w:val="00B84EF8"/>
    <w:rsid w:val="00B9319A"/>
    <w:rsid w:val="00B959A4"/>
    <w:rsid w:val="00B96696"/>
    <w:rsid w:val="00B96D3D"/>
    <w:rsid w:val="00BA5EB6"/>
    <w:rsid w:val="00BA606A"/>
    <w:rsid w:val="00BA72CC"/>
    <w:rsid w:val="00BA74A1"/>
    <w:rsid w:val="00BA761D"/>
    <w:rsid w:val="00BB4AE3"/>
    <w:rsid w:val="00BB5A3B"/>
    <w:rsid w:val="00BB6E02"/>
    <w:rsid w:val="00BC0737"/>
    <w:rsid w:val="00BC3E24"/>
    <w:rsid w:val="00BC5846"/>
    <w:rsid w:val="00BC5B58"/>
    <w:rsid w:val="00BC7219"/>
    <w:rsid w:val="00BD16E2"/>
    <w:rsid w:val="00BD16EA"/>
    <w:rsid w:val="00BD3491"/>
    <w:rsid w:val="00BD4019"/>
    <w:rsid w:val="00BE0A83"/>
    <w:rsid w:val="00BE22E7"/>
    <w:rsid w:val="00BE440D"/>
    <w:rsid w:val="00BE4E3E"/>
    <w:rsid w:val="00BF1A5B"/>
    <w:rsid w:val="00BF1A8E"/>
    <w:rsid w:val="00BF4FB7"/>
    <w:rsid w:val="00BF6678"/>
    <w:rsid w:val="00C0136C"/>
    <w:rsid w:val="00C03671"/>
    <w:rsid w:val="00C041E5"/>
    <w:rsid w:val="00C046FB"/>
    <w:rsid w:val="00C04F93"/>
    <w:rsid w:val="00C055FC"/>
    <w:rsid w:val="00C059BA"/>
    <w:rsid w:val="00C1055D"/>
    <w:rsid w:val="00C129CB"/>
    <w:rsid w:val="00C205C5"/>
    <w:rsid w:val="00C20A3B"/>
    <w:rsid w:val="00C217CE"/>
    <w:rsid w:val="00C318B4"/>
    <w:rsid w:val="00C3205E"/>
    <w:rsid w:val="00C341BD"/>
    <w:rsid w:val="00C37EF2"/>
    <w:rsid w:val="00C40835"/>
    <w:rsid w:val="00C41C6D"/>
    <w:rsid w:val="00C439AC"/>
    <w:rsid w:val="00C47603"/>
    <w:rsid w:val="00C47B6F"/>
    <w:rsid w:val="00C50ABB"/>
    <w:rsid w:val="00C50B4E"/>
    <w:rsid w:val="00C524C2"/>
    <w:rsid w:val="00C54810"/>
    <w:rsid w:val="00C5587E"/>
    <w:rsid w:val="00C56313"/>
    <w:rsid w:val="00C563B9"/>
    <w:rsid w:val="00C56CA8"/>
    <w:rsid w:val="00C5780C"/>
    <w:rsid w:val="00C57EE1"/>
    <w:rsid w:val="00C611D6"/>
    <w:rsid w:val="00C63501"/>
    <w:rsid w:val="00C635F3"/>
    <w:rsid w:val="00C6492F"/>
    <w:rsid w:val="00C670AB"/>
    <w:rsid w:val="00C72F2C"/>
    <w:rsid w:val="00C73398"/>
    <w:rsid w:val="00C74AF2"/>
    <w:rsid w:val="00C74F01"/>
    <w:rsid w:val="00C74F06"/>
    <w:rsid w:val="00C7569B"/>
    <w:rsid w:val="00C7714B"/>
    <w:rsid w:val="00C774D5"/>
    <w:rsid w:val="00C827AC"/>
    <w:rsid w:val="00C83BB2"/>
    <w:rsid w:val="00C86A5F"/>
    <w:rsid w:val="00C870CD"/>
    <w:rsid w:val="00C87405"/>
    <w:rsid w:val="00C878D1"/>
    <w:rsid w:val="00C904A1"/>
    <w:rsid w:val="00C92689"/>
    <w:rsid w:val="00C96B8D"/>
    <w:rsid w:val="00CA2E4F"/>
    <w:rsid w:val="00CA318F"/>
    <w:rsid w:val="00CA72AD"/>
    <w:rsid w:val="00CB1025"/>
    <w:rsid w:val="00CB3605"/>
    <w:rsid w:val="00CC5196"/>
    <w:rsid w:val="00CC62AC"/>
    <w:rsid w:val="00CC7662"/>
    <w:rsid w:val="00CD13C1"/>
    <w:rsid w:val="00CD2645"/>
    <w:rsid w:val="00CD274F"/>
    <w:rsid w:val="00CD3A41"/>
    <w:rsid w:val="00CD3B29"/>
    <w:rsid w:val="00CE2F08"/>
    <w:rsid w:val="00CE680B"/>
    <w:rsid w:val="00CE7050"/>
    <w:rsid w:val="00CF2D2A"/>
    <w:rsid w:val="00CF4179"/>
    <w:rsid w:val="00D00581"/>
    <w:rsid w:val="00D00BDF"/>
    <w:rsid w:val="00D010C2"/>
    <w:rsid w:val="00D015FD"/>
    <w:rsid w:val="00D02369"/>
    <w:rsid w:val="00D03168"/>
    <w:rsid w:val="00D03595"/>
    <w:rsid w:val="00D076D4"/>
    <w:rsid w:val="00D10414"/>
    <w:rsid w:val="00D122E3"/>
    <w:rsid w:val="00D1505A"/>
    <w:rsid w:val="00D16C96"/>
    <w:rsid w:val="00D21CB3"/>
    <w:rsid w:val="00D2206E"/>
    <w:rsid w:val="00D22324"/>
    <w:rsid w:val="00D22D45"/>
    <w:rsid w:val="00D263B5"/>
    <w:rsid w:val="00D30BD6"/>
    <w:rsid w:val="00D34A5D"/>
    <w:rsid w:val="00D35BEA"/>
    <w:rsid w:val="00D41D26"/>
    <w:rsid w:val="00D4254B"/>
    <w:rsid w:val="00D43451"/>
    <w:rsid w:val="00D4426E"/>
    <w:rsid w:val="00D47448"/>
    <w:rsid w:val="00D50BD6"/>
    <w:rsid w:val="00D52A07"/>
    <w:rsid w:val="00D53EC3"/>
    <w:rsid w:val="00D54EA8"/>
    <w:rsid w:val="00D55D9F"/>
    <w:rsid w:val="00D56AD7"/>
    <w:rsid w:val="00D575BC"/>
    <w:rsid w:val="00D57ED6"/>
    <w:rsid w:val="00D60B9C"/>
    <w:rsid w:val="00D64587"/>
    <w:rsid w:val="00D649BD"/>
    <w:rsid w:val="00D7259D"/>
    <w:rsid w:val="00D74367"/>
    <w:rsid w:val="00D7574C"/>
    <w:rsid w:val="00D76981"/>
    <w:rsid w:val="00D82230"/>
    <w:rsid w:val="00D82F42"/>
    <w:rsid w:val="00D83CE7"/>
    <w:rsid w:val="00D90298"/>
    <w:rsid w:val="00D914C3"/>
    <w:rsid w:val="00D91991"/>
    <w:rsid w:val="00D949F9"/>
    <w:rsid w:val="00D96A61"/>
    <w:rsid w:val="00D97A58"/>
    <w:rsid w:val="00DA24A2"/>
    <w:rsid w:val="00DA30FF"/>
    <w:rsid w:val="00DA339A"/>
    <w:rsid w:val="00DA36CC"/>
    <w:rsid w:val="00DB0984"/>
    <w:rsid w:val="00DB19FC"/>
    <w:rsid w:val="00DB2253"/>
    <w:rsid w:val="00DB4122"/>
    <w:rsid w:val="00DC4473"/>
    <w:rsid w:val="00DC4D3C"/>
    <w:rsid w:val="00DC7ED8"/>
    <w:rsid w:val="00DE054C"/>
    <w:rsid w:val="00DE0981"/>
    <w:rsid w:val="00DE1D9A"/>
    <w:rsid w:val="00DF5BA7"/>
    <w:rsid w:val="00E00B5A"/>
    <w:rsid w:val="00E0347E"/>
    <w:rsid w:val="00E0754D"/>
    <w:rsid w:val="00E10DC1"/>
    <w:rsid w:val="00E12296"/>
    <w:rsid w:val="00E13E52"/>
    <w:rsid w:val="00E1413D"/>
    <w:rsid w:val="00E14C72"/>
    <w:rsid w:val="00E151D2"/>
    <w:rsid w:val="00E169AE"/>
    <w:rsid w:val="00E17131"/>
    <w:rsid w:val="00E20680"/>
    <w:rsid w:val="00E219E9"/>
    <w:rsid w:val="00E21B60"/>
    <w:rsid w:val="00E2354B"/>
    <w:rsid w:val="00E24A5A"/>
    <w:rsid w:val="00E2662B"/>
    <w:rsid w:val="00E275C6"/>
    <w:rsid w:val="00E3140B"/>
    <w:rsid w:val="00E3258A"/>
    <w:rsid w:val="00E33F01"/>
    <w:rsid w:val="00E343C2"/>
    <w:rsid w:val="00E34F74"/>
    <w:rsid w:val="00E37755"/>
    <w:rsid w:val="00E37BF2"/>
    <w:rsid w:val="00E40584"/>
    <w:rsid w:val="00E407C9"/>
    <w:rsid w:val="00E507E7"/>
    <w:rsid w:val="00E52129"/>
    <w:rsid w:val="00E52ABC"/>
    <w:rsid w:val="00E52C4F"/>
    <w:rsid w:val="00E5633F"/>
    <w:rsid w:val="00E60BAB"/>
    <w:rsid w:val="00E60BBF"/>
    <w:rsid w:val="00E610E9"/>
    <w:rsid w:val="00E65105"/>
    <w:rsid w:val="00E66DB3"/>
    <w:rsid w:val="00E6749B"/>
    <w:rsid w:val="00E67E09"/>
    <w:rsid w:val="00E7477F"/>
    <w:rsid w:val="00E748FC"/>
    <w:rsid w:val="00E763CF"/>
    <w:rsid w:val="00E8194F"/>
    <w:rsid w:val="00E81F0A"/>
    <w:rsid w:val="00E83E07"/>
    <w:rsid w:val="00E83F0A"/>
    <w:rsid w:val="00E8478E"/>
    <w:rsid w:val="00E8634C"/>
    <w:rsid w:val="00E9077D"/>
    <w:rsid w:val="00E97D68"/>
    <w:rsid w:val="00EA0856"/>
    <w:rsid w:val="00EA63A1"/>
    <w:rsid w:val="00EA6722"/>
    <w:rsid w:val="00EA7842"/>
    <w:rsid w:val="00EB19B1"/>
    <w:rsid w:val="00EB4F03"/>
    <w:rsid w:val="00EB65A2"/>
    <w:rsid w:val="00EB7070"/>
    <w:rsid w:val="00EC071E"/>
    <w:rsid w:val="00EC1C96"/>
    <w:rsid w:val="00EC4526"/>
    <w:rsid w:val="00ED2A08"/>
    <w:rsid w:val="00EE339D"/>
    <w:rsid w:val="00EE64F8"/>
    <w:rsid w:val="00EE67E3"/>
    <w:rsid w:val="00EF00AA"/>
    <w:rsid w:val="00EF3A5F"/>
    <w:rsid w:val="00EF67F7"/>
    <w:rsid w:val="00EF6BFD"/>
    <w:rsid w:val="00EF7515"/>
    <w:rsid w:val="00F00241"/>
    <w:rsid w:val="00F006DE"/>
    <w:rsid w:val="00F03269"/>
    <w:rsid w:val="00F076DB"/>
    <w:rsid w:val="00F1174D"/>
    <w:rsid w:val="00F12224"/>
    <w:rsid w:val="00F12698"/>
    <w:rsid w:val="00F12DDA"/>
    <w:rsid w:val="00F13F9F"/>
    <w:rsid w:val="00F15C59"/>
    <w:rsid w:val="00F16A7C"/>
    <w:rsid w:val="00F16BAE"/>
    <w:rsid w:val="00F16D09"/>
    <w:rsid w:val="00F2057C"/>
    <w:rsid w:val="00F20ACF"/>
    <w:rsid w:val="00F20CC6"/>
    <w:rsid w:val="00F23FA8"/>
    <w:rsid w:val="00F24BCA"/>
    <w:rsid w:val="00F27777"/>
    <w:rsid w:val="00F32341"/>
    <w:rsid w:val="00F33441"/>
    <w:rsid w:val="00F34612"/>
    <w:rsid w:val="00F40228"/>
    <w:rsid w:val="00F40F79"/>
    <w:rsid w:val="00F41131"/>
    <w:rsid w:val="00F413AC"/>
    <w:rsid w:val="00F43157"/>
    <w:rsid w:val="00F47D02"/>
    <w:rsid w:val="00F50C58"/>
    <w:rsid w:val="00F50DA3"/>
    <w:rsid w:val="00F52916"/>
    <w:rsid w:val="00F5355C"/>
    <w:rsid w:val="00F543AC"/>
    <w:rsid w:val="00F54BB8"/>
    <w:rsid w:val="00F55C83"/>
    <w:rsid w:val="00F56A48"/>
    <w:rsid w:val="00F620E3"/>
    <w:rsid w:val="00F62CA4"/>
    <w:rsid w:val="00F70142"/>
    <w:rsid w:val="00F709B4"/>
    <w:rsid w:val="00F70AB3"/>
    <w:rsid w:val="00F70DD9"/>
    <w:rsid w:val="00F734D4"/>
    <w:rsid w:val="00F75855"/>
    <w:rsid w:val="00F75AA8"/>
    <w:rsid w:val="00F768C6"/>
    <w:rsid w:val="00F7771B"/>
    <w:rsid w:val="00F82ED4"/>
    <w:rsid w:val="00F8331B"/>
    <w:rsid w:val="00F86D96"/>
    <w:rsid w:val="00F912CE"/>
    <w:rsid w:val="00F92E41"/>
    <w:rsid w:val="00F945BC"/>
    <w:rsid w:val="00F95111"/>
    <w:rsid w:val="00F96481"/>
    <w:rsid w:val="00F9769F"/>
    <w:rsid w:val="00FA2941"/>
    <w:rsid w:val="00FB0B51"/>
    <w:rsid w:val="00FB0ECB"/>
    <w:rsid w:val="00FB25D3"/>
    <w:rsid w:val="00FB29EB"/>
    <w:rsid w:val="00FB582C"/>
    <w:rsid w:val="00FB7194"/>
    <w:rsid w:val="00FC085A"/>
    <w:rsid w:val="00FC08C1"/>
    <w:rsid w:val="00FC2743"/>
    <w:rsid w:val="00FC2AD7"/>
    <w:rsid w:val="00FC5EAA"/>
    <w:rsid w:val="00FC75B4"/>
    <w:rsid w:val="00FD2127"/>
    <w:rsid w:val="00FD2CCA"/>
    <w:rsid w:val="00FD359A"/>
    <w:rsid w:val="00FD490F"/>
    <w:rsid w:val="00FD5295"/>
    <w:rsid w:val="00FD54FD"/>
    <w:rsid w:val="00FD5ACA"/>
    <w:rsid w:val="00FD69A5"/>
    <w:rsid w:val="00FD7691"/>
    <w:rsid w:val="00FE3944"/>
    <w:rsid w:val="00FE4DE0"/>
    <w:rsid w:val="00FF3BBE"/>
    <w:rsid w:val="00FF4DC3"/>
    <w:rsid w:val="00FF4E8A"/>
    <w:rsid w:val="00FF58EF"/>
    <w:rsid w:val="00FF74EE"/>
    <w:rsid w:val="00FF7BD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1A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06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34263"/>
    <w:pPr>
      <w:spacing w:before="100" w:beforeAutospacing="1" w:after="100" w:afterAutospacing="1"/>
    </w:pPr>
    <w:rPr>
      <w:rFonts w:ascii="Times New Roman" w:hAnsi="Times New Roman" w:cs="Times New Roman"/>
      <w:lang w:eastAsia="ru-RU"/>
    </w:rPr>
  </w:style>
  <w:style w:type="paragraph" w:styleId="a4">
    <w:name w:val="List Paragraph"/>
    <w:basedOn w:val="a"/>
    <w:uiPriority w:val="34"/>
    <w:qFormat/>
    <w:rsid w:val="00C563B9"/>
    <w:pPr>
      <w:ind w:left="720"/>
      <w:contextualSpacing/>
    </w:pPr>
  </w:style>
  <w:style w:type="character" w:styleId="a5">
    <w:name w:val="Strong"/>
    <w:basedOn w:val="a0"/>
    <w:uiPriority w:val="22"/>
    <w:qFormat/>
    <w:rsid w:val="00892258"/>
    <w:rPr>
      <w:b/>
      <w:bCs/>
    </w:rPr>
  </w:style>
  <w:style w:type="character" w:customStyle="1" w:styleId="apple-converted-space">
    <w:name w:val="apple-converted-space"/>
    <w:basedOn w:val="a0"/>
    <w:rsid w:val="00892258"/>
  </w:style>
  <w:style w:type="character" w:styleId="a6">
    <w:name w:val="Emphasis"/>
    <w:basedOn w:val="a0"/>
    <w:uiPriority w:val="20"/>
    <w:qFormat/>
    <w:rsid w:val="008D1F4A"/>
    <w:rPr>
      <w:i/>
      <w:iCs/>
    </w:rPr>
  </w:style>
  <w:style w:type="paragraph" w:styleId="a7">
    <w:name w:val="footnote text"/>
    <w:basedOn w:val="a"/>
    <w:link w:val="a8"/>
    <w:uiPriority w:val="99"/>
    <w:unhideWhenUsed/>
    <w:rsid w:val="002627E2"/>
  </w:style>
  <w:style w:type="character" w:customStyle="1" w:styleId="a8">
    <w:name w:val="Текст сноски Знак"/>
    <w:basedOn w:val="a0"/>
    <w:link w:val="a7"/>
    <w:uiPriority w:val="99"/>
    <w:rsid w:val="002627E2"/>
  </w:style>
  <w:style w:type="character" w:styleId="a9">
    <w:name w:val="footnote reference"/>
    <w:basedOn w:val="a0"/>
    <w:uiPriority w:val="99"/>
    <w:unhideWhenUsed/>
    <w:rsid w:val="002627E2"/>
    <w:rPr>
      <w:vertAlign w:val="superscript"/>
    </w:rPr>
  </w:style>
  <w:style w:type="character" w:styleId="aa">
    <w:name w:val="Hyperlink"/>
    <w:basedOn w:val="a0"/>
    <w:uiPriority w:val="99"/>
    <w:unhideWhenUsed/>
    <w:rsid w:val="00C03671"/>
    <w:rPr>
      <w:color w:val="0563C1" w:themeColor="hyperlink"/>
      <w:u w:val="single"/>
    </w:rPr>
  </w:style>
  <w:style w:type="table" w:styleId="ab">
    <w:name w:val="Table Grid"/>
    <w:basedOn w:val="a1"/>
    <w:uiPriority w:val="39"/>
    <w:rsid w:val="000D5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8F3B94"/>
    <w:pPr>
      <w:tabs>
        <w:tab w:val="center" w:pos="4677"/>
        <w:tab w:val="right" w:pos="9355"/>
      </w:tabs>
    </w:pPr>
  </w:style>
  <w:style w:type="character" w:customStyle="1" w:styleId="ad">
    <w:name w:val="Нижний колонтитул Знак"/>
    <w:basedOn w:val="a0"/>
    <w:link w:val="ac"/>
    <w:uiPriority w:val="99"/>
    <w:rsid w:val="008F3B94"/>
  </w:style>
  <w:style w:type="character" w:styleId="ae">
    <w:name w:val="page number"/>
    <w:basedOn w:val="a0"/>
    <w:uiPriority w:val="99"/>
    <w:semiHidden/>
    <w:unhideWhenUsed/>
    <w:rsid w:val="008F3B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76752">
      <w:bodyDiv w:val="1"/>
      <w:marLeft w:val="0"/>
      <w:marRight w:val="0"/>
      <w:marTop w:val="0"/>
      <w:marBottom w:val="0"/>
      <w:divBdr>
        <w:top w:val="none" w:sz="0" w:space="0" w:color="auto"/>
        <w:left w:val="none" w:sz="0" w:space="0" w:color="auto"/>
        <w:bottom w:val="none" w:sz="0" w:space="0" w:color="auto"/>
        <w:right w:val="none" w:sz="0" w:space="0" w:color="auto"/>
      </w:divBdr>
    </w:div>
    <w:div w:id="61493495">
      <w:bodyDiv w:val="1"/>
      <w:marLeft w:val="0"/>
      <w:marRight w:val="0"/>
      <w:marTop w:val="0"/>
      <w:marBottom w:val="0"/>
      <w:divBdr>
        <w:top w:val="none" w:sz="0" w:space="0" w:color="auto"/>
        <w:left w:val="none" w:sz="0" w:space="0" w:color="auto"/>
        <w:bottom w:val="none" w:sz="0" w:space="0" w:color="auto"/>
        <w:right w:val="none" w:sz="0" w:space="0" w:color="auto"/>
      </w:divBdr>
      <w:divsChild>
        <w:div w:id="891579993">
          <w:marLeft w:val="0"/>
          <w:marRight w:val="0"/>
          <w:marTop w:val="0"/>
          <w:marBottom w:val="0"/>
          <w:divBdr>
            <w:top w:val="none" w:sz="0" w:space="0" w:color="auto"/>
            <w:left w:val="none" w:sz="0" w:space="0" w:color="auto"/>
            <w:bottom w:val="none" w:sz="0" w:space="0" w:color="auto"/>
            <w:right w:val="none" w:sz="0" w:space="0" w:color="auto"/>
          </w:divBdr>
          <w:divsChild>
            <w:div w:id="109402183">
              <w:marLeft w:val="0"/>
              <w:marRight w:val="0"/>
              <w:marTop w:val="0"/>
              <w:marBottom w:val="0"/>
              <w:divBdr>
                <w:top w:val="none" w:sz="0" w:space="0" w:color="auto"/>
                <w:left w:val="none" w:sz="0" w:space="0" w:color="auto"/>
                <w:bottom w:val="none" w:sz="0" w:space="0" w:color="auto"/>
                <w:right w:val="none" w:sz="0" w:space="0" w:color="auto"/>
              </w:divBdr>
              <w:divsChild>
                <w:div w:id="106950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89740">
      <w:bodyDiv w:val="1"/>
      <w:marLeft w:val="0"/>
      <w:marRight w:val="0"/>
      <w:marTop w:val="0"/>
      <w:marBottom w:val="0"/>
      <w:divBdr>
        <w:top w:val="none" w:sz="0" w:space="0" w:color="auto"/>
        <w:left w:val="none" w:sz="0" w:space="0" w:color="auto"/>
        <w:bottom w:val="none" w:sz="0" w:space="0" w:color="auto"/>
        <w:right w:val="none" w:sz="0" w:space="0" w:color="auto"/>
      </w:divBdr>
    </w:div>
    <w:div w:id="144246445">
      <w:bodyDiv w:val="1"/>
      <w:marLeft w:val="0"/>
      <w:marRight w:val="0"/>
      <w:marTop w:val="0"/>
      <w:marBottom w:val="0"/>
      <w:divBdr>
        <w:top w:val="none" w:sz="0" w:space="0" w:color="auto"/>
        <w:left w:val="none" w:sz="0" w:space="0" w:color="auto"/>
        <w:bottom w:val="none" w:sz="0" w:space="0" w:color="auto"/>
        <w:right w:val="none" w:sz="0" w:space="0" w:color="auto"/>
      </w:divBdr>
    </w:div>
    <w:div w:id="202595410">
      <w:bodyDiv w:val="1"/>
      <w:marLeft w:val="0"/>
      <w:marRight w:val="0"/>
      <w:marTop w:val="0"/>
      <w:marBottom w:val="0"/>
      <w:divBdr>
        <w:top w:val="none" w:sz="0" w:space="0" w:color="auto"/>
        <w:left w:val="none" w:sz="0" w:space="0" w:color="auto"/>
        <w:bottom w:val="none" w:sz="0" w:space="0" w:color="auto"/>
        <w:right w:val="none" w:sz="0" w:space="0" w:color="auto"/>
      </w:divBdr>
      <w:divsChild>
        <w:div w:id="965619225">
          <w:marLeft w:val="0"/>
          <w:marRight w:val="0"/>
          <w:marTop w:val="0"/>
          <w:marBottom w:val="0"/>
          <w:divBdr>
            <w:top w:val="none" w:sz="0" w:space="0" w:color="auto"/>
            <w:left w:val="none" w:sz="0" w:space="0" w:color="auto"/>
            <w:bottom w:val="none" w:sz="0" w:space="0" w:color="auto"/>
            <w:right w:val="none" w:sz="0" w:space="0" w:color="auto"/>
          </w:divBdr>
          <w:divsChild>
            <w:div w:id="502168379">
              <w:marLeft w:val="0"/>
              <w:marRight w:val="0"/>
              <w:marTop w:val="0"/>
              <w:marBottom w:val="0"/>
              <w:divBdr>
                <w:top w:val="none" w:sz="0" w:space="0" w:color="auto"/>
                <w:left w:val="none" w:sz="0" w:space="0" w:color="auto"/>
                <w:bottom w:val="none" w:sz="0" w:space="0" w:color="auto"/>
                <w:right w:val="none" w:sz="0" w:space="0" w:color="auto"/>
              </w:divBdr>
              <w:divsChild>
                <w:div w:id="17786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750827">
      <w:bodyDiv w:val="1"/>
      <w:marLeft w:val="0"/>
      <w:marRight w:val="0"/>
      <w:marTop w:val="0"/>
      <w:marBottom w:val="0"/>
      <w:divBdr>
        <w:top w:val="none" w:sz="0" w:space="0" w:color="auto"/>
        <w:left w:val="none" w:sz="0" w:space="0" w:color="auto"/>
        <w:bottom w:val="none" w:sz="0" w:space="0" w:color="auto"/>
        <w:right w:val="none" w:sz="0" w:space="0" w:color="auto"/>
      </w:divBdr>
      <w:divsChild>
        <w:div w:id="1436317361">
          <w:marLeft w:val="0"/>
          <w:marRight w:val="0"/>
          <w:marTop w:val="0"/>
          <w:marBottom w:val="0"/>
          <w:divBdr>
            <w:top w:val="none" w:sz="0" w:space="0" w:color="auto"/>
            <w:left w:val="none" w:sz="0" w:space="0" w:color="auto"/>
            <w:bottom w:val="none" w:sz="0" w:space="0" w:color="auto"/>
            <w:right w:val="none" w:sz="0" w:space="0" w:color="auto"/>
          </w:divBdr>
          <w:divsChild>
            <w:div w:id="131990290">
              <w:marLeft w:val="0"/>
              <w:marRight w:val="0"/>
              <w:marTop w:val="0"/>
              <w:marBottom w:val="0"/>
              <w:divBdr>
                <w:top w:val="none" w:sz="0" w:space="0" w:color="auto"/>
                <w:left w:val="none" w:sz="0" w:space="0" w:color="auto"/>
                <w:bottom w:val="none" w:sz="0" w:space="0" w:color="auto"/>
                <w:right w:val="none" w:sz="0" w:space="0" w:color="auto"/>
              </w:divBdr>
              <w:divsChild>
                <w:div w:id="173893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439540">
      <w:bodyDiv w:val="1"/>
      <w:marLeft w:val="0"/>
      <w:marRight w:val="0"/>
      <w:marTop w:val="0"/>
      <w:marBottom w:val="0"/>
      <w:divBdr>
        <w:top w:val="none" w:sz="0" w:space="0" w:color="auto"/>
        <w:left w:val="none" w:sz="0" w:space="0" w:color="auto"/>
        <w:bottom w:val="none" w:sz="0" w:space="0" w:color="auto"/>
        <w:right w:val="none" w:sz="0" w:space="0" w:color="auto"/>
      </w:divBdr>
    </w:div>
    <w:div w:id="426536542">
      <w:bodyDiv w:val="1"/>
      <w:marLeft w:val="0"/>
      <w:marRight w:val="0"/>
      <w:marTop w:val="0"/>
      <w:marBottom w:val="0"/>
      <w:divBdr>
        <w:top w:val="none" w:sz="0" w:space="0" w:color="auto"/>
        <w:left w:val="none" w:sz="0" w:space="0" w:color="auto"/>
        <w:bottom w:val="none" w:sz="0" w:space="0" w:color="auto"/>
        <w:right w:val="none" w:sz="0" w:space="0" w:color="auto"/>
      </w:divBdr>
      <w:divsChild>
        <w:div w:id="134227718">
          <w:marLeft w:val="0"/>
          <w:marRight w:val="0"/>
          <w:marTop w:val="0"/>
          <w:marBottom w:val="0"/>
          <w:divBdr>
            <w:top w:val="none" w:sz="0" w:space="0" w:color="auto"/>
            <w:left w:val="none" w:sz="0" w:space="0" w:color="auto"/>
            <w:bottom w:val="none" w:sz="0" w:space="0" w:color="auto"/>
            <w:right w:val="none" w:sz="0" w:space="0" w:color="auto"/>
          </w:divBdr>
          <w:divsChild>
            <w:div w:id="2087729973">
              <w:marLeft w:val="0"/>
              <w:marRight w:val="0"/>
              <w:marTop w:val="0"/>
              <w:marBottom w:val="0"/>
              <w:divBdr>
                <w:top w:val="none" w:sz="0" w:space="0" w:color="auto"/>
                <w:left w:val="none" w:sz="0" w:space="0" w:color="auto"/>
                <w:bottom w:val="none" w:sz="0" w:space="0" w:color="auto"/>
                <w:right w:val="none" w:sz="0" w:space="0" w:color="auto"/>
              </w:divBdr>
              <w:divsChild>
                <w:div w:id="18472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7827">
      <w:bodyDiv w:val="1"/>
      <w:marLeft w:val="0"/>
      <w:marRight w:val="0"/>
      <w:marTop w:val="0"/>
      <w:marBottom w:val="0"/>
      <w:divBdr>
        <w:top w:val="none" w:sz="0" w:space="0" w:color="auto"/>
        <w:left w:val="none" w:sz="0" w:space="0" w:color="auto"/>
        <w:bottom w:val="none" w:sz="0" w:space="0" w:color="auto"/>
        <w:right w:val="none" w:sz="0" w:space="0" w:color="auto"/>
      </w:divBdr>
      <w:divsChild>
        <w:div w:id="2144300801">
          <w:marLeft w:val="0"/>
          <w:marRight w:val="0"/>
          <w:marTop w:val="0"/>
          <w:marBottom w:val="0"/>
          <w:divBdr>
            <w:top w:val="none" w:sz="0" w:space="0" w:color="auto"/>
            <w:left w:val="none" w:sz="0" w:space="0" w:color="auto"/>
            <w:bottom w:val="none" w:sz="0" w:space="0" w:color="auto"/>
            <w:right w:val="none" w:sz="0" w:space="0" w:color="auto"/>
          </w:divBdr>
          <w:divsChild>
            <w:div w:id="618075401">
              <w:marLeft w:val="0"/>
              <w:marRight w:val="0"/>
              <w:marTop w:val="0"/>
              <w:marBottom w:val="0"/>
              <w:divBdr>
                <w:top w:val="none" w:sz="0" w:space="0" w:color="auto"/>
                <w:left w:val="none" w:sz="0" w:space="0" w:color="auto"/>
                <w:bottom w:val="none" w:sz="0" w:space="0" w:color="auto"/>
                <w:right w:val="none" w:sz="0" w:space="0" w:color="auto"/>
              </w:divBdr>
              <w:divsChild>
                <w:div w:id="1632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15282">
      <w:bodyDiv w:val="1"/>
      <w:marLeft w:val="0"/>
      <w:marRight w:val="0"/>
      <w:marTop w:val="0"/>
      <w:marBottom w:val="0"/>
      <w:divBdr>
        <w:top w:val="none" w:sz="0" w:space="0" w:color="auto"/>
        <w:left w:val="none" w:sz="0" w:space="0" w:color="auto"/>
        <w:bottom w:val="none" w:sz="0" w:space="0" w:color="auto"/>
        <w:right w:val="none" w:sz="0" w:space="0" w:color="auto"/>
      </w:divBdr>
    </w:div>
    <w:div w:id="637879014">
      <w:bodyDiv w:val="1"/>
      <w:marLeft w:val="0"/>
      <w:marRight w:val="0"/>
      <w:marTop w:val="0"/>
      <w:marBottom w:val="0"/>
      <w:divBdr>
        <w:top w:val="none" w:sz="0" w:space="0" w:color="auto"/>
        <w:left w:val="none" w:sz="0" w:space="0" w:color="auto"/>
        <w:bottom w:val="none" w:sz="0" w:space="0" w:color="auto"/>
        <w:right w:val="none" w:sz="0" w:space="0" w:color="auto"/>
      </w:divBdr>
      <w:divsChild>
        <w:div w:id="244460775">
          <w:marLeft w:val="0"/>
          <w:marRight w:val="0"/>
          <w:marTop w:val="0"/>
          <w:marBottom w:val="0"/>
          <w:divBdr>
            <w:top w:val="none" w:sz="0" w:space="0" w:color="auto"/>
            <w:left w:val="none" w:sz="0" w:space="0" w:color="auto"/>
            <w:bottom w:val="none" w:sz="0" w:space="0" w:color="auto"/>
            <w:right w:val="none" w:sz="0" w:space="0" w:color="auto"/>
          </w:divBdr>
          <w:divsChild>
            <w:div w:id="1924800581">
              <w:marLeft w:val="0"/>
              <w:marRight w:val="0"/>
              <w:marTop w:val="0"/>
              <w:marBottom w:val="0"/>
              <w:divBdr>
                <w:top w:val="none" w:sz="0" w:space="0" w:color="auto"/>
                <w:left w:val="none" w:sz="0" w:space="0" w:color="auto"/>
                <w:bottom w:val="none" w:sz="0" w:space="0" w:color="auto"/>
                <w:right w:val="none" w:sz="0" w:space="0" w:color="auto"/>
              </w:divBdr>
              <w:divsChild>
                <w:div w:id="199125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434811">
      <w:bodyDiv w:val="1"/>
      <w:marLeft w:val="0"/>
      <w:marRight w:val="0"/>
      <w:marTop w:val="0"/>
      <w:marBottom w:val="0"/>
      <w:divBdr>
        <w:top w:val="none" w:sz="0" w:space="0" w:color="auto"/>
        <w:left w:val="none" w:sz="0" w:space="0" w:color="auto"/>
        <w:bottom w:val="none" w:sz="0" w:space="0" w:color="auto"/>
        <w:right w:val="none" w:sz="0" w:space="0" w:color="auto"/>
      </w:divBdr>
      <w:divsChild>
        <w:div w:id="1193298530">
          <w:marLeft w:val="0"/>
          <w:marRight w:val="0"/>
          <w:marTop w:val="0"/>
          <w:marBottom w:val="0"/>
          <w:divBdr>
            <w:top w:val="none" w:sz="0" w:space="0" w:color="auto"/>
            <w:left w:val="none" w:sz="0" w:space="0" w:color="auto"/>
            <w:bottom w:val="none" w:sz="0" w:space="0" w:color="auto"/>
            <w:right w:val="none" w:sz="0" w:space="0" w:color="auto"/>
          </w:divBdr>
          <w:divsChild>
            <w:div w:id="1903906576">
              <w:marLeft w:val="0"/>
              <w:marRight w:val="0"/>
              <w:marTop w:val="0"/>
              <w:marBottom w:val="0"/>
              <w:divBdr>
                <w:top w:val="none" w:sz="0" w:space="0" w:color="auto"/>
                <w:left w:val="none" w:sz="0" w:space="0" w:color="auto"/>
                <w:bottom w:val="none" w:sz="0" w:space="0" w:color="auto"/>
                <w:right w:val="none" w:sz="0" w:space="0" w:color="auto"/>
              </w:divBdr>
              <w:divsChild>
                <w:div w:id="51118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027089">
      <w:bodyDiv w:val="1"/>
      <w:marLeft w:val="0"/>
      <w:marRight w:val="0"/>
      <w:marTop w:val="0"/>
      <w:marBottom w:val="0"/>
      <w:divBdr>
        <w:top w:val="none" w:sz="0" w:space="0" w:color="auto"/>
        <w:left w:val="none" w:sz="0" w:space="0" w:color="auto"/>
        <w:bottom w:val="none" w:sz="0" w:space="0" w:color="auto"/>
        <w:right w:val="none" w:sz="0" w:space="0" w:color="auto"/>
      </w:divBdr>
      <w:divsChild>
        <w:div w:id="1953169419">
          <w:marLeft w:val="0"/>
          <w:marRight w:val="0"/>
          <w:marTop w:val="0"/>
          <w:marBottom w:val="0"/>
          <w:divBdr>
            <w:top w:val="none" w:sz="0" w:space="0" w:color="auto"/>
            <w:left w:val="none" w:sz="0" w:space="0" w:color="auto"/>
            <w:bottom w:val="none" w:sz="0" w:space="0" w:color="auto"/>
            <w:right w:val="none" w:sz="0" w:space="0" w:color="auto"/>
          </w:divBdr>
          <w:divsChild>
            <w:div w:id="343871122">
              <w:marLeft w:val="0"/>
              <w:marRight w:val="0"/>
              <w:marTop w:val="0"/>
              <w:marBottom w:val="0"/>
              <w:divBdr>
                <w:top w:val="none" w:sz="0" w:space="0" w:color="auto"/>
                <w:left w:val="none" w:sz="0" w:space="0" w:color="auto"/>
                <w:bottom w:val="none" w:sz="0" w:space="0" w:color="auto"/>
                <w:right w:val="none" w:sz="0" w:space="0" w:color="auto"/>
              </w:divBdr>
              <w:divsChild>
                <w:div w:id="72394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10156">
      <w:bodyDiv w:val="1"/>
      <w:marLeft w:val="0"/>
      <w:marRight w:val="0"/>
      <w:marTop w:val="0"/>
      <w:marBottom w:val="0"/>
      <w:divBdr>
        <w:top w:val="none" w:sz="0" w:space="0" w:color="auto"/>
        <w:left w:val="none" w:sz="0" w:space="0" w:color="auto"/>
        <w:bottom w:val="none" w:sz="0" w:space="0" w:color="auto"/>
        <w:right w:val="none" w:sz="0" w:space="0" w:color="auto"/>
      </w:divBdr>
    </w:div>
    <w:div w:id="768040536">
      <w:bodyDiv w:val="1"/>
      <w:marLeft w:val="0"/>
      <w:marRight w:val="0"/>
      <w:marTop w:val="0"/>
      <w:marBottom w:val="0"/>
      <w:divBdr>
        <w:top w:val="none" w:sz="0" w:space="0" w:color="auto"/>
        <w:left w:val="none" w:sz="0" w:space="0" w:color="auto"/>
        <w:bottom w:val="none" w:sz="0" w:space="0" w:color="auto"/>
        <w:right w:val="none" w:sz="0" w:space="0" w:color="auto"/>
      </w:divBdr>
      <w:divsChild>
        <w:div w:id="1189370237">
          <w:marLeft w:val="0"/>
          <w:marRight w:val="0"/>
          <w:marTop w:val="0"/>
          <w:marBottom w:val="0"/>
          <w:divBdr>
            <w:top w:val="none" w:sz="0" w:space="0" w:color="auto"/>
            <w:left w:val="none" w:sz="0" w:space="0" w:color="auto"/>
            <w:bottom w:val="none" w:sz="0" w:space="0" w:color="auto"/>
            <w:right w:val="none" w:sz="0" w:space="0" w:color="auto"/>
          </w:divBdr>
          <w:divsChild>
            <w:div w:id="1537233440">
              <w:marLeft w:val="0"/>
              <w:marRight w:val="0"/>
              <w:marTop w:val="0"/>
              <w:marBottom w:val="0"/>
              <w:divBdr>
                <w:top w:val="none" w:sz="0" w:space="0" w:color="auto"/>
                <w:left w:val="none" w:sz="0" w:space="0" w:color="auto"/>
                <w:bottom w:val="none" w:sz="0" w:space="0" w:color="auto"/>
                <w:right w:val="none" w:sz="0" w:space="0" w:color="auto"/>
              </w:divBdr>
              <w:divsChild>
                <w:div w:id="114088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277261">
      <w:bodyDiv w:val="1"/>
      <w:marLeft w:val="0"/>
      <w:marRight w:val="0"/>
      <w:marTop w:val="0"/>
      <w:marBottom w:val="0"/>
      <w:divBdr>
        <w:top w:val="none" w:sz="0" w:space="0" w:color="auto"/>
        <w:left w:val="none" w:sz="0" w:space="0" w:color="auto"/>
        <w:bottom w:val="none" w:sz="0" w:space="0" w:color="auto"/>
        <w:right w:val="none" w:sz="0" w:space="0" w:color="auto"/>
      </w:divBdr>
    </w:div>
    <w:div w:id="901066076">
      <w:bodyDiv w:val="1"/>
      <w:marLeft w:val="0"/>
      <w:marRight w:val="0"/>
      <w:marTop w:val="0"/>
      <w:marBottom w:val="0"/>
      <w:divBdr>
        <w:top w:val="none" w:sz="0" w:space="0" w:color="auto"/>
        <w:left w:val="none" w:sz="0" w:space="0" w:color="auto"/>
        <w:bottom w:val="none" w:sz="0" w:space="0" w:color="auto"/>
        <w:right w:val="none" w:sz="0" w:space="0" w:color="auto"/>
      </w:divBdr>
      <w:divsChild>
        <w:div w:id="1931813942">
          <w:marLeft w:val="0"/>
          <w:marRight w:val="0"/>
          <w:marTop w:val="0"/>
          <w:marBottom w:val="0"/>
          <w:divBdr>
            <w:top w:val="none" w:sz="0" w:space="0" w:color="auto"/>
            <w:left w:val="none" w:sz="0" w:space="0" w:color="auto"/>
            <w:bottom w:val="none" w:sz="0" w:space="0" w:color="auto"/>
            <w:right w:val="none" w:sz="0" w:space="0" w:color="auto"/>
          </w:divBdr>
          <w:divsChild>
            <w:div w:id="238373927">
              <w:marLeft w:val="0"/>
              <w:marRight w:val="0"/>
              <w:marTop w:val="0"/>
              <w:marBottom w:val="0"/>
              <w:divBdr>
                <w:top w:val="none" w:sz="0" w:space="0" w:color="auto"/>
                <w:left w:val="none" w:sz="0" w:space="0" w:color="auto"/>
                <w:bottom w:val="none" w:sz="0" w:space="0" w:color="auto"/>
                <w:right w:val="none" w:sz="0" w:space="0" w:color="auto"/>
              </w:divBdr>
              <w:divsChild>
                <w:div w:id="1953824945">
                  <w:marLeft w:val="0"/>
                  <w:marRight w:val="0"/>
                  <w:marTop w:val="0"/>
                  <w:marBottom w:val="0"/>
                  <w:divBdr>
                    <w:top w:val="none" w:sz="0" w:space="0" w:color="auto"/>
                    <w:left w:val="none" w:sz="0" w:space="0" w:color="auto"/>
                    <w:bottom w:val="none" w:sz="0" w:space="0" w:color="auto"/>
                    <w:right w:val="none" w:sz="0" w:space="0" w:color="auto"/>
                  </w:divBdr>
                </w:div>
              </w:divsChild>
            </w:div>
            <w:div w:id="583883705">
              <w:marLeft w:val="0"/>
              <w:marRight w:val="0"/>
              <w:marTop w:val="0"/>
              <w:marBottom w:val="0"/>
              <w:divBdr>
                <w:top w:val="none" w:sz="0" w:space="0" w:color="auto"/>
                <w:left w:val="none" w:sz="0" w:space="0" w:color="auto"/>
                <w:bottom w:val="none" w:sz="0" w:space="0" w:color="auto"/>
                <w:right w:val="none" w:sz="0" w:space="0" w:color="auto"/>
              </w:divBdr>
              <w:divsChild>
                <w:div w:id="30882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877659">
          <w:marLeft w:val="0"/>
          <w:marRight w:val="0"/>
          <w:marTop w:val="0"/>
          <w:marBottom w:val="0"/>
          <w:divBdr>
            <w:top w:val="none" w:sz="0" w:space="0" w:color="auto"/>
            <w:left w:val="none" w:sz="0" w:space="0" w:color="auto"/>
            <w:bottom w:val="none" w:sz="0" w:space="0" w:color="auto"/>
            <w:right w:val="none" w:sz="0" w:space="0" w:color="auto"/>
          </w:divBdr>
          <w:divsChild>
            <w:div w:id="320502007">
              <w:marLeft w:val="0"/>
              <w:marRight w:val="0"/>
              <w:marTop w:val="0"/>
              <w:marBottom w:val="0"/>
              <w:divBdr>
                <w:top w:val="none" w:sz="0" w:space="0" w:color="auto"/>
                <w:left w:val="none" w:sz="0" w:space="0" w:color="auto"/>
                <w:bottom w:val="none" w:sz="0" w:space="0" w:color="auto"/>
                <w:right w:val="none" w:sz="0" w:space="0" w:color="auto"/>
              </w:divBdr>
              <w:divsChild>
                <w:div w:id="88187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462244">
      <w:bodyDiv w:val="1"/>
      <w:marLeft w:val="0"/>
      <w:marRight w:val="0"/>
      <w:marTop w:val="0"/>
      <w:marBottom w:val="0"/>
      <w:divBdr>
        <w:top w:val="none" w:sz="0" w:space="0" w:color="auto"/>
        <w:left w:val="none" w:sz="0" w:space="0" w:color="auto"/>
        <w:bottom w:val="none" w:sz="0" w:space="0" w:color="auto"/>
        <w:right w:val="none" w:sz="0" w:space="0" w:color="auto"/>
      </w:divBdr>
    </w:div>
    <w:div w:id="925849517">
      <w:bodyDiv w:val="1"/>
      <w:marLeft w:val="0"/>
      <w:marRight w:val="0"/>
      <w:marTop w:val="0"/>
      <w:marBottom w:val="0"/>
      <w:divBdr>
        <w:top w:val="none" w:sz="0" w:space="0" w:color="auto"/>
        <w:left w:val="none" w:sz="0" w:space="0" w:color="auto"/>
        <w:bottom w:val="none" w:sz="0" w:space="0" w:color="auto"/>
        <w:right w:val="none" w:sz="0" w:space="0" w:color="auto"/>
      </w:divBdr>
    </w:div>
    <w:div w:id="1000692370">
      <w:bodyDiv w:val="1"/>
      <w:marLeft w:val="0"/>
      <w:marRight w:val="0"/>
      <w:marTop w:val="0"/>
      <w:marBottom w:val="0"/>
      <w:divBdr>
        <w:top w:val="none" w:sz="0" w:space="0" w:color="auto"/>
        <w:left w:val="none" w:sz="0" w:space="0" w:color="auto"/>
        <w:bottom w:val="none" w:sz="0" w:space="0" w:color="auto"/>
        <w:right w:val="none" w:sz="0" w:space="0" w:color="auto"/>
      </w:divBdr>
    </w:div>
    <w:div w:id="1032998997">
      <w:bodyDiv w:val="1"/>
      <w:marLeft w:val="0"/>
      <w:marRight w:val="0"/>
      <w:marTop w:val="0"/>
      <w:marBottom w:val="0"/>
      <w:divBdr>
        <w:top w:val="none" w:sz="0" w:space="0" w:color="auto"/>
        <w:left w:val="none" w:sz="0" w:space="0" w:color="auto"/>
        <w:bottom w:val="none" w:sz="0" w:space="0" w:color="auto"/>
        <w:right w:val="none" w:sz="0" w:space="0" w:color="auto"/>
      </w:divBdr>
      <w:divsChild>
        <w:div w:id="244807720">
          <w:marLeft w:val="0"/>
          <w:marRight w:val="0"/>
          <w:marTop w:val="0"/>
          <w:marBottom w:val="0"/>
          <w:divBdr>
            <w:top w:val="none" w:sz="0" w:space="0" w:color="auto"/>
            <w:left w:val="none" w:sz="0" w:space="0" w:color="auto"/>
            <w:bottom w:val="none" w:sz="0" w:space="0" w:color="auto"/>
            <w:right w:val="none" w:sz="0" w:space="0" w:color="auto"/>
          </w:divBdr>
          <w:divsChild>
            <w:div w:id="988904363">
              <w:marLeft w:val="0"/>
              <w:marRight w:val="0"/>
              <w:marTop w:val="0"/>
              <w:marBottom w:val="0"/>
              <w:divBdr>
                <w:top w:val="none" w:sz="0" w:space="0" w:color="auto"/>
                <w:left w:val="none" w:sz="0" w:space="0" w:color="auto"/>
                <w:bottom w:val="none" w:sz="0" w:space="0" w:color="auto"/>
                <w:right w:val="none" w:sz="0" w:space="0" w:color="auto"/>
              </w:divBdr>
              <w:divsChild>
                <w:div w:id="5187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93979">
      <w:bodyDiv w:val="1"/>
      <w:marLeft w:val="0"/>
      <w:marRight w:val="0"/>
      <w:marTop w:val="0"/>
      <w:marBottom w:val="0"/>
      <w:divBdr>
        <w:top w:val="none" w:sz="0" w:space="0" w:color="auto"/>
        <w:left w:val="none" w:sz="0" w:space="0" w:color="auto"/>
        <w:bottom w:val="none" w:sz="0" w:space="0" w:color="auto"/>
        <w:right w:val="none" w:sz="0" w:space="0" w:color="auto"/>
      </w:divBdr>
      <w:divsChild>
        <w:div w:id="1537809201">
          <w:marLeft w:val="0"/>
          <w:marRight w:val="0"/>
          <w:marTop w:val="0"/>
          <w:marBottom w:val="0"/>
          <w:divBdr>
            <w:top w:val="none" w:sz="0" w:space="0" w:color="auto"/>
            <w:left w:val="none" w:sz="0" w:space="0" w:color="auto"/>
            <w:bottom w:val="none" w:sz="0" w:space="0" w:color="auto"/>
            <w:right w:val="none" w:sz="0" w:space="0" w:color="auto"/>
          </w:divBdr>
          <w:divsChild>
            <w:div w:id="556168159">
              <w:marLeft w:val="0"/>
              <w:marRight w:val="0"/>
              <w:marTop w:val="0"/>
              <w:marBottom w:val="0"/>
              <w:divBdr>
                <w:top w:val="none" w:sz="0" w:space="0" w:color="auto"/>
                <w:left w:val="none" w:sz="0" w:space="0" w:color="auto"/>
                <w:bottom w:val="none" w:sz="0" w:space="0" w:color="auto"/>
                <w:right w:val="none" w:sz="0" w:space="0" w:color="auto"/>
              </w:divBdr>
              <w:divsChild>
                <w:div w:id="1579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011028">
      <w:bodyDiv w:val="1"/>
      <w:marLeft w:val="0"/>
      <w:marRight w:val="0"/>
      <w:marTop w:val="0"/>
      <w:marBottom w:val="0"/>
      <w:divBdr>
        <w:top w:val="none" w:sz="0" w:space="0" w:color="auto"/>
        <w:left w:val="none" w:sz="0" w:space="0" w:color="auto"/>
        <w:bottom w:val="none" w:sz="0" w:space="0" w:color="auto"/>
        <w:right w:val="none" w:sz="0" w:space="0" w:color="auto"/>
      </w:divBdr>
    </w:div>
    <w:div w:id="1185362621">
      <w:bodyDiv w:val="1"/>
      <w:marLeft w:val="0"/>
      <w:marRight w:val="0"/>
      <w:marTop w:val="0"/>
      <w:marBottom w:val="0"/>
      <w:divBdr>
        <w:top w:val="none" w:sz="0" w:space="0" w:color="auto"/>
        <w:left w:val="none" w:sz="0" w:space="0" w:color="auto"/>
        <w:bottom w:val="none" w:sz="0" w:space="0" w:color="auto"/>
        <w:right w:val="none" w:sz="0" w:space="0" w:color="auto"/>
      </w:divBdr>
    </w:div>
    <w:div w:id="1225457898">
      <w:bodyDiv w:val="1"/>
      <w:marLeft w:val="0"/>
      <w:marRight w:val="0"/>
      <w:marTop w:val="0"/>
      <w:marBottom w:val="0"/>
      <w:divBdr>
        <w:top w:val="none" w:sz="0" w:space="0" w:color="auto"/>
        <w:left w:val="none" w:sz="0" w:space="0" w:color="auto"/>
        <w:bottom w:val="none" w:sz="0" w:space="0" w:color="auto"/>
        <w:right w:val="none" w:sz="0" w:space="0" w:color="auto"/>
      </w:divBdr>
      <w:divsChild>
        <w:div w:id="1947685946">
          <w:marLeft w:val="0"/>
          <w:marRight w:val="0"/>
          <w:marTop w:val="0"/>
          <w:marBottom w:val="0"/>
          <w:divBdr>
            <w:top w:val="none" w:sz="0" w:space="0" w:color="auto"/>
            <w:left w:val="none" w:sz="0" w:space="0" w:color="auto"/>
            <w:bottom w:val="none" w:sz="0" w:space="0" w:color="auto"/>
            <w:right w:val="none" w:sz="0" w:space="0" w:color="auto"/>
          </w:divBdr>
          <w:divsChild>
            <w:div w:id="1903173897">
              <w:marLeft w:val="0"/>
              <w:marRight w:val="0"/>
              <w:marTop w:val="0"/>
              <w:marBottom w:val="0"/>
              <w:divBdr>
                <w:top w:val="none" w:sz="0" w:space="0" w:color="auto"/>
                <w:left w:val="none" w:sz="0" w:space="0" w:color="auto"/>
                <w:bottom w:val="none" w:sz="0" w:space="0" w:color="auto"/>
                <w:right w:val="none" w:sz="0" w:space="0" w:color="auto"/>
              </w:divBdr>
              <w:divsChild>
                <w:div w:id="836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142612">
      <w:bodyDiv w:val="1"/>
      <w:marLeft w:val="0"/>
      <w:marRight w:val="0"/>
      <w:marTop w:val="0"/>
      <w:marBottom w:val="0"/>
      <w:divBdr>
        <w:top w:val="none" w:sz="0" w:space="0" w:color="auto"/>
        <w:left w:val="none" w:sz="0" w:space="0" w:color="auto"/>
        <w:bottom w:val="none" w:sz="0" w:space="0" w:color="auto"/>
        <w:right w:val="none" w:sz="0" w:space="0" w:color="auto"/>
      </w:divBdr>
    </w:div>
    <w:div w:id="1286543300">
      <w:bodyDiv w:val="1"/>
      <w:marLeft w:val="0"/>
      <w:marRight w:val="0"/>
      <w:marTop w:val="0"/>
      <w:marBottom w:val="0"/>
      <w:divBdr>
        <w:top w:val="none" w:sz="0" w:space="0" w:color="auto"/>
        <w:left w:val="none" w:sz="0" w:space="0" w:color="auto"/>
        <w:bottom w:val="none" w:sz="0" w:space="0" w:color="auto"/>
        <w:right w:val="none" w:sz="0" w:space="0" w:color="auto"/>
      </w:divBdr>
    </w:div>
    <w:div w:id="1297293836">
      <w:bodyDiv w:val="1"/>
      <w:marLeft w:val="0"/>
      <w:marRight w:val="0"/>
      <w:marTop w:val="0"/>
      <w:marBottom w:val="0"/>
      <w:divBdr>
        <w:top w:val="none" w:sz="0" w:space="0" w:color="auto"/>
        <w:left w:val="none" w:sz="0" w:space="0" w:color="auto"/>
        <w:bottom w:val="none" w:sz="0" w:space="0" w:color="auto"/>
        <w:right w:val="none" w:sz="0" w:space="0" w:color="auto"/>
      </w:divBdr>
      <w:divsChild>
        <w:div w:id="1285697571">
          <w:marLeft w:val="0"/>
          <w:marRight w:val="0"/>
          <w:marTop w:val="0"/>
          <w:marBottom w:val="0"/>
          <w:divBdr>
            <w:top w:val="none" w:sz="0" w:space="0" w:color="auto"/>
            <w:left w:val="none" w:sz="0" w:space="0" w:color="auto"/>
            <w:bottom w:val="none" w:sz="0" w:space="0" w:color="auto"/>
            <w:right w:val="none" w:sz="0" w:space="0" w:color="auto"/>
          </w:divBdr>
          <w:divsChild>
            <w:div w:id="1980378064">
              <w:marLeft w:val="0"/>
              <w:marRight w:val="0"/>
              <w:marTop w:val="0"/>
              <w:marBottom w:val="0"/>
              <w:divBdr>
                <w:top w:val="none" w:sz="0" w:space="0" w:color="auto"/>
                <w:left w:val="none" w:sz="0" w:space="0" w:color="auto"/>
                <w:bottom w:val="none" w:sz="0" w:space="0" w:color="auto"/>
                <w:right w:val="none" w:sz="0" w:space="0" w:color="auto"/>
              </w:divBdr>
              <w:divsChild>
                <w:div w:id="87858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99922">
      <w:bodyDiv w:val="1"/>
      <w:marLeft w:val="0"/>
      <w:marRight w:val="0"/>
      <w:marTop w:val="0"/>
      <w:marBottom w:val="0"/>
      <w:divBdr>
        <w:top w:val="none" w:sz="0" w:space="0" w:color="auto"/>
        <w:left w:val="none" w:sz="0" w:space="0" w:color="auto"/>
        <w:bottom w:val="none" w:sz="0" w:space="0" w:color="auto"/>
        <w:right w:val="none" w:sz="0" w:space="0" w:color="auto"/>
      </w:divBdr>
    </w:div>
    <w:div w:id="1333491657">
      <w:bodyDiv w:val="1"/>
      <w:marLeft w:val="0"/>
      <w:marRight w:val="0"/>
      <w:marTop w:val="0"/>
      <w:marBottom w:val="0"/>
      <w:divBdr>
        <w:top w:val="none" w:sz="0" w:space="0" w:color="auto"/>
        <w:left w:val="none" w:sz="0" w:space="0" w:color="auto"/>
        <w:bottom w:val="none" w:sz="0" w:space="0" w:color="auto"/>
        <w:right w:val="none" w:sz="0" w:space="0" w:color="auto"/>
      </w:divBdr>
      <w:divsChild>
        <w:div w:id="140734130">
          <w:marLeft w:val="0"/>
          <w:marRight w:val="0"/>
          <w:marTop w:val="0"/>
          <w:marBottom w:val="0"/>
          <w:divBdr>
            <w:top w:val="none" w:sz="0" w:space="0" w:color="auto"/>
            <w:left w:val="none" w:sz="0" w:space="0" w:color="auto"/>
            <w:bottom w:val="none" w:sz="0" w:space="0" w:color="auto"/>
            <w:right w:val="none" w:sz="0" w:space="0" w:color="auto"/>
          </w:divBdr>
          <w:divsChild>
            <w:div w:id="821386874">
              <w:marLeft w:val="0"/>
              <w:marRight w:val="0"/>
              <w:marTop w:val="0"/>
              <w:marBottom w:val="0"/>
              <w:divBdr>
                <w:top w:val="none" w:sz="0" w:space="0" w:color="auto"/>
                <w:left w:val="none" w:sz="0" w:space="0" w:color="auto"/>
                <w:bottom w:val="none" w:sz="0" w:space="0" w:color="auto"/>
                <w:right w:val="none" w:sz="0" w:space="0" w:color="auto"/>
              </w:divBdr>
              <w:divsChild>
                <w:div w:id="178037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117">
      <w:bodyDiv w:val="1"/>
      <w:marLeft w:val="0"/>
      <w:marRight w:val="0"/>
      <w:marTop w:val="0"/>
      <w:marBottom w:val="0"/>
      <w:divBdr>
        <w:top w:val="none" w:sz="0" w:space="0" w:color="auto"/>
        <w:left w:val="none" w:sz="0" w:space="0" w:color="auto"/>
        <w:bottom w:val="none" w:sz="0" w:space="0" w:color="auto"/>
        <w:right w:val="none" w:sz="0" w:space="0" w:color="auto"/>
      </w:divBdr>
    </w:div>
    <w:div w:id="1336105297">
      <w:bodyDiv w:val="1"/>
      <w:marLeft w:val="0"/>
      <w:marRight w:val="0"/>
      <w:marTop w:val="0"/>
      <w:marBottom w:val="0"/>
      <w:divBdr>
        <w:top w:val="none" w:sz="0" w:space="0" w:color="auto"/>
        <w:left w:val="none" w:sz="0" w:space="0" w:color="auto"/>
        <w:bottom w:val="none" w:sz="0" w:space="0" w:color="auto"/>
        <w:right w:val="none" w:sz="0" w:space="0" w:color="auto"/>
      </w:divBdr>
      <w:divsChild>
        <w:div w:id="283082206">
          <w:marLeft w:val="0"/>
          <w:marRight w:val="0"/>
          <w:marTop w:val="0"/>
          <w:marBottom w:val="0"/>
          <w:divBdr>
            <w:top w:val="none" w:sz="0" w:space="0" w:color="auto"/>
            <w:left w:val="none" w:sz="0" w:space="0" w:color="auto"/>
            <w:bottom w:val="none" w:sz="0" w:space="0" w:color="auto"/>
            <w:right w:val="none" w:sz="0" w:space="0" w:color="auto"/>
          </w:divBdr>
          <w:divsChild>
            <w:div w:id="1443454099">
              <w:marLeft w:val="0"/>
              <w:marRight w:val="0"/>
              <w:marTop w:val="0"/>
              <w:marBottom w:val="0"/>
              <w:divBdr>
                <w:top w:val="none" w:sz="0" w:space="0" w:color="auto"/>
                <w:left w:val="none" w:sz="0" w:space="0" w:color="auto"/>
                <w:bottom w:val="none" w:sz="0" w:space="0" w:color="auto"/>
                <w:right w:val="none" w:sz="0" w:space="0" w:color="auto"/>
              </w:divBdr>
              <w:divsChild>
                <w:div w:id="3119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435715">
      <w:bodyDiv w:val="1"/>
      <w:marLeft w:val="0"/>
      <w:marRight w:val="0"/>
      <w:marTop w:val="0"/>
      <w:marBottom w:val="0"/>
      <w:divBdr>
        <w:top w:val="none" w:sz="0" w:space="0" w:color="auto"/>
        <w:left w:val="none" w:sz="0" w:space="0" w:color="auto"/>
        <w:bottom w:val="none" w:sz="0" w:space="0" w:color="auto"/>
        <w:right w:val="none" w:sz="0" w:space="0" w:color="auto"/>
      </w:divBdr>
    </w:div>
    <w:div w:id="1435860893">
      <w:bodyDiv w:val="1"/>
      <w:marLeft w:val="0"/>
      <w:marRight w:val="0"/>
      <w:marTop w:val="0"/>
      <w:marBottom w:val="0"/>
      <w:divBdr>
        <w:top w:val="none" w:sz="0" w:space="0" w:color="auto"/>
        <w:left w:val="none" w:sz="0" w:space="0" w:color="auto"/>
        <w:bottom w:val="none" w:sz="0" w:space="0" w:color="auto"/>
        <w:right w:val="none" w:sz="0" w:space="0" w:color="auto"/>
      </w:divBdr>
      <w:divsChild>
        <w:div w:id="757285318">
          <w:marLeft w:val="0"/>
          <w:marRight w:val="0"/>
          <w:marTop w:val="0"/>
          <w:marBottom w:val="0"/>
          <w:divBdr>
            <w:top w:val="none" w:sz="0" w:space="0" w:color="auto"/>
            <w:left w:val="none" w:sz="0" w:space="0" w:color="auto"/>
            <w:bottom w:val="none" w:sz="0" w:space="0" w:color="auto"/>
            <w:right w:val="none" w:sz="0" w:space="0" w:color="auto"/>
          </w:divBdr>
          <w:divsChild>
            <w:div w:id="59713793">
              <w:marLeft w:val="0"/>
              <w:marRight w:val="0"/>
              <w:marTop w:val="0"/>
              <w:marBottom w:val="0"/>
              <w:divBdr>
                <w:top w:val="none" w:sz="0" w:space="0" w:color="auto"/>
                <w:left w:val="none" w:sz="0" w:space="0" w:color="auto"/>
                <w:bottom w:val="none" w:sz="0" w:space="0" w:color="auto"/>
                <w:right w:val="none" w:sz="0" w:space="0" w:color="auto"/>
              </w:divBdr>
              <w:divsChild>
                <w:div w:id="139172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5299">
      <w:bodyDiv w:val="1"/>
      <w:marLeft w:val="0"/>
      <w:marRight w:val="0"/>
      <w:marTop w:val="0"/>
      <w:marBottom w:val="0"/>
      <w:divBdr>
        <w:top w:val="none" w:sz="0" w:space="0" w:color="auto"/>
        <w:left w:val="none" w:sz="0" w:space="0" w:color="auto"/>
        <w:bottom w:val="none" w:sz="0" w:space="0" w:color="auto"/>
        <w:right w:val="none" w:sz="0" w:space="0" w:color="auto"/>
      </w:divBdr>
    </w:div>
    <w:div w:id="1625304903">
      <w:bodyDiv w:val="1"/>
      <w:marLeft w:val="0"/>
      <w:marRight w:val="0"/>
      <w:marTop w:val="0"/>
      <w:marBottom w:val="0"/>
      <w:divBdr>
        <w:top w:val="none" w:sz="0" w:space="0" w:color="auto"/>
        <w:left w:val="none" w:sz="0" w:space="0" w:color="auto"/>
        <w:bottom w:val="none" w:sz="0" w:space="0" w:color="auto"/>
        <w:right w:val="none" w:sz="0" w:space="0" w:color="auto"/>
      </w:divBdr>
      <w:divsChild>
        <w:div w:id="733747184">
          <w:marLeft w:val="0"/>
          <w:marRight w:val="0"/>
          <w:marTop w:val="0"/>
          <w:marBottom w:val="0"/>
          <w:divBdr>
            <w:top w:val="none" w:sz="0" w:space="0" w:color="auto"/>
            <w:left w:val="none" w:sz="0" w:space="0" w:color="auto"/>
            <w:bottom w:val="none" w:sz="0" w:space="0" w:color="auto"/>
            <w:right w:val="none" w:sz="0" w:space="0" w:color="auto"/>
          </w:divBdr>
          <w:divsChild>
            <w:div w:id="787506061">
              <w:marLeft w:val="0"/>
              <w:marRight w:val="0"/>
              <w:marTop w:val="0"/>
              <w:marBottom w:val="0"/>
              <w:divBdr>
                <w:top w:val="none" w:sz="0" w:space="0" w:color="auto"/>
                <w:left w:val="none" w:sz="0" w:space="0" w:color="auto"/>
                <w:bottom w:val="none" w:sz="0" w:space="0" w:color="auto"/>
                <w:right w:val="none" w:sz="0" w:space="0" w:color="auto"/>
              </w:divBdr>
              <w:divsChild>
                <w:div w:id="136867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168443">
      <w:bodyDiv w:val="1"/>
      <w:marLeft w:val="0"/>
      <w:marRight w:val="0"/>
      <w:marTop w:val="0"/>
      <w:marBottom w:val="0"/>
      <w:divBdr>
        <w:top w:val="none" w:sz="0" w:space="0" w:color="auto"/>
        <w:left w:val="none" w:sz="0" w:space="0" w:color="auto"/>
        <w:bottom w:val="none" w:sz="0" w:space="0" w:color="auto"/>
        <w:right w:val="none" w:sz="0" w:space="0" w:color="auto"/>
      </w:divBdr>
    </w:div>
    <w:div w:id="1807702584">
      <w:bodyDiv w:val="1"/>
      <w:marLeft w:val="0"/>
      <w:marRight w:val="0"/>
      <w:marTop w:val="0"/>
      <w:marBottom w:val="0"/>
      <w:divBdr>
        <w:top w:val="none" w:sz="0" w:space="0" w:color="auto"/>
        <w:left w:val="none" w:sz="0" w:space="0" w:color="auto"/>
        <w:bottom w:val="none" w:sz="0" w:space="0" w:color="auto"/>
        <w:right w:val="none" w:sz="0" w:space="0" w:color="auto"/>
      </w:divBdr>
    </w:div>
    <w:div w:id="1821995420">
      <w:bodyDiv w:val="1"/>
      <w:marLeft w:val="0"/>
      <w:marRight w:val="0"/>
      <w:marTop w:val="0"/>
      <w:marBottom w:val="0"/>
      <w:divBdr>
        <w:top w:val="none" w:sz="0" w:space="0" w:color="auto"/>
        <w:left w:val="none" w:sz="0" w:space="0" w:color="auto"/>
        <w:bottom w:val="none" w:sz="0" w:space="0" w:color="auto"/>
        <w:right w:val="none" w:sz="0" w:space="0" w:color="auto"/>
      </w:divBdr>
      <w:divsChild>
        <w:div w:id="1594127938">
          <w:marLeft w:val="0"/>
          <w:marRight w:val="0"/>
          <w:marTop w:val="0"/>
          <w:marBottom w:val="0"/>
          <w:divBdr>
            <w:top w:val="none" w:sz="0" w:space="0" w:color="auto"/>
            <w:left w:val="none" w:sz="0" w:space="0" w:color="auto"/>
            <w:bottom w:val="none" w:sz="0" w:space="0" w:color="auto"/>
            <w:right w:val="none" w:sz="0" w:space="0" w:color="auto"/>
          </w:divBdr>
          <w:divsChild>
            <w:div w:id="50737161">
              <w:marLeft w:val="0"/>
              <w:marRight w:val="0"/>
              <w:marTop w:val="0"/>
              <w:marBottom w:val="0"/>
              <w:divBdr>
                <w:top w:val="none" w:sz="0" w:space="0" w:color="auto"/>
                <w:left w:val="none" w:sz="0" w:space="0" w:color="auto"/>
                <w:bottom w:val="none" w:sz="0" w:space="0" w:color="auto"/>
                <w:right w:val="none" w:sz="0" w:space="0" w:color="auto"/>
              </w:divBdr>
              <w:divsChild>
                <w:div w:id="67510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184649">
      <w:bodyDiv w:val="1"/>
      <w:marLeft w:val="0"/>
      <w:marRight w:val="0"/>
      <w:marTop w:val="0"/>
      <w:marBottom w:val="0"/>
      <w:divBdr>
        <w:top w:val="none" w:sz="0" w:space="0" w:color="auto"/>
        <w:left w:val="none" w:sz="0" w:space="0" w:color="auto"/>
        <w:bottom w:val="none" w:sz="0" w:space="0" w:color="auto"/>
        <w:right w:val="none" w:sz="0" w:space="0" w:color="auto"/>
      </w:divBdr>
    </w:div>
    <w:div w:id="1917861153">
      <w:bodyDiv w:val="1"/>
      <w:marLeft w:val="0"/>
      <w:marRight w:val="0"/>
      <w:marTop w:val="0"/>
      <w:marBottom w:val="0"/>
      <w:divBdr>
        <w:top w:val="none" w:sz="0" w:space="0" w:color="auto"/>
        <w:left w:val="none" w:sz="0" w:space="0" w:color="auto"/>
        <w:bottom w:val="none" w:sz="0" w:space="0" w:color="auto"/>
        <w:right w:val="none" w:sz="0" w:space="0" w:color="auto"/>
      </w:divBdr>
    </w:div>
    <w:div w:id="1926918972">
      <w:bodyDiv w:val="1"/>
      <w:marLeft w:val="0"/>
      <w:marRight w:val="0"/>
      <w:marTop w:val="0"/>
      <w:marBottom w:val="0"/>
      <w:divBdr>
        <w:top w:val="none" w:sz="0" w:space="0" w:color="auto"/>
        <w:left w:val="none" w:sz="0" w:space="0" w:color="auto"/>
        <w:bottom w:val="none" w:sz="0" w:space="0" w:color="auto"/>
        <w:right w:val="none" w:sz="0" w:space="0" w:color="auto"/>
      </w:divBdr>
      <w:divsChild>
        <w:div w:id="204610652">
          <w:marLeft w:val="0"/>
          <w:marRight w:val="0"/>
          <w:marTop w:val="0"/>
          <w:marBottom w:val="0"/>
          <w:divBdr>
            <w:top w:val="none" w:sz="0" w:space="0" w:color="auto"/>
            <w:left w:val="none" w:sz="0" w:space="0" w:color="auto"/>
            <w:bottom w:val="none" w:sz="0" w:space="0" w:color="auto"/>
            <w:right w:val="none" w:sz="0" w:space="0" w:color="auto"/>
          </w:divBdr>
          <w:divsChild>
            <w:div w:id="509947854">
              <w:marLeft w:val="0"/>
              <w:marRight w:val="0"/>
              <w:marTop w:val="0"/>
              <w:marBottom w:val="0"/>
              <w:divBdr>
                <w:top w:val="none" w:sz="0" w:space="0" w:color="auto"/>
                <w:left w:val="none" w:sz="0" w:space="0" w:color="auto"/>
                <w:bottom w:val="none" w:sz="0" w:space="0" w:color="auto"/>
                <w:right w:val="none" w:sz="0" w:space="0" w:color="auto"/>
              </w:divBdr>
              <w:divsChild>
                <w:div w:id="169099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981068">
      <w:bodyDiv w:val="1"/>
      <w:marLeft w:val="0"/>
      <w:marRight w:val="0"/>
      <w:marTop w:val="0"/>
      <w:marBottom w:val="0"/>
      <w:divBdr>
        <w:top w:val="none" w:sz="0" w:space="0" w:color="auto"/>
        <w:left w:val="none" w:sz="0" w:space="0" w:color="auto"/>
        <w:bottom w:val="none" w:sz="0" w:space="0" w:color="auto"/>
        <w:right w:val="none" w:sz="0" w:space="0" w:color="auto"/>
      </w:divBdr>
      <w:divsChild>
        <w:div w:id="187304603">
          <w:marLeft w:val="0"/>
          <w:marRight w:val="0"/>
          <w:marTop w:val="0"/>
          <w:marBottom w:val="0"/>
          <w:divBdr>
            <w:top w:val="none" w:sz="0" w:space="0" w:color="auto"/>
            <w:left w:val="none" w:sz="0" w:space="0" w:color="auto"/>
            <w:bottom w:val="none" w:sz="0" w:space="0" w:color="auto"/>
            <w:right w:val="none" w:sz="0" w:space="0" w:color="auto"/>
          </w:divBdr>
          <w:divsChild>
            <w:div w:id="419376518">
              <w:marLeft w:val="0"/>
              <w:marRight w:val="0"/>
              <w:marTop w:val="0"/>
              <w:marBottom w:val="0"/>
              <w:divBdr>
                <w:top w:val="none" w:sz="0" w:space="0" w:color="auto"/>
                <w:left w:val="none" w:sz="0" w:space="0" w:color="auto"/>
                <w:bottom w:val="none" w:sz="0" w:space="0" w:color="auto"/>
                <w:right w:val="none" w:sz="0" w:space="0" w:color="auto"/>
              </w:divBdr>
              <w:divsChild>
                <w:div w:id="108580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62091">
      <w:bodyDiv w:val="1"/>
      <w:marLeft w:val="0"/>
      <w:marRight w:val="0"/>
      <w:marTop w:val="0"/>
      <w:marBottom w:val="0"/>
      <w:divBdr>
        <w:top w:val="none" w:sz="0" w:space="0" w:color="auto"/>
        <w:left w:val="none" w:sz="0" w:space="0" w:color="auto"/>
        <w:bottom w:val="none" w:sz="0" w:space="0" w:color="auto"/>
        <w:right w:val="none" w:sz="0" w:space="0" w:color="auto"/>
      </w:divBdr>
      <w:divsChild>
        <w:div w:id="388965291">
          <w:marLeft w:val="0"/>
          <w:marRight w:val="0"/>
          <w:marTop w:val="0"/>
          <w:marBottom w:val="0"/>
          <w:divBdr>
            <w:top w:val="none" w:sz="0" w:space="0" w:color="auto"/>
            <w:left w:val="none" w:sz="0" w:space="0" w:color="auto"/>
            <w:bottom w:val="none" w:sz="0" w:space="0" w:color="auto"/>
            <w:right w:val="none" w:sz="0" w:space="0" w:color="auto"/>
          </w:divBdr>
          <w:divsChild>
            <w:div w:id="992952031">
              <w:marLeft w:val="0"/>
              <w:marRight w:val="0"/>
              <w:marTop w:val="0"/>
              <w:marBottom w:val="0"/>
              <w:divBdr>
                <w:top w:val="none" w:sz="0" w:space="0" w:color="auto"/>
                <w:left w:val="none" w:sz="0" w:space="0" w:color="auto"/>
                <w:bottom w:val="none" w:sz="0" w:space="0" w:color="auto"/>
                <w:right w:val="none" w:sz="0" w:space="0" w:color="auto"/>
              </w:divBdr>
              <w:divsChild>
                <w:div w:id="59713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84688">
      <w:bodyDiv w:val="1"/>
      <w:marLeft w:val="0"/>
      <w:marRight w:val="0"/>
      <w:marTop w:val="0"/>
      <w:marBottom w:val="0"/>
      <w:divBdr>
        <w:top w:val="none" w:sz="0" w:space="0" w:color="auto"/>
        <w:left w:val="none" w:sz="0" w:space="0" w:color="auto"/>
        <w:bottom w:val="none" w:sz="0" w:space="0" w:color="auto"/>
        <w:right w:val="none" w:sz="0" w:space="0" w:color="auto"/>
      </w:divBdr>
    </w:div>
    <w:div w:id="2096854656">
      <w:bodyDiv w:val="1"/>
      <w:marLeft w:val="0"/>
      <w:marRight w:val="0"/>
      <w:marTop w:val="0"/>
      <w:marBottom w:val="0"/>
      <w:divBdr>
        <w:top w:val="none" w:sz="0" w:space="0" w:color="auto"/>
        <w:left w:val="none" w:sz="0" w:space="0" w:color="auto"/>
        <w:bottom w:val="none" w:sz="0" w:space="0" w:color="auto"/>
        <w:right w:val="none" w:sz="0" w:space="0" w:color="auto"/>
      </w:divBdr>
    </w:div>
    <w:div w:id="2134981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ea.blob.core.windows.net/assets/f27e9703-1bb0-4aa5-a1c5-0397ee9c145d/Fundamentals_RU_final_FULLWEB.PDF" TargetMode="External"/><Relationship Id="rId9" Type="http://schemas.openxmlformats.org/officeDocument/2006/relationships/hyperlink" Target="http://www.stats.gov.cn/tjsj/ndsj/2019/indexeh.htm" TargetMode="External"/><Relationship Id="rId10" Type="http://schemas.openxmlformats.org/officeDocument/2006/relationships/hyperlink" Target="mailto:*stacy7973@gmail.com"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8AEBC19-D5B1-274C-8404-5251200B5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17808</TotalTime>
  <Pages>13</Pages>
  <Words>5262</Words>
  <Characters>29999</Characters>
  <Application>Microsoft Macintosh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пользователь Microsoft Office</cp:lastModifiedBy>
  <cp:revision>986</cp:revision>
  <cp:lastPrinted>2022-03-27T20:31:00Z</cp:lastPrinted>
  <dcterms:created xsi:type="dcterms:W3CDTF">2021-03-08T19:14:00Z</dcterms:created>
  <dcterms:modified xsi:type="dcterms:W3CDTF">2022-04-23T14:40:00Z</dcterms:modified>
</cp:coreProperties>
</file>