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E0" w:rsidRPr="00157FE0" w:rsidRDefault="00157FE0" w:rsidP="00157FE0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57FE0">
        <w:rPr>
          <w:b/>
          <w:sz w:val="28"/>
          <w:szCs w:val="28"/>
        </w:rPr>
        <w:t>Ю.С. Караваева,</w:t>
      </w:r>
    </w:p>
    <w:p w:rsidR="00157FE0" w:rsidRPr="00157FE0" w:rsidRDefault="00157FE0" w:rsidP="00157FE0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57FE0">
        <w:rPr>
          <w:i/>
          <w:sz w:val="28"/>
          <w:szCs w:val="28"/>
        </w:rPr>
        <w:t xml:space="preserve">канд. </w:t>
      </w:r>
      <w:proofErr w:type="spellStart"/>
      <w:r w:rsidRPr="00157FE0">
        <w:rPr>
          <w:i/>
          <w:sz w:val="28"/>
          <w:szCs w:val="28"/>
        </w:rPr>
        <w:t>юрид</w:t>
      </w:r>
      <w:proofErr w:type="spellEnd"/>
      <w:r w:rsidRPr="00157FE0">
        <w:rPr>
          <w:i/>
          <w:sz w:val="28"/>
          <w:szCs w:val="28"/>
        </w:rPr>
        <w:t>. наук,</w:t>
      </w:r>
    </w:p>
    <w:p w:rsidR="00157FE0" w:rsidRPr="00157FE0" w:rsidRDefault="00157FE0" w:rsidP="00157FE0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57FE0">
        <w:rPr>
          <w:i/>
          <w:sz w:val="28"/>
          <w:szCs w:val="28"/>
        </w:rPr>
        <w:t>(НИУ ВШЭ – Пермь)</w:t>
      </w:r>
    </w:p>
    <w:p w:rsidR="00157FE0" w:rsidRPr="00157FE0" w:rsidRDefault="00157FE0" w:rsidP="00157FE0">
      <w:pPr>
        <w:spacing w:line="360" w:lineRule="auto"/>
        <w:ind w:firstLine="709"/>
        <w:jc w:val="right"/>
        <w:rPr>
          <w:i/>
          <w:sz w:val="28"/>
          <w:szCs w:val="28"/>
        </w:rPr>
      </w:pPr>
      <w:proofErr w:type="spellStart"/>
      <w:r w:rsidRPr="00157FE0">
        <w:rPr>
          <w:i/>
          <w:sz w:val="28"/>
          <w:szCs w:val="28"/>
          <w:lang w:val="en-US"/>
        </w:rPr>
        <w:t>IUSKaravaeva</w:t>
      </w:r>
      <w:proofErr w:type="spellEnd"/>
      <w:r w:rsidRPr="00157FE0">
        <w:rPr>
          <w:i/>
          <w:sz w:val="28"/>
          <w:szCs w:val="28"/>
        </w:rPr>
        <w:t>@</w:t>
      </w:r>
      <w:proofErr w:type="spellStart"/>
      <w:r w:rsidRPr="00157FE0">
        <w:rPr>
          <w:i/>
          <w:sz w:val="28"/>
          <w:szCs w:val="28"/>
          <w:lang w:val="en-US"/>
        </w:rPr>
        <w:t>hse</w:t>
      </w:r>
      <w:proofErr w:type="spellEnd"/>
      <w:r w:rsidRPr="00157FE0">
        <w:rPr>
          <w:i/>
          <w:sz w:val="28"/>
          <w:szCs w:val="28"/>
        </w:rPr>
        <w:t>.</w:t>
      </w:r>
      <w:proofErr w:type="spellStart"/>
      <w:r w:rsidRPr="00157FE0">
        <w:rPr>
          <w:i/>
          <w:sz w:val="28"/>
          <w:szCs w:val="28"/>
          <w:lang w:val="en-US"/>
        </w:rPr>
        <w:t>ru</w:t>
      </w:r>
      <w:proofErr w:type="spellEnd"/>
      <w:r w:rsidRPr="00157FE0">
        <w:rPr>
          <w:i/>
          <w:sz w:val="28"/>
          <w:szCs w:val="28"/>
        </w:rPr>
        <w:t xml:space="preserve">  </w:t>
      </w:r>
    </w:p>
    <w:p w:rsidR="00ED4FA4" w:rsidRPr="00157FE0" w:rsidRDefault="00ED4FA4" w:rsidP="00157FE0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157FE0">
        <w:rPr>
          <w:i/>
          <w:sz w:val="28"/>
          <w:szCs w:val="28"/>
        </w:rPr>
        <w:t xml:space="preserve"> </w:t>
      </w:r>
    </w:p>
    <w:p w:rsidR="00ED4FA4" w:rsidRPr="00157FE0" w:rsidRDefault="00ED4FA4" w:rsidP="00157FE0">
      <w:pPr>
        <w:spacing w:line="360" w:lineRule="auto"/>
        <w:ind w:firstLine="709"/>
        <w:jc w:val="both"/>
        <w:rPr>
          <w:b/>
        </w:rPr>
      </w:pPr>
      <w:r w:rsidRPr="00ED4FA4">
        <w:rPr>
          <w:sz w:val="28"/>
          <w:szCs w:val="28"/>
        </w:rPr>
        <w:t xml:space="preserve">  </w:t>
      </w:r>
      <w:r w:rsidR="00157FE0">
        <w:rPr>
          <w:b/>
          <w:sz w:val="28"/>
          <w:szCs w:val="28"/>
        </w:rPr>
        <w:t>К НЕКОТОРЫМ ПРОБЛЕМАМ ПРИМЕНЕНИЯ СТ. 187 УК РФ</w:t>
      </w:r>
    </w:p>
    <w:p w:rsidR="00ED4FA4" w:rsidRDefault="00ED4FA4" w:rsidP="004026C6">
      <w:pPr>
        <w:spacing w:line="360" w:lineRule="auto"/>
        <w:ind w:firstLine="709"/>
        <w:jc w:val="both"/>
      </w:pPr>
    </w:p>
    <w:p w:rsidR="00090364" w:rsidRDefault="00034C5F" w:rsidP="004026C6">
      <w:pPr>
        <w:spacing w:line="360" w:lineRule="auto"/>
        <w:ind w:firstLine="709"/>
        <w:jc w:val="both"/>
        <w:rPr>
          <w:sz w:val="28"/>
          <w:szCs w:val="28"/>
        </w:rPr>
      </w:pPr>
      <w:r w:rsidRPr="004026C6">
        <w:rPr>
          <w:sz w:val="28"/>
          <w:szCs w:val="28"/>
        </w:rPr>
        <w:t>Согласно с</w:t>
      </w:r>
      <w:r w:rsidR="00B17EFD">
        <w:rPr>
          <w:sz w:val="28"/>
          <w:szCs w:val="28"/>
        </w:rPr>
        <w:t>татистическим данным Судебного д</w:t>
      </w:r>
      <w:r w:rsidRPr="004026C6">
        <w:rPr>
          <w:sz w:val="28"/>
          <w:szCs w:val="28"/>
        </w:rPr>
        <w:t>епартамента при Верховном Суде Российской Федерации, в 2018 году по ст. 187 УК РФ</w:t>
      </w:r>
      <w:r w:rsidR="00ED4FA4">
        <w:rPr>
          <w:sz w:val="28"/>
          <w:szCs w:val="28"/>
        </w:rPr>
        <w:t xml:space="preserve"> «Неправомерный оборот сре</w:t>
      </w:r>
      <w:proofErr w:type="gramStart"/>
      <w:r w:rsidR="00ED4FA4">
        <w:rPr>
          <w:sz w:val="28"/>
          <w:szCs w:val="28"/>
        </w:rPr>
        <w:t>дств пл</w:t>
      </w:r>
      <w:proofErr w:type="gramEnd"/>
      <w:r w:rsidR="00ED4FA4">
        <w:rPr>
          <w:sz w:val="28"/>
          <w:szCs w:val="28"/>
        </w:rPr>
        <w:t>атежей»</w:t>
      </w:r>
      <w:r w:rsidRPr="004026C6">
        <w:rPr>
          <w:sz w:val="28"/>
          <w:szCs w:val="28"/>
        </w:rPr>
        <w:t xml:space="preserve"> было осуждено 56 лиц</w:t>
      </w:r>
      <w:r w:rsidR="00157FE0">
        <w:rPr>
          <w:rStyle w:val="a9"/>
          <w:sz w:val="28"/>
          <w:szCs w:val="28"/>
        </w:rPr>
        <w:footnoteReference w:id="1"/>
      </w:r>
      <w:r w:rsidRPr="004026C6">
        <w:rPr>
          <w:sz w:val="28"/>
          <w:szCs w:val="28"/>
        </w:rPr>
        <w:t>. О показателях на региональном уровне судить сложно, поскольку в открытом доступе их обнаружить не удалось</w:t>
      </w:r>
      <w:r w:rsidR="00090364">
        <w:rPr>
          <w:sz w:val="28"/>
          <w:szCs w:val="28"/>
        </w:rPr>
        <w:t xml:space="preserve">. </w:t>
      </w:r>
    </w:p>
    <w:p w:rsidR="00034C5F" w:rsidRPr="004026C6" w:rsidRDefault="00ED4FA4" w:rsidP="004026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изменений от 2015 года</w:t>
      </w:r>
      <w:r w:rsidR="00034C5F" w:rsidRPr="004026C6">
        <w:rPr>
          <w:sz w:val="28"/>
          <w:szCs w:val="28"/>
        </w:rPr>
        <w:t xml:space="preserve"> состав деяния, запрещенного указанной нормой, был расширен в части предмета посягательства и перечня действий, образующих его объективную сторону. Данные нововведения не получили однозначной оценки в уголовно-правовой науке, однако, анализ соответствующих работ позволяет заключить о преобладающем критическом подходе научной общественности к указанным новеллам.</w:t>
      </w:r>
      <w:r>
        <w:rPr>
          <w:sz w:val="28"/>
          <w:szCs w:val="28"/>
        </w:rPr>
        <w:t xml:space="preserve"> При этом, как правило, обращается внимание на недостаточную определенность предмета рассматриваемого деяния.  </w:t>
      </w:r>
      <w:r w:rsidR="00034C5F" w:rsidRPr="004026C6">
        <w:rPr>
          <w:sz w:val="28"/>
          <w:szCs w:val="28"/>
        </w:rPr>
        <w:t xml:space="preserve"> </w:t>
      </w:r>
    </w:p>
    <w:p w:rsidR="00ED4FA4" w:rsidRPr="004026C6" w:rsidRDefault="00BE2143" w:rsidP="00ED4FA4">
      <w:pPr>
        <w:spacing w:line="360" w:lineRule="auto"/>
        <w:ind w:firstLine="709"/>
        <w:jc w:val="both"/>
        <w:rPr>
          <w:sz w:val="28"/>
          <w:szCs w:val="28"/>
        </w:rPr>
      </w:pPr>
      <w:r w:rsidRPr="004026C6">
        <w:rPr>
          <w:sz w:val="28"/>
          <w:szCs w:val="28"/>
        </w:rPr>
        <w:t>В ра</w:t>
      </w:r>
      <w:r w:rsidR="008D4D38" w:rsidRPr="004026C6">
        <w:rPr>
          <w:sz w:val="28"/>
          <w:szCs w:val="28"/>
        </w:rPr>
        <w:t xml:space="preserve">нее </w:t>
      </w:r>
      <w:r w:rsidRPr="004026C6">
        <w:rPr>
          <w:sz w:val="28"/>
          <w:szCs w:val="28"/>
        </w:rPr>
        <w:t xml:space="preserve">действовавшей редакции норма ст. 187 УК РФ </w:t>
      </w:r>
      <w:r w:rsidR="008D4D38" w:rsidRPr="004026C6">
        <w:rPr>
          <w:sz w:val="28"/>
          <w:szCs w:val="28"/>
        </w:rPr>
        <w:t xml:space="preserve">в качестве предмета преступления </w:t>
      </w:r>
      <w:r w:rsidRPr="004026C6">
        <w:rPr>
          <w:sz w:val="28"/>
          <w:szCs w:val="28"/>
        </w:rPr>
        <w:t xml:space="preserve">называла </w:t>
      </w:r>
      <w:r w:rsidR="008D4D38" w:rsidRPr="004026C6">
        <w:rPr>
          <w:sz w:val="28"/>
          <w:szCs w:val="28"/>
        </w:rPr>
        <w:t>поддельные  кредитные  либо  расчетные</w:t>
      </w:r>
      <w:r w:rsidRPr="004026C6">
        <w:rPr>
          <w:sz w:val="28"/>
          <w:szCs w:val="28"/>
        </w:rPr>
        <w:t xml:space="preserve"> </w:t>
      </w:r>
      <w:r w:rsidR="008D4D38" w:rsidRPr="004026C6">
        <w:rPr>
          <w:sz w:val="28"/>
          <w:szCs w:val="28"/>
        </w:rPr>
        <w:t>карты, а также иные документы, не являющиеся  ценными бумагами</w:t>
      </w:r>
      <w:r w:rsidRPr="004026C6">
        <w:rPr>
          <w:sz w:val="28"/>
          <w:szCs w:val="28"/>
        </w:rPr>
        <w:t xml:space="preserve">. После внесенных изменений предмет данного преступления включает </w:t>
      </w:r>
      <w:r w:rsidR="008D4D38" w:rsidRPr="004026C6">
        <w:rPr>
          <w:sz w:val="28"/>
          <w:szCs w:val="28"/>
        </w:rPr>
        <w:t xml:space="preserve">поддельные  платежные  карты,  распоряжения  о  переводе  денежных средств, документы или средства оплаты (за исключением  случаев,  предусмотренных  ст. 186  УК РФ), а также электронные средства, электронные носители  информации,  технические  </w:t>
      </w:r>
      <w:r w:rsidR="008D4D38" w:rsidRPr="004026C6">
        <w:rPr>
          <w:sz w:val="28"/>
          <w:szCs w:val="28"/>
        </w:rPr>
        <w:lastRenderedPageBreak/>
        <w:t>устройства, компьютерные  программы,  предназначенные  для неправомерного  осуществления  приема,  выдачи, перевода денежных средств.</w:t>
      </w:r>
      <w:r w:rsidRPr="004026C6">
        <w:rPr>
          <w:sz w:val="28"/>
          <w:szCs w:val="28"/>
        </w:rPr>
        <w:t xml:space="preserve"> </w:t>
      </w:r>
    </w:p>
    <w:p w:rsidR="000B382F" w:rsidRPr="004026C6" w:rsidRDefault="00ED4FA4" w:rsidP="004026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0263" w:rsidRPr="004026C6">
        <w:rPr>
          <w:sz w:val="28"/>
          <w:szCs w:val="28"/>
        </w:rPr>
        <w:t xml:space="preserve"> силу бланкетно</w:t>
      </w:r>
      <w:r>
        <w:rPr>
          <w:sz w:val="28"/>
          <w:szCs w:val="28"/>
        </w:rPr>
        <w:t xml:space="preserve">го характера </w:t>
      </w:r>
      <w:r w:rsidR="00130263" w:rsidRPr="004026C6">
        <w:rPr>
          <w:sz w:val="28"/>
          <w:szCs w:val="28"/>
        </w:rPr>
        <w:t xml:space="preserve">нормы </w:t>
      </w:r>
      <w:proofErr w:type="spellStart"/>
      <w:r w:rsidR="00130263" w:rsidRPr="004026C6">
        <w:rPr>
          <w:sz w:val="28"/>
          <w:szCs w:val="28"/>
        </w:rPr>
        <w:t>правоприменитель</w:t>
      </w:r>
      <w:proofErr w:type="spellEnd"/>
      <w:r w:rsidR="00130263" w:rsidRPr="004026C6">
        <w:rPr>
          <w:sz w:val="28"/>
          <w:szCs w:val="28"/>
        </w:rPr>
        <w:t xml:space="preserve"> </w:t>
      </w:r>
      <w:r w:rsidR="000B382F" w:rsidRPr="004026C6">
        <w:rPr>
          <w:sz w:val="28"/>
          <w:szCs w:val="28"/>
        </w:rPr>
        <w:t xml:space="preserve">в целях квалификации деяния по ст. 187 УК РФ </w:t>
      </w:r>
      <w:r w:rsidR="00130263" w:rsidRPr="004026C6">
        <w:rPr>
          <w:sz w:val="28"/>
          <w:szCs w:val="28"/>
        </w:rPr>
        <w:t>должен обращаться</w:t>
      </w:r>
      <w:r w:rsidR="000B382F" w:rsidRPr="004026C6">
        <w:rPr>
          <w:sz w:val="28"/>
          <w:szCs w:val="28"/>
        </w:rPr>
        <w:t xml:space="preserve"> к положениям </w:t>
      </w:r>
      <w:r w:rsidR="00130263" w:rsidRPr="004026C6">
        <w:rPr>
          <w:sz w:val="28"/>
          <w:szCs w:val="28"/>
        </w:rPr>
        <w:t>иных правовых документов</w:t>
      </w:r>
      <w:r w:rsidR="000B382F" w:rsidRPr="004026C6">
        <w:rPr>
          <w:sz w:val="28"/>
          <w:szCs w:val="28"/>
        </w:rPr>
        <w:t xml:space="preserve">. </w:t>
      </w:r>
      <w:r w:rsidR="00130263" w:rsidRPr="004026C6">
        <w:rPr>
          <w:sz w:val="28"/>
          <w:szCs w:val="28"/>
        </w:rPr>
        <w:t>Например, в</w:t>
      </w:r>
      <w:r w:rsidR="00BE2143" w:rsidRPr="004026C6">
        <w:rPr>
          <w:sz w:val="28"/>
          <w:szCs w:val="28"/>
        </w:rPr>
        <w:t xml:space="preserve"> качестве предмета преступления</w:t>
      </w:r>
      <w:r w:rsidR="00130263" w:rsidRPr="004026C6">
        <w:rPr>
          <w:sz w:val="28"/>
          <w:szCs w:val="28"/>
        </w:rPr>
        <w:t xml:space="preserve"> обозначены </w:t>
      </w:r>
      <w:r w:rsidR="00B256F0" w:rsidRPr="004026C6">
        <w:rPr>
          <w:sz w:val="28"/>
          <w:szCs w:val="28"/>
        </w:rPr>
        <w:t xml:space="preserve">поддельные </w:t>
      </w:r>
      <w:r w:rsidR="00BE2143" w:rsidRPr="004026C6">
        <w:rPr>
          <w:sz w:val="28"/>
          <w:szCs w:val="28"/>
        </w:rPr>
        <w:t xml:space="preserve">документы и </w:t>
      </w:r>
      <w:r w:rsidR="00B256F0" w:rsidRPr="004026C6">
        <w:rPr>
          <w:sz w:val="28"/>
          <w:szCs w:val="28"/>
        </w:rPr>
        <w:t xml:space="preserve">поддельные </w:t>
      </w:r>
      <w:r w:rsidR="00BE2143" w:rsidRPr="004026C6">
        <w:rPr>
          <w:sz w:val="28"/>
          <w:szCs w:val="28"/>
        </w:rPr>
        <w:t xml:space="preserve">средства оплаты. В </w:t>
      </w:r>
      <w:r w:rsidR="00130263" w:rsidRPr="004026C6">
        <w:rPr>
          <w:sz w:val="28"/>
          <w:szCs w:val="28"/>
        </w:rPr>
        <w:t>Положении «О правилах осуществления перевода денежных средств» от 19 июня 2012 г. № 383-П</w:t>
      </w:r>
      <w:r w:rsidR="00090364">
        <w:rPr>
          <w:rStyle w:val="a9"/>
          <w:sz w:val="28"/>
          <w:szCs w:val="28"/>
        </w:rPr>
        <w:footnoteReference w:id="2"/>
      </w:r>
      <w:r w:rsidR="00130263" w:rsidRPr="004026C6">
        <w:rPr>
          <w:sz w:val="28"/>
          <w:szCs w:val="28"/>
        </w:rPr>
        <w:t xml:space="preserve"> </w:t>
      </w:r>
      <w:r w:rsidR="00BE2143" w:rsidRPr="004026C6">
        <w:rPr>
          <w:sz w:val="28"/>
          <w:szCs w:val="28"/>
        </w:rPr>
        <w:t xml:space="preserve">платежные поручения, инкассовые поручения, платежные  требования,  платежные  ордера,  банковские  ордера  названы расчетными  (платежными)  документами.  </w:t>
      </w:r>
      <w:r w:rsidR="00130263" w:rsidRPr="004026C6">
        <w:rPr>
          <w:sz w:val="28"/>
          <w:szCs w:val="28"/>
        </w:rPr>
        <w:t xml:space="preserve">Представляется, что </w:t>
      </w:r>
      <w:r w:rsidR="00BE2143" w:rsidRPr="004026C6">
        <w:rPr>
          <w:sz w:val="28"/>
          <w:szCs w:val="28"/>
        </w:rPr>
        <w:t>разгранич</w:t>
      </w:r>
      <w:r w:rsidR="00130263" w:rsidRPr="004026C6">
        <w:rPr>
          <w:sz w:val="28"/>
          <w:szCs w:val="28"/>
        </w:rPr>
        <w:t xml:space="preserve">ение </w:t>
      </w:r>
      <w:r w:rsidR="00BE2143" w:rsidRPr="004026C6">
        <w:rPr>
          <w:sz w:val="28"/>
          <w:szCs w:val="28"/>
        </w:rPr>
        <w:t>распоряж</w:t>
      </w:r>
      <w:r w:rsidR="00130263" w:rsidRPr="004026C6">
        <w:rPr>
          <w:sz w:val="28"/>
          <w:szCs w:val="28"/>
        </w:rPr>
        <w:t>ения</w:t>
      </w:r>
      <w:r>
        <w:rPr>
          <w:sz w:val="28"/>
          <w:szCs w:val="28"/>
        </w:rPr>
        <w:t xml:space="preserve"> о переводе денежных средств</w:t>
      </w:r>
      <w:r w:rsidR="00130263" w:rsidRPr="004026C6">
        <w:rPr>
          <w:sz w:val="28"/>
          <w:szCs w:val="28"/>
        </w:rPr>
        <w:t xml:space="preserve">  и  документа</w:t>
      </w:r>
      <w:r w:rsidR="00BE2143" w:rsidRPr="004026C6">
        <w:rPr>
          <w:sz w:val="28"/>
          <w:szCs w:val="28"/>
        </w:rPr>
        <w:t xml:space="preserve">  как  предмет</w:t>
      </w:r>
      <w:r w:rsidR="00130263" w:rsidRPr="004026C6">
        <w:rPr>
          <w:sz w:val="28"/>
          <w:szCs w:val="28"/>
        </w:rPr>
        <w:t>ов</w:t>
      </w:r>
      <w:r w:rsidR="00BE2143" w:rsidRPr="004026C6">
        <w:rPr>
          <w:sz w:val="28"/>
          <w:szCs w:val="28"/>
        </w:rPr>
        <w:t xml:space="preserve"> </w:t>
      </w:r>
      <w:r w:rsidR="00130263" w:rsidRPr="004026C6">
        <w:rPr>
          <w:sz w:val="28"/>
          <w:szCs w:val="28"/>
        </w:rPr>
        <w:t xml:space="preserve">рассматриваемого </w:t>
      </w:r>
      <w:r w:rsidR="00BE2143" w:rsidRPr="004026C6">
        <w:rPr>
          <w:sz w:val="28"/>
          <w:szCs w:val="28"/>
        </w:rPr>
        <w:t>преступления</w:t>
      </w:r>
      <w:r w:rsidR="00130263" w:rsidRPr="004026C6">
        <w:rPr>
          <w:sz w:val="28"/>
          <w:szCs w:val="28"/>
        </w:rPr>
        <w:t xml:space="preserve"> может вызвать некоторые сложности на практике. </w:t>
      </w:r>
    </w:p>
    <w:p w:rsidR="00B256F0" w:rsidRPr="004026C6" w:rsidRDefault="000B382F" w:rsidP="004026C6">
      <w:pPr>
        <w:spacing w:line="360" w:lineRule="auto"/>
        <w:ind w:firstLine="709"/>
        <w:jc w:val="both"/>
        <w:rPr>
          <w:sz w:val="28"/>
          <w:szCs w:val="28"/>
        </w:rPr>
      </w:pPr>
      <w:r w:rsidRPr="004026C6">
        <w:rPr>
          <w:sz w:val="28"/>
          <w:szCs w:val="28"/>
        </w:rPr>
        <w:t>С документами и средствами оплаты связаны и иные сложности. Так, большинство ученых соглашается с тем, что, невзирая на некоторые неясности с распространением характеристики «поддельный» на иные составляющие предмета анализируемого деяния, логично предположить, что законодателем имеется в виду именно их поддельный характер. Не совсем ясным представляется другое – что конкретно должно пониматься под документами и средствами оплаты.</w:t>
      </w:r>
      <w:r w:rsidR="00B256F0" w:rsidRPr="004026C6">
        <w:rPr>
          <w:sz w:val="28"/>
          <w:szCs w:val="28"/>
        </w:rPr>
        <w:t xml:space="preserve"> </w:t>
      </w:r>
      <w:proofErr w:type="gramStart"/>
      <w:r w:rsidR="00B256F0" w:rsidRPr="004026C6">
        <w:rPr>
          <w:sz w:val="28"/>
          <w:szCs w:val="28"/>
        </w:rPr>
        <w:t xml:space="preserve">В частности, высказано мнение, согласно которому </w:t>
      </w:r>
      <w:bookmarkStart w:id="0" w:name="_GoBack"/>
      <w:bookmarkEnd w:id="0"/>
      <w:r w:rsidR="00ED4FA4">
        <w:rPr>
          <w:sz w:val="28"/>
          <w:szCs w:val="28"/>
        </w:rPr>
        <w:t>к поддельным документам</w:t>
      </w:r>
      <w:r w:rsidR="00B256F0" w:rsidRPr="004026C6">
        <w:rPr>
          <w:sz w:val="28"/>
          <w:szCs w:val="28"/>
        </w:rPr>
        <w:t xml:space="preserve"> относятся те документы, которые не являются распоряжениями о переводе денежных средств, но на их основании можно принять либо выдать денежные средства</w:t>
      </w:r>
      <w:r w:rsidR="00090364">
        <w:rPr>
          <w:rStyle w:val="a9"/>
          <w:sz w:val="28"/>
          <w:szCs w:val="28"/>
        </w:rPr>
        <w:footnoteReference w:id="3"/>
      </w:r>
      <w:r w:rsidR="00B256F0" w:rsidRPr="004026C6">
        <w:rPr>
          <w:sz w:val="28"/>
          <w:szCs w:val="28"/>
        </w:rPr>
        <w:t>. Однако существует и иная позиция, согласно которой к указанному предмету необходимо относить поддельные распоряжения о переводе денежных средств: платёжное поручение, инкассовое поручение, платёжный ордер и т.д.</w:t>
      </w:r>
      <w:r w:rsidR="00090364">
        <w:rPr>
          <w:rStyle w:val="a9"/>
          <w:sz w:val="28"/>
          <w:szCs w:val="28"/>
        </w:rPr>
        <w:footnoteReference w:id="4"/>
      </w:r>
      <w:r w:rsidR="00090364">
        <w:rPr>
          <w:sz w:val="28"/>
          <w:szCs w:val="28"/>
        </w:rPr>
        <w:t>.</w:t>
      </w:r>
      <w:proofErr w:type="gramEnd"/>
      <w:r w:rsidR="00090364">
        <w:rPr>
          <w:sz w:val="28"/>
          <w:szCs w:val="28"/>
        </w:rPr>
        <w:t xml:space="preserve"> </w:t>
      </w:r>
      <w:r w:rsidR="00ED4FA4">
        <w:rPr>
          <w:sz w:val="28"/>
          <w:szCs w:val="28"/>
        </w:rPr>
        <w:t xml:space="preserve">Как видим, однозначное понимание указанных терминов </w:t>
      </w:r>
      <w:r w:rsidR="00ED4FA4">
        <w:rPr>
          <w:sz w:val="28"/>
          <w:szCs w:val="28"/>
        </w:rPr>
        <w:lastRenderedPageBreak/>
        <w:t xml:space="preserve">отсутствует, несмотря на то, что в указанном выше Положении </w:t>
      </w:r>
      <w:r w:rsidR="00ED4FA4" w:rsidRPr="004026C6">
        <w:rPr>
          <w:sz w:val="28"/>
          <w:szCs w:val="28"/>
        </w:rPr>
        <w:t>«О правилах осуществления перевода денежных средств»</w:t>
      </w:r>
      <w:r w:rsidR="00ED4FA4">
        <w:rPr>
          <w:sz w:val="28"/>
          <w:szCs w:val="28"/>
        </w:rPr>
        <w:t xml:space="preserve"> законодатель обозначил свою позицию.</w:t>
      </w:r>
    </w:p>
    <w:p w:rsidR="00090364" w:rsidRDefault="000B382F" w:rsidP="00090364">
      <w:pPr>
        <w:spacing w:line="360" w:lineRule="auto"/>
        <w:ind w:firstLine="709"/>
        <w:jc w:val="both"/>
        <w:rPr>
          <w:sz w:val="28"/>
          <w:szCs w:val="28"/>
        </w:rPr>
      </w:pPr>
      <w:r w:rsidRPr="004026C6">
        <w:rPr>
          <w:sz w:val="28"/>
          <w:szCs w:val="28"/>
        </w:rPr>
        <w:t xml:space="preserve">Учеными </w:t>
      </w:r>
      <w:r w:rsidR="00ED4FA4">
        <w:rPr>
          <w:sz w:val="28"/>
          <w:szCs w:val="28"/>
        </w:rPr>
        <w:t xml:space="preserve">также </w:t>
      </w:r>
      <w:r w:rsidRPr="004026C6">
        <w:rPr>
          <w:sz w:val="28"/>
          <w:szCs w:val="28"/>
        </w:rPr>
        <w:t>обращается внимание на некорректность формулировки «за исключением случаев, предусмотренных статьей 186 УК РФ», поскольку данная норма подобных случаев не предусматривает. Возможно,</w:t>
      </w:r>
      <w:r w:rsidR="0037646D" w:rsidRPr="004026C6">
        <w:rPr>
          <w:sz w:val="28"/>
          <w:szCs w:val="28"/>
        </w:rPr>
        <w:t xml:space="preserve"> речь идет о том, что указанные </w:t>
      </w:r>
      <w:r w:rsidRPr="004026C6">
        <w:rPr>
          <w:sz w:val="28"/>
          <w:szCs w:val="28"/>
        </w:rPr>
        <w:t>поддельные документы и средства оплаты не должны быть билетами Центрального Банка России, металлическими монетами, а также ценными бумагами.</w:t>
      </w:r>
    </w:p>
    <w:p w:rsidR="00090364" w:rsidRDefault="00090364" w:rsidP="004026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6F0" w:rsidRPr="004026C6">
        <w:rPr>
          <w:sz w:val="28"/>
          <w:szCs w:val="28"/>
        </w:rPr>
        <w:t xml:space="preserve">Далее, </w:t>
      </w:r>
      <w:r w:rsidR="00ED4FA4">
        <w:rPr>
          <w:sz w:val="28"/>
          <w:szCs w:val="28"/>
        </w:rPr>
        <w:t xml:space="preserve">понимание </w:t>
      </w:r>
      <w:r w:rsidR="00B256F0" w:rsidRPr="004026C6">
        <w:rPr>
          <w:sz w:val="28"/>
          <w:szCs w:val="28"/>
        </w:rPr>
        <w:t>электронны</w:t>
      </w:r>
      <w:r w:rsidR="00ED4FA4">
        <w:rPr>
          <w:sz w:val="28"/>
          <w:szCs w:val="28"/>
        </w:rPr>
        <w:t>х</w:t>
      </w:r>
      <w:r w:rsidR="00B256F0" w:rsidRPr="004026C6">
        <w:rPr>
          <w:sz w:val="28"/>
          <w:szCs w:val="28"/>
        </w:rPr>
        <w:t xml:space="preserve"> средств как предмет</w:t>
      </w:r>
      <w:r w:rsidR="00ED4FA4">
        <w:rPr>
          <w:sz w:val="28"/>
          <w:szCs w:val="28"/>
        </w:rPr>
        <w:t>а</w:t>
      </w:r>
      <w:r w:rsidR="00B256F0" w:rsidRPr="004026C6">
        <w:rPr>
          <w:sz w:val="28"/>
          <w:szCs w:val="28"/>
        </w:rPr>
        <w:t xml:space="preserve"> рассматриваемого преступления та</w:t>
      </w:r>
      <w:r w:rsidR="00ED4FA4">
        <w:rPr>
          <w:sz w:val="28"/>
          <w:szCs w:val="28"/>
        </w:rPr>
        <w:t>к</w:t>
      </w:r>
      <w:r w:rsidR="00BF3BD0" w:rsidRPr="004026C6">
        <w:rPr>
          <w:sz w:val="28"/>
          <w:szCs w:val="28"/>
        </w:rPr>
        <w:t xml:space="preserve">же вызывает вопросы. Положениями Федерального закона РФ от 27 июня </w:t>
      </w:r>
      <w:r w:rsidR="00BF3BD0" w:rsidRPr="00090364">
        <w:rPr>
          <w:sz w:val="28"/>
          <w:szCs w:val="28"/>
        </w:rPr>
        <w:t>2011 г. № 161-ФЗ «О национальной платежной системе»</w:t>
      </w:r>
      <w:r w:rsidRPr="00090364">
        <w:rPr>
          <w:rStyle w:val="a9"/>
          <w:sz w:val="28"/>
          <w:szCs w:val="28"/>
        </w:rPr>
        <w:footnoteReference w:id="5"/>
      </w:r>
      <w:r w:rsidR="00BF3BD0" w:rsidRPr="00090364">
        <w:rPr>
          <w:sz w:val="28"/>
          <w:szCs w:val="28"/>
        </w:rPr>
        <w:t xml:space="preserve"> формулируется определение электронных сре</w:t>
      </w:r>
      <w:proofErr w:type="gramStart"/>
      <w:r w:rsidR="00BF3BD0" w:rsidRPr="00090364">
        <w:rPr>
          <w:sz w:val="28"/>
          <w:szCs w:val="28"/>
        </w:rPr>
        <w:t>дств</w:t>
      </w:r>
      <w:r w:rsidRPr="00090364">
        <w:rPr>
          <w:sz w:val="28"/>
          <w:szCs w:val="28"/>
        </w:rPr>
        <w:t xml:space="preserve"> пл</w:t>
      </w:r>
      <w:proofErr w:type="gramEnd"/>
      <w:r w:rsidRPr="00090364">
        <w:rPr>
          <w:sz w:val="28"/>
          <w:szCs w:val="28"/>
        </w:rPr>
        <w:t xml:space="preserve">атежа. </w:t>
      </w:r>
      <w:proofErr w:type="gramStart"/>
      <w:r w:rsidRPr="00090364">
        <w:rPr>
          <w:sz w:val="28"/>
          <w:szCs w:val="28"/>
        </w:rPr>
        <w:t>Так., согласно п. 18 ст. 3 указанного нормативного акта, под электр</w:t>
      </w:r>
      <w:r>
        <w:rPr>
          <w:sz w:val="28"/>
          <w:szCs w:val="28"/>
        </w:rPr>
        <w:t>о</w:t>
      </w:r>
      <w:r w:rsidRPr="00090364">
        <w:rPr>
          <w:sz w:val="28"/>
          <w:szCs w:val="28"/>
        </w:rPr>
        <w:t>нными средствами платежа следует понимать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а также иных технических устройств</w:t>
      </w:r>
      <w:r>
        <w:rPr>
          <w:sz w:val="28"/>
          <w:szCs w:val="28"/>
        </w:rPr>
        <w:t xml:space="preserve">. </w:t>
      </w:r>
      <w:proofErr w:type="gramEnd"/>
    </w:p>
    <w:p w:rsidR="00182F1C" w:rsidRDefault="00090364" w:rsidP="004026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 w:rsidR="00BF3BD0" w:rsidRPr="00090364">
        <w:rPr>
          <w:sz w:val="28"/>
          <w:szCs w:val="28"/>
        </w:rPr>
        <w:t>нако</w:t>
      </w:r>
      <w:proofErr w:type="gramStart"/>
      <w:r w:rsidR="00BF3BD0" w:rsidRPr="00090364">
        <w:rPr>
          <w:sz w:val="28"/>
          <w:szCs w:val="28"/>
        </w:rPr>
        <w:t>,</w:t>
      </w:r>
      <w:proofErr w:type="gramEnd"/>
      <w:r w:rsidR="00BF3BD0" w:rsidRPr="00090364">
        <w:rPr>
          <w:sz w:val="28"/>
          <w:szCs w:val="28"/>
        </w:rPr>
        <w:t xml:space="preserve"> на практике могут возникнуть вопросы относительно конкретных устройств</w:t>
      </w:r>
      <w:r>
        <w:rPr>
          <w:sz w:val="28"/>
          <w:szCs w:val="28"/>
        </w:rPr>
        <w:t>, так или иначе связанных с осуществлением электронных платежей</w:t>
      </w:r>
      <w:r w:rsidR="00BF3BD0" w:rsidRPr="00090364">
        <w:rPr>
          <w:sz w:val="28"/>
          <w:szCs w:val="28"/>
        </w:rPr>
        <w:t xml:space="preserve">. В частности, </w:t>
      </w:r>
      <w:r w:rsidR="00F839CD">
        <w:rPr>
          <w:sz w:val="28"/>
          <w:szCs w:val="28"/>
        </w:rPr>
        <w:t>речь идет о</w:t>
      </w:r>
      <w:r w:rsidR="00BF3BD0" w:rsidRPr="00090364">
        <w:rPr>
          <w:sz w:val="28"/>
          <w:szCs w:val="28"/>
        </w:rPr>
        <w:t xml:space="preserve"> таки</w:t>
      </w:r>
      <w:r w:rsidR="00F839CD">
        <w:rPr>
          <w:sz w:val="28"/>
          <w:szCs w:val="28"/>
        </w:rPr>
        <w:t>х</w:t>
      </w:r>
      <w:r w:rsidR="00BF3BD0" w:rsidRPr="00090364">
        <w:rPr>
          <w:sz w:val="28"/>
          <w:szCs w:val="28"/>
        </w:rPr>
        <w:t xml:space="preserve"> вид</w:t>
      </w:r>
      <w:r w:rsidR="00F839CD">
        <w:rPr>
          <w:sz w:val="28"/>
          <w:szCs w:val="28"/>
        </w:rPr>
        <w:t>ах</w:t>
      </w:r>
      <w:r w:rsidR="00BF3BD0" w:rsidRPr="00090364">
        <w:rPr>
          <w:sz w:val="28"/>
          <w:szCs w:val="28"/>
        </w:rPr>
        <w:t xml:space="preserve"> оборудования, как </w:t>
      </w:r>
      <w:proofErr w:type="spellStart"/>
      <w:r w:rsidR="00BF3BD0" w:rsidRPr="00090364">
        <w:rPr>
          <w:sz w:val="28"/>
          <w:szCs w:val="28"/>
        </w:rPr>
        <w:t>скиммер</w:t>
      </w:r>
      <w:proofErr w:type="spellEnd"/>
      <w:r w:rsidR="00BF3BD0" w:rsidRPr="00090364">
        <w:rPr>
          <w:sz w:val="28"/>
          <w:szCs w:val="28"/>
        </w:rPr>
        <w:t xml:space="preserve">, </w:t>
      </w:r>
      <w:proofErr w:type="spellStart"/>
      <w:r w:rsidR="00BF3BD0" w:rsidRPr="00090364">
        <w:rPr>
          <w:sz w:val="28"/>
          <w:szCs w:val="28"/>
        </w:rPr>
        <w:t>шиммер</w:t>
      </w:r>
      <w:proofErr w:type="spellEnd"/>
      <w:r w:rsidR="00BF3BD0" w:rsidRPr="00090364">
        <w:rPr>
          <w:sz w:val="28"/>
          <w:szCs w:val="28"/>
        </w:rPr>
        <w:t>, поддельные накладки на циферблат банкомата, поддельные банкоматы. Сомнения</w:t>
      </w:r>
      <w:r w:rsidR="00BF3BD0" w:rsidRPr="004026C6">
        <w:rPr>
          <w:sz w:val="28"/>
          <w:szCs w:val="28"/>
        </w:rPr>
        <w:t xml:space="preserve"> в обоснованности отнесения указанных сре</w:t>
      </w:r>
      <w:proofErr w:type="gramStart"/>
      <w:r w:rsidR="00BF3BD0" w:rsidRPr="004026C6">
        <w:rPr>
          <w:sz w:val="28"/>
          <w:szCs w:val="28"/>
        </w:rPr>
        <w:t>дств к пр</w:t>
      </w:r>
      <w:proofErr w:type="gramEnd"/>
      <w:r w:rsidR="00BF3BD0" w:rsidRPr="004026C6">
        <w:rPr>
          <w:sz w:val="28"/>
          <w:szCs w:val="28"/>
        </w:rPr>
        <w:t xml:space="preserve">едмету преступления ст. 187 УК РФ обусловлены их непосредственным предназначением, которое не связано с неправомерным приемом, выдачей либо переводом денежных средств. </w:t>
      </w:r>
      <w:proofErr w:type="gramStart"/>
      <w:r w:rsidR="00BF3BD0" w:rsidRPr="004026C6">
        <w:rPr>
          <w:sz w:val="28"/>
          <w:szCs w:val="28"/>
        </w:rPr>
        <w:t xml:space="preserve">Однако, как отмечается, </w:t>
      </w:r>
      <w:r>
        <w:rPr>
          <w:sz w:val="28"/>
          <w:szCs w:val="28"/>
        </w:rPr>
        <w:t xml:space="preserve">«… </w:t>
      </w:r>
      <w:r w:rsidR="00BF3BD0" w:rsidRPr="004026C6">
        <w:rPr>
          <w:sz w:val="28"/>
          <w:szCs w:val="28"/>
        </w:rPr>
        <w:t xml:space="preserve">конечная цель использования данного оборудования связана </w:t>
      </w:r>
      <w:r w:rsidR="00BF3BD0" w:rsidRPr="004026C6">
        <w:rPr>
          <w:sz w:val="28"/>
          <w:szCs w:val="28"/>
        </w:rPr>
        <w:lastRenderedPageBreak/>
        <w:t>именно с такими целями</w:t>
      </w:r>
      <w:r w:rsidR="00182F1C">
        <w:rPr>
          <w:sz w:val="28"/>
          <w:szCs w:val="28"/>
        </w:rPr>
        <w:t>, достигаемыми</w:t>
      </w:r>
      <w:r w:rsidR="00BF3BD0" w:rsidRPr="004026C6">
        <w:rPr>
          <w:sz w:val="28"/>
          <w:szCs w:val="28"/>
        </w:rPr>
        <w:t xml:space="preserve"> путем неправомерного получения информации о платёжных картах (поддельный банкомат также может быть предназначен для похищения банковских карт) для проведения в дальнейшем неправомерных операций с находящимися на указанных платёжных картах денежными средствами</w:t>
      </w:r>
      <w:r>
        <w:rPr>
          <w:sz w:val="28"/>
          <w:szCs w:val="28"/>
        </w:rPr>
        <w:t>»</w:t>
      </w:r>
      <w:r>
        <w:rPr>
          <w:rStyle w:val="a9"/>
          <w:sz w:val="28"/>
          <w:szCs w:val="28"/>
        </w:rPr>
        <w:footnoteReference w:id="6"/>
      </w:r>
      <w:r>
        <w:rPr>
          <w:sz w:val="28"/>
          <w:szCs w:val="28"/>
        </w:rPr>
        <w:t>.</w:t>
      </w:r>
      <w:r w:rsidR="00BF3BD0" w:rsidRPr="004026C6">
        <w:rPr>
          <w:sz w:val="28"/>
          <w:szCs w:val="28"/>
        </w:rPr>
        <w:t xml:space="preserve"> </w:t>
      </w:r>
      <w:proofErr w:type="gramEnd"/>
    </w:p>
    <w:p w:rsidR="003B6856" w:rsidRPr="004026C6" w:rsidRDefault="00BF3BD0" w:rsidP="004026C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026C6">
        <w:rPr>
          <w:sz w:val="28"/>
          <w:szCs w:val="28"/>
        </w:rPr>
        <w:t>Аналогичные возражения вызывает указание в качестве предмета преступления компьютерных программ – в данном случае при квалификации необходимо обращать внимание на предмет деяния, описанного ст. 272 УК РФ «Неправомерный доступ к компьютерной информации», поскольку сама по себе вредоносная компьютерная программа (так называемый «вирус») может обеспечивать лишь доступ к определенным данным – например, данным для доступа к банковскому счету, либо похищать сведения о банковских</w:t>
      </w:r>
      <w:proofErr w:type="gramEnd"/>
      <w:r w:rsidRPr="004026C6">
        <w:rPr>
          <w:sz w:val="28"/>
          <w:szCs w:val="28"/>
        </w:rPr>
        <w:t xml:space="preserve"> </w:t>
      </w:r>
      <w:proofErr w:type="gramStart"/>
      <w:r w:rsidRPr="004026C6">
        <w:rPr>
          <w:sz w:val="28"/>
          <w:szCs w:val="28"/>
        </w:rPr>
        <w:t>картах</w:t>
      </w:r>
      <w:proofErr w:type="gramEnd"/>
      <w:r w:rsidRPr="004026C6">
        <w:rPr>
          <w:sz w:val="28"/>
          <w:szCs w:val="28"/>
        </w:rPr>
        <w:t xml:space="preserve"> и т.д.). </w:t>
      </w:r>
    </w:p>
    <w:p w:rsidR="00E34F0D" w:rsidRDefault="00E34F0D" w:rsidP="004026C6">
      <w:pPr>
        <w:spacing w:line="360" w:lineRule="auto"/>
        <w:ind w:firstLine="709"/>
        <w:jc w:val="both"/>
        <w:rPr>
          <w:sz w:val="28"/>
          <w:szCs w:val="28"/>
        </w:rPr>
      </w:pPr>
      <w:r w:rsidRPr="004026C6">
        <w:rPr>
          <w:sz w:val="28"/>
          <w:szCs w:val="28"/>
        </w:rPr>
        <w:t xml:space="preserve">Неопределенность предмета преступления ст. 187 УК РФ вызывает сложности в отграничении указанного деяния от преступления, запрещенного ст. 159.3 </w:t>
      </w:r>
      <w:r w:rsidR="00182F1C">
        <w:rPr>
          <w:sz w:val="28"/>
          <w:szCs w:val="28"/>
        </w:rPr>
        <w:t xml:space="preserve">УК РФ </w:t>
      </w:r>
      <w:r w:rsidRPr="004026C6">
        <w:rPr>
          <w:sz w:val="28"/>
          <w:szCs w:val="28"/>
        </w:rPr>
        <w:t>«Мошенничество с использованием электронных сре</w:t>
      </w:r>
      <w:proofErr w:type="gramStart"/>
      <w:r w:rsidRPr="004026C6">
        <w:rPr>
          <w:sz w:val="28"/>
          <w:szCs w:val="28"/>
        </w:rPr>
        <w:t>дств пл</w:t>
      </w:r>
      <w:proofErr w:type="gramEnd"/>
      <w:r w:rsidRPr="004026C6">
        <w:rPr>
          <w:sz w:val="28"/>
          <w:szCs w:val="28"/>
        </w:rPr>
        <w:t>атежа», поскольку и в том, и в другом случае предмет совпадает. Кроме того, обман как способ совершения мошенничества не исключает использования заведомо поддельных электронных сре</w:t>
      </w:r>
      <w:proofErr w:type="gramStart"/>
      <w:r w:rsidRPr="004026C6">
        <w:rPr>
          <w:sz w:val="28"/>
          <w:szCs w:val="28"/>
        </w:rPr>
        <w:t>дств пл</w:t>
      </w:r>
      <w:proofErr w:type="gramEnd"/>
      <w:r w:rsidRPr="004026C6">
        <w:rPr>
          <w:sz w:val="28"/>
          <w:szCs w:val="28"/>
        </w:rPr>
        <w:t xml:space="preserve">атежа, что совпадает с характеристикой предмета ст. 187 УК РФ.  </w:t>
      </w:r>
    </w:p>
    <w:p w:rsidR="00990105" w:rsidRPr="004026C6" w:rsidRDefault="00990105" w:rsidP="004026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материалов судебной практики позволяет сделать вывод о том, что использование законодателем характеристики «поддельный» в отношении предметов преступления, запрещенного ст. 187 УК РФ, не соответствует ее пониманию </w:t>
      </w:r>
      <w:proofErr w:type="spellStart"/>
      <w:r>
        <w:rPr>
          <w:sz w:val="28"/>
          <w:szCs w:val="28"/>
        </w:rPr>
        <w:t>правоприменителем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частности, по делу Ф. о наличии состава преступления ч. 1 ст. 187 УК РФ свидетельствовали следующие действия: будучи зарегистрированным в качестве учредителя юридического лица за вознаграждение от Н. и фактически не намереваясь выполнять соответствующие функции в последующем, Ф. обратился в кредитное учреждение с целью открытия банковского счета, после чего флэш-карту с данными для доступа к </w:t>
      </w:r>
      <w:r>
        <w:rPr>
          <w:sz w:val="28"/>
          <w:szCs w:val="28"/>
        </w:rPr>
        <w:lastRenderedPageBreak/>
        <w:t>указанному счету передал Н.</w:t>
      </w:r>
      <w:proofErr w:type="gramEnd"/>
      <w:r>
        <w:rPr>
          <w:sz w:val="28"/>
          <w:szCs w:val="28"/>
        </w:rPr>
        <w:t xml:space="preserve"> за вознаграждение</w:t>
      </w:r>
      <w:r w:rsidR="00090364">
        <w:rPr>
          <w:rStyle w:val="a9"/>
          <w:sz w:val="28"/>
          <w:szCs w:val="28"/>
        </w:rPr>
        <w:footnoteReference w:id="7"/>
      </w:r>
      <w:r w:rsidRPr="00990105">
        <w:rPr>
          <w:sz w:val="28"/>
          <w:szCs w:val="28"/>
        </w:rPr>
        <w:t>. Вместе</w:t>
      </w:r>
      <w:r>
        <w:rPr>
          <w:sz w:val="28"/>
          <w:szCs w:val="28"/>
        </w:rPr>
        <w:t xml:space="preserve"> с тем, признак поддельности в данном случае отсутствует, поскольку банковский счет был открыт совершенно реально, и флэш-карта содержала достоверные сведения относительно этого счета. Имеет место ситуация, когда констатация поддельности сре</w:t>
      </w:r>
      <w:proofErr w:type="gramStart"/>
      <w:r>
        <w:rPr>
          <w:sz w:val="28"/>
          <w:szCs w:val="28"/>
        </w:rPr>
        <w:t>дств пл</w:t>
      </w:r>
      <w:proofErr w:type="gramEnd"/>
      <w:r>
        <w:rPr>
          <w:sz w:val="28"/>
          <w:szCs w:val="28"/>
        </w:rPr>
        <w:t xml:space="preserve">атежей вытекает из незаконного (фиктивного) характера отношений, лежащих в основе использования указанных средств. Представляется, что законодателю необходимо обратить внимание на этот момент.  </w:t>
      </w:r>
    </w:p>
    <w:p w:rsidR="004026C6" w:rsidRDefault="004026C6" w:rsidP="004026C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026C6">
        <w:rPr>
          <w:sz w:val="28"/>
          <w:szCs w:val="28"/>
        </w:rPr>
        <w:t>Напомним, что в фокусе внимания законодателя</w:t>
      </w:r>
      <w:r>
        <w:rPr>
          <w:sz w:val="28"/>
          <w:szCs w:val="28"/>
        </w:rPr>
        <w:t>, согласно Пояснительной записке к законопроекту, внесшему изменения в ст. 187 УК РФ</w:t>
      </w:r>
      <w:r w:rsidR="008A2B43">
        <w:rPr>
          <w:rStyle w:val="a9"/>
          <w:sz w:val="28"/>
          <w:szCs w:val="28"/>
        </w:rPr>
        <w:footnoteReference w:id="8"/>
      </w:r>
      <w:r>
        <w:rPr>
          <w:sz w:val="28"/>
          <w:szCs w:val="28"/>
        </w:rPr>
        <w:t>,</w:t>
      </w:r>
      <w:r w:rsidRPr="004026C6">
        <w:rPr>
          <w:sz w:val="28"/>
          <w:szCs w:val="28"/>
        </w:rPr>
        <w:t xml:space="preserve"> находится проблема усиления ответственности за хищения денежных средств с использованием высоких технологий в банковской сфере, общее оздоровление обстановк</w:t>
      </w:r>
      <w:r w:rsidR="00481109">
        <w:rPr>
          <w:sz w:val="28"/>
          <w:szCs w:val="28"/>
        </w:rPr>
        <w:t>и</w:t>
      </w:r>
      <w:r w:rsidRPr="004026C6">
        <w:rPr>
          <w:sz w:val="28"/>
          <w:szCs w:val="28"/>
        </w:rPr>
        <w:t xml:space="preserve"> на рынке дистанционных услуг, существенное снижение рисков при использовании электронных платежных средств и электронной коммерции.</w:t>
      </w:r>
      <w:proofErr w:type="gramEnd"/>
      <w:r>
        <w:rPr>
          <w:sz w:val="28"/>
          <w:szCs w:val="28"/>
        </w:rPr>
        <w:t xml:space="preserve"> С </w:t>
      </w:r>
      <w:r w:rsidRPr="004026C6">
        <w:rPr>
          <w:sz w:val="28"/>
          <w:szCs w:val="28"/>
        </w:rPr>
        <w:t xml:space="preserve">учетом изложенного, полагаем, что норма не способна успешно решать указанные задачи, поскольку, </w:t>
      </w:r>
      <w:r w:rsidR="003B6856" w:rsidRPr="004026C6">
        <w:rPr>
          <w:sz w:val="28"/>
          <w:szCs w:val="28"/>
        </w:rPr>
        <w:t xml:space="preserve">несмотря на возможность определения каждого из составляющих предмет деяния ст. 187 УК РФ путем обращения к иным нормативным документам, представляется, что проблемы квалификации данных деяний обусловлены именно отсутствием разъяснений законодателя относительно их уголовно-значимых особенностей. Данная проблема может быть решена либо путем вынесения соответствующих положений в примечания к ст. 187 УК РФ, либо посредством толкования высшей судебной инстанцией. </w:t>
      </w:r>
    </w:p>
    <w:p w:rsidR="00B17EFD" w:rsidRDefault="00B17EFD" w:rsidP="004026C6">
      <w:pPr>
        <w:spacing w:line="360" w:lineRule="auto"/>
        <w:ind w:firstLine="709"/>
        <w:jc w:val="both"/>
        <w:rPr>
          <w:sz w:val="28"/>
          <w:szCs w:val="28"/>
        </w:rPr>
      </w:pPr>
    </w:p>
    <w:p w:rsidR="00B17EFD" w:rsidRDefault="00B17EFD" w:rsidP="004026C6">
      <w:pPr>
        <w:spacing w:line="360" w:lineRule="auto"/>
        <w:ind w:firstLine="709"/>
        <w:jc w:val="both"/>
        <w:rPr>
          <w:sz w:val="28"/>
          <w:szCs w:val="28"/>
        </w:rPr>
      </w:pPr>
    </w:p>
    <w:p w:rsidR="00B17EFD" w:rsidRDefault="00B17EFD" w:rsidP="004026C6">
      <w:pPr>
        <w:spacing w:line="360" w:lineRule="auto"/>
        <w:ind w:firstLine="709"/>
        <w:jc w:val="both"/>
        <w:rPr>
          <w:sz w:val="28"/>
          <w:szCs w:val="28"/>
        </w:rPr>
      </w:pPr>
    </w:p>
    <w:p w:rsidR="00B17EFD" w:rsidRDefault="00B17EFD" w:rsidP="004026C6">
      <w:pPr>
        <w:spacing w:line="360" w:lineRule="auto"/>
        <w:ind w:firstLine="709"/>
        <w:jc w:val="both"/>
        <w:rPr>
          <w:sz w:val="28"/>
          <w:szCs w:val="28"/>
        </w:rPr>
      </w:pPr>
    </w:p>
    <w:p w:rsidR="00B17EFD" w:rsidRDefault="00B17EFD" w:rsidP="004026C6">
      <w:pPr>
        <w:spacing w:line="360" w:lineRule="auto"/>
        <w:ind w:firstLine="709"/>
        <w:jc w:val="both"/>
        <w:rPr>
          <w:sz w:val="28"/>
          <w:szCs w:val="28"/>
        </w:rPr>
      </w:pPr>
    </w:p>
    <w:p w:rsidR="00B17EFD" w:rsidRDefault="00B17EFD" w:rsidP="00B17EFD">
      <w:pPr>
        <w:ind w:firstLine="709"/>
        <w:jc w:val="center"/>
        <w:rPr>
          <w:b/>
          <w:sz w:val="28"/>
          <w:szCs w:val="28"/>
        </w:rPr>
      </w:pPr>
      <w:r w:rsidRPr="00B17EFD">
        <w:rPr>
          <w:b/>
          <w:sz w:val="28"/>
          <w:szCs w:val="28"/>
        </w:rPr>
        <w:lastRenderedPageBreak/>
        <w:t>Библиографический список</w:t>
      </w:r>
    </w:p>
    <w:p w:rsidR="00B17EFD" w:rsidRPr="00B17EFD" w:rsidRDefault="00B17EFD" w:rsidP="00B17EFD">
      <w:pPr>
        <w:pStyle w:val="ab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17EFD">
        <w:rPr>
          <w:sz w:val="28"/>
          <w:szCs w:val="28"/>
        </w:rPr>
        <w:t xml:space="preserve">Федеральный закон РФ от 27 июня 2011 г. № 161-ФЗ «О национальной платежной системе» // Парламентская газета. N 32. 01-07.07.2011. </w:t>
      </w:r>
    </w:p>
    <w:p w:rsidR="00B17EFD" w:rsidRPr="00B17EFD" w:rsidRDefault="00B17EFD" w:rsidP="00B17EFD">
      <w:pPr>
        <w:pStyle w:val="ab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B17EFD">
        <w:rPr>
          <w:sz w:val="28"/>
          <w:szCs w:val="28"/>
        </w:rPr>
        <w:t>Положение «О правилах осуществления перевода денежных средств» от 19 июня 2012 г. № 383-П // Вестник Банка России. N 34. 28.06.2012.</w:t>
      </w:r>
    </w:p>
    <w:p w:rsidR="00B17EFD" w:rsidRPr="00B17EFD" w:rsidRDefault="00B17EFD" w:rsidP="00B17EFD">
      <w:pPr>
        <w:pStyle w:val="ab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B17EFD">
        <w:rPr>
          <w:sz w:val="28"/>
          <w:szCs w:val="28"/>
        </w:rPr>
        <w:t xml:space="preserve">Пояснительная записка «К проекту Федерального закона «О внесении изменений в статьи 187 и 272 Уголовного кодекса Российской Федерации» // </w:t>
      </w:r>
      <w:r w:rsidRPr="00B17EFD">
        <w:rPr>
          <w:sz w:val="28"/>
          <w:szCs w:val="28"/>
          <w:lang w:val="en-US"/>
        </w:rPr>
        <w:t>URL</w:t>
      </w:r>
      <w:r w:rsidRPr="00B17EFD">
        <w:rPr>
          <w:sz w:val="28"/>
          <w:szCs w:val="28"/>
        </w:rPr>
        <w:t>: http://asozd.duma.gov.ru (дата обращения: 04.11.2019).</w:t>
      </w:r>
    </w:p>
    <w:p w:rsidR="00B17EFD" w:rsidRPr="00B17EFD" w:rsidRDefault="00B17EFD" w:rsidP="00B17EFD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EFD">
        <w:rPr>
          <w:rFonts w:ascii="Times New Roman" w:hAnsi="Times New Roman" w:cs="Times New Roman"/>
          <w:sz w:val="28"/>
          <w:szCs w:val="28"/>
        </w:rPr>
        <w:t xml:space="preserve">Приговор Ленинского районного суда г. Воронежа от 03.11.2017 по делу № 1-206/2017 // </w:t>
      </w:r>
      <w:r w:rsidRPr="00B17E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7EFD">
        <w:rPr>
          <w:rFonts w:ascii="Times New Roman" w:hAnsi="Times New Roman" w:cs="Times New Roman"/>
          <w:sz w:val="28"/>
          <w:szCs w:val="28"/>
        </w:rPr>
        <w:t>: ensud.vrn.sudrf.ru (дата обращения: 04.11.2019).</w:t>
      </w:r>
    </w:p>
    <w:p w:rsidR="00B17EFD" w:rsidRPr="00B17EFD" w:rsidRDefault="00B17EFD" w:rsidP="00B17EFD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EFD">
        <w:rPr>
          <w:rFonts w:ascii="Times New Roman" w:hAnsi="Times New Roman" w:cs="Times New Roman"/>
          <w:sz w:val="28"/>
          <w:szCs w:val="28"/>
        </w:rPr>
        <w:t xml:space="preserve">ф. 10а «Отчет о числе осужденных по всем составам преступлений Уголовного кодекса Российской Федерации и иных лицах, в отношении которых вынесены акты по уголовным делам» // Официальный сайт Судебного департамента при Верховном суде Российской Федерации: </w:t>
      </w:r>
      <w:r w:rsidRPr="00B17EF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17EFD">
        <w:rPr>
          <w:rFonts w:ascii="Times New Roman" w:hAnsi="Times New Roman" w:cs="Times New Roman"/>
          <w:sz w:val="28"/>
          <w:szCs w:val="28"/>
        </w:rPr>
        <w:t>: http://www.cdep.ru (дата обращения: 08.11.2019).</w:t>
      </w:r>
    </w:p>
    <w:p w:rsidR="00B17EFD" w:rsidRPr="00B17EFD" w:rsidRDefault="00B17EFD" w:rsidP="00B17EFD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7EFD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B17EFD">
        <w:rPr>
          <w:rFonts w:ascii="Times New Roman" w:hAnsi="Times New Roman" w:cs="Times New Roman"/>
          <w:sz w:val="28"/>
          <w:szCs w:val="28"/>
        </w:rPr>
        <w:t xml:space="preserve"> Ю.С. К вопросу о предмете неправомерного оборота сре</w:t>
      </w:r>
      <w:proofErr w:type="gramStart"/>
      <w:r w:rsidRPr="00B17EFD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B17EFD">
        <w:rPr>
          <w:rFonts w:ascii="Times New Roman" w:hAnsi="Times New Roman" w:cs="Times New Roman"/>
          <w:sz w:val="28"/>
          <w:szCs w:val="28"/>
        </w:rPr>
        <w:t xml:space="preserve">атежей (ст. 187 УК РФ) // Вестник Московского университета МВД России. 2016. № 4. С. 174-179. </w:t>
      </w:r>
    </w:p>
    <w:p w:rsidR="00B17EFD" w:rsidRPr="00B17EFD" w:rsidRDefault="00B17EFD" w:rsidP="00B17EFD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EFD">
        <w:rPr>
          <w:rFonts w:ascii="Times New Roman" w:hAnsi="Times New Roman" w:cs="Times New Roman"/>
          <w:sz w:val="28"/>
          <w:szCs w:val="28"/>
        </w:rPr>
        <w:t>Карпов Н.О. Предмет неправомерного оборота сре</w:t>
      </w:r>
      <w:proofErr w:type="gramStart"/>
      <w:r w:rsidRPr="00B17EFD"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 w:rsidRPr="00B17EFD">
        <w:rPr>
          <w:rFonts w:ascii="Times New Roman" w:hAnsi="Times New Roman" w:cs="Times New Roman"/>
          <w:sz w:val="28"/>
          <w:szCs w:val="28"/>
        </w:rPr>
        <w:t xml:space="preserve">атежей (правовой и криминалистический аспекты) // Вестник Санкт-Петербургского университета МВД России. 2017. № 3 (75). С. 119-122. </w:t>
      </w:r>
    </w:p>
    <w:p w:rsidR="00182F1C" w:rsidRDefault="00182F1C" w:rsidP="004026C6">
      <w:pPr>
        <w:spacing w:line="360" w:lineRule="auto"/>
        <w:ind w:firstLine="709"/>
        <w:jc w:val="both"/>
        <w:rPr>
          <w:sz w:val="28"/>
          <w:szCs w:val="28"/>
        </w:rPr>
      </w:pPr>
    </w:p>
    <w:p w:rsidR="000B382F" w:rsidRDefault="000B382F" w:rsidP="00182F1C"/>
    <w:sectPr w:rsidR="000B382F" w:rsidSect="00B17EFD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BB" w:rsidRDefault="007129BB" w:rsidP="00182F1C">
      <w:r>
        <w:separator/>
      </w:r>
    </w:p>
  </w:endnote>
  <w:endnote w:type="continuationSeparator" w:id="0">
    <w:p w:rsidR="007129BB" w:rsidRDefault="007129BB" w:rsidP="0018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011357"/>
      <w:docPartObj>
        <w:docPartGallery w:val="Page Numbers (Bottom of Page)"/>
        <w:docPartUnique/>
      </w:docPartObj>
    </w:sdtPr>
    <w:sdtEndPr/>
    <w:sdtContent>
      <w:p w:rsidR="00090364" w:rsidRDefault="0009036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CD">
          <w:rPr>
            <w:noProof/>
          </w:rPr>
          <w:t>2</w:t>
        </w:r>
        <w:r>
          <w:fldChar w:fldCharType="end"/>
        </w:r>
      </w:p>
    </w:sdtContent>
  </w:sdt>
  <w:p w:rsidR="00182F1C" w:rsidRDefault="00182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BB" w:rsidRDefault="007129BB" w:rsidP="00182F1C">
      <w:r>
        <w:separator/>
      </w:r>
    </w:p>
  </w:footnote>
  <w:footnote w:type="continuationSeparator" w:id="0">
    <w:p w:rsidR="007129BB" w:rsidRDefault="007129BB" w:rsidP="00182F1C">
      <w:r>
        <w:continuationSeparator/>
      </w:r>
    </w:p>
  </w:footnote>
  <w:footnote w:id="1">
    <w:p w:rsidR="00157FE0" w:rsidRPr="00B17EFD" w:rsidRDefault="00157FE0" w:rsidP="00B17E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17E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17EFD">
        <w:rPr>
          <w:rFonts w:ascii="Times New Roman" w:hAnsi="Times New Roman" w:cs="Times New Roman"/>
          <w:sz w:val="24"/>
          <w:szCs w:val="24"/>
        </w:rPr>
        <w:t xml:space="preserve"> </w:t>
      </w:r>
      <w:r w:rsidR="00B17EFD">
        <w:rPr>
          <w:rFonts w:ascii="Times New Roman" w:hAnsi="Times New Roman" w:cs="Times New Roman"/>
          <w:sz w:val="24"/>
          <w:szCs w:val="24"/>
        </w:rPr>
        <w:t xml:space="preserve">ф. 10а «Отчет о числе осужденных по всем составам преступлений Уголовного кодекса Российской Федерации и иных лицах, в отношении которых вынесены акты по уголовным делам» // Официальный сайт Судебного департамента при Верховном суде Российской Федерации: </w:t>
      </w:r>
      <w:r w:rsidR="00B17EF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17EFD">
        <w:rPr>
          <w:rFonts w:ascii="Times New Roman" w:hAnsi="Times New Roman" w:cs="Times New Roman"/>
          <w:sz w:val="24"/>
          <w:szCs w:val="24"/>
        </w:rPr>
        <w:t xml:space="preserve">: </w:t>
      </w:r>
      <w:r w:rsidR="00B17EFD" w:rsidRPr="00B17EFD">
        <w:rPr>
          <w:rFonts w:ascii="Times New Roman" w:hAnsi="Times New Roman" w:cs="Times New Roman"/>
          <w:sz w:val="24"/>
          <w:szCs w:val="24"/>
        </w:rPr>
        <w:t>http://www.cdep.ru</w:t>
      </w:r>
      <w:r w:rsidR="00B17EFD">
        <w:rPr>
          <w:rFonts w:ascii="Times New Roman" w:hAnsi="Times New Roman" w:cs="Times New Roman"/>
          <w:sz w:val="24"/>
          <w:szCs w:val="24"/>
        </w:rPr>
        <w:t xml:space="preserve"> (дата обращения: 08.11.2019).</w:t>
      </w:r>
    </w:p>
  </w:footnote>
  <w:footnote w:id="2">
    <w:p w:rsidR="00090364" w:rsidRPr="00B17EFD" w:rsidRDefault="00090364" w:rsidP="00B17EFD">
      <w:pPr>
        <w:jc w:val="both"/>
      </w:pPr>
      <w:r w:rsidRPr="00B17EFD">
        <w:rPr>
          <w:rStyle w:val="a9"/>
        </w:rPr>
        <w:footnoteRef/>
      </w:r>
      <w:r w:rsidRPr="00B17EFD">
        <w:t xml:space="preserve"> Положение «О правилах осуществления перевода денежных средств» от 19 июня 2012 г. № 383-П // Вестник Банка России. N 34. 28.06.2012.</w:t>
      </w:r>
    </w:p>
  </w:footnote>
  <w:footnote w:id="3">
    <w:p w:rsidR="00090364" w:rsidRPr="00B17EFD" w:rsidRDefault="00090364" w:rsidP="00B17E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17E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17EFD">
        <w:rPr>
          <w:rFonts w:ascii="Times New Roman" w:hAnsi="Times New Roman" w:cs="Times New Roman"/>
          <w:sz w:val="24"/>
          <w:szCs w:val="24"/>
        </w:rPr>
        <w:t xml:space="preserve"> Карпов Н.О. </w:t>
      </w:r>
      <w:r w:rsidR="00B17EFD" w:rsidRPr="00B17EFD">
        <w:rPr>
          <w:rFonts w:ascii="Times New Roman" w:hAnsi="Times New Roman" w:cs="Times New Roman"/>
          <w:sz w:val="24"/>
          <w:szCs w:val="24"/>
        </w:rPr>
        <w:t>Предмет неправомерного оборота сре</w:t>
      </w:r>
      <w:proofErr w:type="gramStart"/>
      <w:r w:rsidR="00B17EFD" w:rsidRPr="00B17EFD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="00B17EFD" w:rsidRPr="00B17EFD">
        <w:rPr>
          <w:rFonts w:ascii="Times New Roman" w:hAnsi="Times New Roman" w:cs="Times New Roman"/>
          <w:sz w:val="24"/>
          <w:szCs w:val="24"/>
        </w:rPr>
        <w:t xml:space="preserve">атежей (правовой и криминалистический аспекты) // Вестник Санкт-Петербургского университета МВД России. 2017. № 3 (75). С. 119-122. </w:t>
      </w:r>
    </w:p>
  </w:footnote>
  <w:footnote w:id="4">
    <w:p w:rsidR="00090364" w:rsidRPr="00B17EFD" w:rsidRDefault="00090364" w:rsidP="00B17E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17E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17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EFD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Pr="00B17EFD">
        <w:rPr>
          <w:rFonts w:ascii="Times New Roman" w:hAnsi="Times New Roman" w:cs="Times New Roman"/>
          <w:sz w:val="24"/>
          <w:szCs w:val="24"/>
        </w:rPr>
        <w:t xml:space="preserve"> Ю.С.</w:t>
      </w:r>
      <w:r w:rsidR="008A2B43" w:rsidRPr="00B17EFD">
        <w:rPr>
          <w:rFonts w:ascii="Times New Roman" w:hAnsi="Times New Roman" w:cs="Times New Roman"/>
          <w:sz w:val="24"/>
          <w:szCs w:val="24"/>
        </w:rPr>
        <w:t xml:space="preserve"> К вопросу о предмете неправомерного оборота сре</w:t>
      </w:r>
      <w:proofErr w:type="gramStart"/>
      <w:r w:rsidR="008A2B43" w:rsidRPr="00B17EFD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="008A2B43" w:rsidRPr="00B17EFD">
        <w:rPr>
          <w:rFonts w:ascii="Times New Roman" w:hAnsi="Times New Roman" w:cs="Times New Roman"/>
          <w:sz w:val="24"/>
          <w:szCs w:val="24"/>
        </w:rPr>
        <w:t xml:space="preserve">атежей </w:t>
      </w:r>
      <w:r w:rsidR="00B17EFD" w:rsidRPr="00B17EFD">
        <w:rPr>
          <w:rFonts w:ascii="Times New Roman" w:hAnsi="Times New Roman" w:cs="Times New Roman"/>
          <w:sz w:val="24"/>
          <w:szCs w:val="24"/>
        </w:rPr>
        <w:t xml:space="preserve">(ст. 187 УК РФ) // Вестник Московского университета МВД России. 2016. № 4. С. 174-179. </w:t>
      </w:r>
    </w:p>
  </w:footnote>
  <w:footnote w:id="5">
    <w:p w:rsidR="00090364" w:rsidRPr="00B17EFD" w:rsidRDefault="00090364" w:rsidP="00B17EFD">
      <w:pPr>
        <w:jc w:val="both"/>
      </w:pPr>
      <w:r w:rsidRPr="00B17EFD">
        <w:rPr>
          <w:rStyle w:val="a9"/>
        </w:rPr>
        <w:footnoteRef/>
      </w:r>
      <w:r w:rsidRPr="00B17EFD">
        <w:t xml:space="preserve"> Федеральный закон РФ от 27 июня 2011 г. № 161-ФЗ «О национальной платежной системе» // Парламентская газета. N 32. 01-07.07.2011. </w:t>
      </w:r>
    </w:p>
  </w:footnote>
  <w:footnote w:id="6">
    <w:p w:rsidR="00090364" w:rsidRPr="00B17EFD" w:rsidRDefault="00090364" w:rsidP="00B17E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17E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17EFD">
        <w:rPr>
          <w:rFonts w:ascii="Times New Roman" w:hAnsi="Times New Roman" w:cs="Times New Roman"/>
          <w:sz w:val="24"/>
          <w:szCs w:val="24"/>
        </w:rPr>
        <w:t xml:space="preserve"> Карпов Н.О. Указ</w:t>
      </w:r>
      <w:proofErr w:type="gramStart"/>
      <w:r w:rsidRPr="00B17EF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7E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7E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7EFD">
        <w:rPr>
          <w:rFonts w:ascii="Times New Roman" w:hAnsi="Times New Roman" w:cs="Times New Roman"/>
          <w:sz w:val="24"/>
          <w:szCs w:val="24"/>
        </w:rPr>
        <w:t xml:space="preserve">оч. </w:t>
      </w:r>
      <w:r w:rsidR="00B17EFD" w:rsidRPr="00B17EFD">
        <w:rPr>
          <w:rFonts w:ascii="Times New Roman" w:hAnsi="Times New Roman" w:cs="Times New Roman"/>
          <w:sz w:val="24"/>
          <w:szCs w:val="24"/>
        </w:rPr>
        <w:t>С. 119-122.</w:t>
      </w:r>
    </w:p>
  </w:footnote>
  <w:footnote w:id="7">
    <w:p w:rsidR="00090364" w:rsidRPr="00B17EFD" w:rsidRDefault="00090364" w:rsidP="00B17EF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17EFD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B17EFD">
        <w:rPr>
          <w:rFonts w:ascii="Times New Roman" w:hAnsi="Times New Roman" w:cs="Times New Roman"/>
          <w:sz w:val="24"/>
          <w:szCs w:val="24"/>
        </w:rPr>
        <w:t xml:space="preserve"> Приговор Ленинского районного суда г. Воронежа от 03.11.2017 по делу № 1-206/2017 //</w:t>
      </w:r>
      <w:r w:rsidR="00B17EFD">
        <w:rPr>
          <w:rFonts w:ascii="Times New Roman" w:hAnsi="Times New Roman" w:cs="Times New Roman"/>
          <w:sz w:val="24"/>
          <w:szCs w:val="24"/>
        </w:rPr>
        <w:t xml:space="preserve"> </w:t>
      </w:r>
      <w:r w:rsidR="00B17EFD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17EFD">
        <w:rPr>
          <w:rFonts w:ascii="Times New Roman" w:hAnsi="Times New Roman" w:cs="Times New Roman"/>
          <w:sz w:val="24"/>
          <w:szCs w:val="24"/>
        </w:rPr>
        <w:t xml:space="preserve">: </w:t>
      </w:r>
      <w:r w:rsidRPr="00B17EFD">
        <w:rPr>
          <w:rFonts w:ascii="Times New Roman" w:hAnsi="Times New Roman" w:cs="Times New Roman"/>
          <w:sz w:val="24"/>
          <w:szCs w:val="24"/>
        </w:rPr>
        <w:t>ensud.vrn.sudrf.ru</w:t>
      </w:r>
      <w:r w:rsidR="00B17EFD">
        <w:rPr>
          <w:rFonts w:ascii="Times New Roman" w:hAnsi="Times New Roman" w:cs="Times New Roman"/>
          <w:sz w:val="24"/>
          <w:szCs w:val="24"/>
        </w:rPr>
        <w:t xml:space="preserve"> (дата обращения: 04.11.2019)</w:t>
      </w:r>
      <w:r w:rsidRPr="00B17EFD">
        <w:rPr>
          <w:rFonts w:ascii="Times New Roman" w:hAnsi="Times New Roman" w:cs="Times New Roman"/>
          <w:sz w:val="24"/>
          <w:szCs w:val="24"/>
        </w:rPr>
        <w:t>.</w:t>
      </w:r>
    </w:p>
  </w:footnote>
  <w:footnote w:id="8">
    <w:p w:rsidR="008A2B43" w:rsidRDefault="008A2B43" w:rsidP="00B17EFD">
      <w:pPr>
        <w:jc w:val="both"/>
      </w:pPr>
      <w:r w:rsidRPr="00B17EFD">
        <w:rPr>
          <w:rStyle w:val="a9"/>
        </w:rPr>
        <w:footnoteRef/>
      </w:r>
      <w:r w:rsidRPr="00B17EFD">
        <w:t xml:space="preserve"> Пояснительная записка «К проекту Федерального закона «О внесении изменений в статьи 187 и 272 Уголовного кодекса Российской Федерации» // </w:t>
      </w:r>
      <w:r w:rsidR="00B17EFD">
        <w:rPr>
          <w:lang w:val="en-US"/>
        </w:rPr>
        <w:t>URL</w:t>
      </w:r>
      <w:r w:rsidR="00B17EFD">
        <w:t xml:space="preserve">: </w:t>
      </w:r>
      <w:r w:rsidR="00B17EFD" w:rsidRPr="00B17EFD">
        <w:t>http://asozd.duma.gov.ru</w:t>
      </w:r>
      <w:r w:rsidR="00B17EFD">
        <w:t xml:space="preserve"> (дата обращения: 04.11.2019)</w:t>
      </w:r>
      <w:r w:rsidRPr="00B17EFD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050"/>
    <w:multiLevelType w:val="hybridMultilevel"/>
    <w:tmpl w:val="BBFA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5E"/>
    <w:rsid w:val="00034C5F"/>
    <w:rsid w:val="00090364"/>
    <w:rsid w:val="000B382F"/>
    <w:rsid w:val="00130263"/>
    <w:rsid w:val="00157FE0"/>
    <w:rsid w:val="00182F1C"/>
    <w:rsid w:val="0037646D"/>
    <w:rsid w:val="003B6856"/>
    <w:rsid w:val="004026C6"/>
    <w:rsid w:val="00481109"/>
    <w:rsid w:val="0049485E"/>
    <w:rsid w:val="0054532E"/>
    <w:rsid w:val="00684D05"/>
    <w:rsid w:val="007129BB"/>
    <w:rsid w:val="008A2B43"/>
    <w:rsid w:val="008D4D38"/>
    <w:rsid w:val="00990105"/>
    <w:rsid w:val="00A60724"/>
    <w:rsid w:val="00B17EFD"/>
    <w:rsid w:val="00B256F0"/>
    <w:rsid w:val="00B7304D"/>
    <w:rsid w:val="00B90545"/>
    <w:rsid w:val="00BD69C5"/>
    <w:rsid w:val="00BE2143"/>
    <w:rsid w:val="00BF3BD0"/>
    <w:rsid w:val="00C720AA"/>
    <w:rsid w:val="00D102B8"/>
    <w:rsid w:val="00E34F0D"/>
    <w:rsid w:val="00E367D3"/>
    <w:rsid w:val="00ED4FA4"/>
    <w:rsid w:val="00F02E3D"/>
    <w:rsid w:val="00F60ECA"/>
    <w:rsid w:val="00F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2F1C"/>
  </w:style>
  <w:style w:type="paragraph" w:styleId="a5">
    <w:name w:val="footer"/>
    <w:basedOn w:val="a"/>
    <w:link w:val="a6"/>
    <w:uiPriority w:val="99"/>
    <w:unhideWhenUsed/>
    <w:rsid w:val="00182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82F1C"/>
  </w:style>
  <w:style w:type="paragraph" w:styleId="a7">
    <w:name w:val="footnote text"/>
    <w:basedOn w:val="a"/>
    <w:link w:val="a8"/>
    <w:uiPriority w:val="99"/>
    <w:semiHidden/>
    <w:unhideWhenUsed/>
    <w:rsid w:val="00157F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57F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57FE0"/>
    <w:rPr>
      <w:vertAlign w:val="superscript"/>
    </w:rPr>
  </w:style>
  <w:style w:type="character" w:styleId="aa">
    <w:name w:val="Hyperlink"/>
    <w:basedOn w:val="a0"/>
    <w:uiPriority w:val="99"/>
    <w:unhideWhenUsed/>
    <w:rsid w:val="00B17EF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1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82F1C"/>
  </w:style>
  <w:style w:type="paragraph" w:styleId="a5">
    <w:name w:val="footer"/>
    <w:basedOn w:val="a"/>
    <w:link w:val="a6"/>
    <w:uiPriority w:val="99"/>
    <w:unhideWhenUsed/>
    <w:rsid w:val="00182F1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82F1C"/>
  </w:style>
  <w:style w:type="paragraph" w:styleId="a7">
    <w:name w:val="footnote text"/>
    <w:basedOn w:val="a"/>
    <w:link w:val="a8"/>
    <w:uiPriority w:val="99"/>
    <w:semiHidden/>
    <w:unhideWhenUsed/>
    <w:rsid w:val="00157FE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57FE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57FE0"/>
    <w:rPr>
      <w:vertAlign w:val="superscript"/>
    </w:rPr>
  </w:style>
  <w:style w:type="character" w:styleId="aa">
    <w:name w:val="Hyperlink"/>
    <w:basedOn w:val="a0"/>
    <w:uiPriority w:val="99"/>
    <w:unhideWhenUsed/>
    <w:rsid w:val="00B17EF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1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B016-D606-460D-887A-92E20062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19</cp:revision>
  <cp:lastPrinted>2019-11-07T18:38:00Z</cp:lastPrinted>
  <dcterms:created xsi:type="dcterms:W3CDTF">2019-09-17T09:12:00Z</dcterms:created>
  <dcterms:modified xsi:type="dcterms:W3CDTF">2019-11-07T18:45:00Z</dcterms:modified>
</cp:coreProperties>
</file>